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62" w:type="dxa"/>
        <w:tblInd w:w="108" w:type="dxa"/>
        <w:tblBorders>
          <w:top w:val="single" w:sz="4" w:space="0" w:color="auto"/>
          <w:left w:val="single" w:sz="4" w:space="0" w:color="auto"/>
          <w:bottom w:val="single" w:sz="4" w:space="0" w:color="auto"/>
          <w:right w:val="single" w:sz="4" w:space="0" w:color="auto"/>
          <w:insideV w:val="single" w:sz="4" w:space="0" w:color="999999"/>
        </w:tblBorders>
        <w:tblLook w:val="0000" w:firstRow="0" w:lastRow="0" w:firstColumn="0" w:lastColumn="0" w:noHBand="0" w:noVBand="0"/>
      </w:tblPr>
      <w:tblGrid>
        <w:gridCol w:w="2268"/>
        <w:gridCol w:w="11794"/>
      </w:tblGrid>
      <w:tr w:rsidR="00FF322A" w:rsidRPr="00290E3D" w:rsidTr="003154D7">
        <w:tc>
          <w:tcPr>
            <w:tcW w:w="2268" w:type="dxa"/>
            <w:shd w:val="clear" w:color="auto" w:fill="E0E0E0"/>
          </w:tcPr>
          <w:p w:rsidR="00FF322A" w:rsidRPr="00290E3D" w:rsidRDefault="00FF322A" w:rsidP="00FF322A">
            <w:pPr>
              <w:widowControl w:val="0"/>
              <w:spacing w:before="100" w:after="100" w:line="240" w:lineRule="auto"/>
              <w:jc w:val="center"/>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CFLA</w:t>
            </w:r>
          </w:p>
        </w:tc>
        <w:tc>
          <w:tcPr>
            <w:tcW w:w="11794" w:type="dxa"/>
            <w:shd w:val="clear" w:color="auto" w:fill="E0E0E0"/>
          </w:tcPr>
          <w:p w:rsidR="00FF322A" w:rsidRPr="00290E3D" w:rsidRDefault="00FF322A" w:rsidP="00FF322A">
            <w:pPr>
              <w:widowControl w:val="0"/>
              <w:tabs>
                <w:tab w:val="center" w:pos="4536"/>
                <w:tab w:val="left" w:pos="4785"/>
                <w:tab w:val="right" w:pos="6696"/>
                <w:tab w:val="right" w:pos="9072"/>
              </w:tabs>
              <w:spacing w:before="100" w:after="100" w:line="240" w:lineRule="auto"/>
              <w:ind w:right="34"/>
              <w:jc w:val="right"/>
              <w:rPr>
                <w:rFonts w:ascii="Times New Roman" w:eastAsia="Times New Roman" w:hAnsi="Times New Roman" w:cs="Times New Roman"/>
                <w:b/>
                <w:snapToGrid w:val="0"/>
                <w:color w:val="808080"/>
              </w:rPr>
            </w:pPr>
            <w:r w:rsidRPr="00290E3D">
              <w:rPr>
                <w:rFonts w:ascii="Times New Roman" w:eastAsia="Times New Roman" w:hAnsi="Times New Roman" w:cs="Times New Roman"/>
                <w:b/>
                <w:snapToGrid w:val="0"/>
              </w:rPr>
              <w:tab/>
            </w:r>
            <w:r w:rsidRPr="00290E3D">
              <w:rPr>
                <w:rFonts w:ascii="Times New Roman" w:eastAsia="Times New Roman" w:hAnsi="Times New Roman" w:cs="Times New Roman"/>
                <w:b/>
                <w:snapToGrid w:val="0"/>
              </w:rPr>
              <w:tab/>
            </w:r>
            <w:r w:rsidRPr="00290E3D">
              <w:rPr>
                <w:rFonts w:ascii="Times New Roman" w:eastAsia="Times New Roman" w:hAnsi="Times New Roman" w:cs="Times New Roman"/>
                <w:b/>
                <w:snapToGrid w:val="0"/>
              </w:rPr>
              <w:tab/>
              <w:t>Pārbaudes lapa</w:t>
            </w:r>
          </w:p>
        </w:tc>
      </w:tr>
      <w:tr w:rsidR="00FF322A" w:rsidRPr="00290E3D" w:rsidTr="003154D7">
        <w:trPr>
          <w:trHeight w:val="430"/>
        </w:trPr>
        <w:tc>
          <w:tcPr>
            <w:tcW w:w="2268" w:type="dxa"/>
          </w:tcPr>
          <w:p w:rsidR="00FF322A" w:rsidRPr="00290E3D" w:rsidRDefault="00FF322A" w:rsidP="00FF322A">
            <w:pPr>
              <w:widowControl w:val="0"/>
              <w:tabs>
                <w:tab w:val="center" w:pos="4536"/>
                <w:tab w:val="right" w:pos="9072"/>
              </w:tabs>
              <w:spacing w:before="100" w:after="100" w:line="240" w:lineRule="auto"/>
              <w:ind w:right="175"/>
              <w:jc w:val="center"/>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Centrālā finanšu un līgumu aģentūra</w:t>
            </w:r>
          </w:p>
        </w:tc>
        <w:tc>
          <w:tcPr>
            <w:tcW w:w="11794" w:type="dxa"/>
            <w:vAlign w:val="center"/>
          </w:tcPr>
          <w:p w:rsidR="00FF322A" w:rsidRPr="00290E3D" w:rsidRDefault="00FF322A" w:rsidP="00FF322A">
            <w:pPr>
              <w:widowControl w:val="0"/>
              <w:tabs>
                <w:tab w:val="center" w:pos="4536"/>
                <w:tab w:val="right" w:pos="9072"/>
              </w:tabs>
              <w:spacing w:before="100" w:after="100" w:line="240" w:lineRule="auto"/>
              <w:ind w:right="34"/>
              <w:jc w:val="right"/>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Valsts atbalsta nosacījumu pārbaude</w:t>
            </w:r>
          </w:p>
          <w:p w:rsidR="00FF322A" w:rsidRPr="00290E3D" w:rsidRDefault="00FF322A" w:rsidP="00FF322A">
            <w:pPr>
              <w:widowControl w:val="0"/>
              <w:tabs>
                <w:tab w:val="center" w:pos="4536"/>
                <w:tab w:val="right" w:pos="9072"/>
              </w:tabs>
              <w:spacing w:before="100" w:after="100" w:line="240" w:lineRule="auto"/>
              <w:ind w:right="34"/>
              <w:jc w:val="right"/>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 xml:space="preserve">SAM 1.1.1.1. (MK not. 34 </w:t>
            </w:r>
            <w:r w:rsidRPr="00290E3D">
              <w:rPr>
                <w:rFonts w:ascii="Times New Roman" w:eastAsia="Times New Roman" w:hAnsi="Times New Roman" w:cs="Times New Roman"/>
                <w:b/>
                <w:snapToGrid w:val="0"/>
                <w:vertAlign w:val="superscript"/>
              </w:rPr>
              <w:footnoteReference w:id="1"/>
            </w:r>
            <w:r w:rsidRPr="00290E3D">
              <w:rPr>
                <w:rFonts w:ascii="Times New Roman" w:eastAsia="Times New Roman" w:hAnsi="Times New Roman" w:cs="Times New Roman"/>
                <w:b/>
                <w:snapToGrid w:val="0"/>
              </w:rPr>
              <w:t>)</w:t>
            </w:r>
          </w:p>
        </w:tc>
      </w:tr>
    </w:tbl>
    <w:p w:rsidR="00FF322A" w:rsidRPr="00290E3D" w:rsidRDefault="00FF322A" w:rsidP="00FF322A">
      <w:pPr>
        <w:widowControl w:val="0"/>
        <w:numPr>
          <w:ilvl w:val="0"/>
          <w:numId w:val="2"/>
        </w:numPr>
        <w:spacing w:before="100" w:after="0" w:line="240" w:lineRule="auto"/>
        <w:jc w:val="both"/>
        <w:rPr>
          <w:rFonts w:ascii="Times New Roman" w:eastAsia="Calibri" w:hAnsi="Times New Roman" w:cs="Times New Roman"/>
          <w:i/>
          <w:iCs/>
        </w:rPr>
      </w:pPr>
      <w:r w:rsidRPr="00290E3D">
        <w:rPr>
          <w:rFonts w:ascii="Times New Roman" w:eastAsia="Calibri" w:hAnsi="Times New Roman" w:cs="Times New Roman"/>
          <w:i/>
        </w:rPr>
        <w:t>P</w:t>
      </w:r>
      <w:r w:rsidRPr="00290E3D">
        <w:rPr>
          <w:rFonts w:ascii="Times New Roman" w:eastAsia="Calibri" w:hAnsi="Times New Roman" w:cs="Times New Roman"/>
          <w:i/>
          <w:iCs/>
        </w:rPr>
        <w:t>ārbaudes lapu aizpilda, ja finansējuma saņēmējam ir piešķirts valsts atbalsts</w:t>
      </w:r>
      <w:r w:rsidRPr="00290E3D">
        <w:rPr>
          <w:rFonts w:ascii="Times New Roman" w:eastAsia="Times New Roman" w:hAnsi="Times New Roman" w:cs="Times New Roman"/>
          <w:i/>
          <w:lang w:eastAsia="fr-FR"/>
        </w:rPr>
        <w:t xml:space="preserve"> saskaņā ar Eiropas Komisijas 2014.gada 17.jūnija Regulas Nr.651/2014, ar ko noteiktas atbalsta kategorijas atzīst par saderīgām ar iekšējo tirgu, piemērojot Līguma 107. un 108. pantu (turpmāk – Komisijas regula Nr.651/2014)</w:t>
      </w:r>
      <w:r w:rsidR="00123AD2" w:rsidRPr="00290E3D">
        <w:t xml:space="preserve"> – </w:t>
      </w:r>
      <w:r w:rsidR="00123AD2" w:rsidRPr="00290E3D">
        <w:rPr>
          <w:rFonts w:ascii="Times New Roman" w:hAnsi="Times New Roman" w:cs="Times New Roman"/>
          <w:i/>
        </w:rPr>
        <w:t>Komisijas</w:t>
      </w:r>
      <w:r w:rsidR="00123AD2" w:rsidRPr="00290E3D">
        <w:t xml:space="preserve"> </w:t>
      </w:r>
      <w:r w:rsidR="00123AD2" w:rsidRPr="00290E3D">
        <w:rPr>
          <w:rFonts w:ascii="Times New Roman" w:eastAsia="Times New Roman" w:hAnsi="Times New Roman" w:cs="Times New Roman"/>
          <w:i/>
          <w:lang w:eastAsia="fr-FR"/>
        </w:rPr>
        <w:t>Regulas Nr. 651/2014 25.pantu)</w:t>
      </w:r>
      <w:r w:rsidR="00DC17FC" w:rsidRPr="00290E3D">
        <w:rPr>
          <w:rFonts w:ascii="Times New Roman" w:eastAsia="Times New Roman" w:hAnsi="Times New Roman" w:cs="Times New Roman"/>
          <w:i/>
          <w:lang w:eastAsia="fr-FR"/>
        </w:rPr>
        <w:t xml:space="preserve"> </w:t>
      </w:r>
      <w:r w:rsidR="00123AD2" w:rsidRPr="00290E3D">
        <w:rPr>
          <w:rFonts w:ascii="Times New Roman" w:eastAsia="Times New Roman" w:hAnsi="Times New Roman" w:cs="Times New Roman"/>
          <w:i/>
          <w:lang w:eastAsia="fr-FR"/>
        </w:rPr>
        <w:t>un Inovācijas atbalsts MVU (Komisijas Regulas Nr. 651/2014 28.pantu)</w:t>
      </w:r>
      <w:r w:rsidR="00DC17FC" w:rsidRPr="00290E3D">
        <w:rPr>
          <w:rFonts w:ascii="Times New Roman" w:eastAsia="Times New Roman" w:hAnsi="Times New Roman" w:cs="Times New Roman"/>
          <w:i/>
          <w:lang w:eastAsia="fr-FR"/>
        </w:rPr>
        <w:t xml:space="preserve"> (SAM MKN 3.punkts)</w:t>
      </w:r>
      <w:r w:rsidR="00123AD2" w:rsidRPr="00290E3D">
        <w:rPr>
          <w:rFonts w:ascii="Times New Roman" w:eastAsia="Times New Roman" w:hAnsi="Times New Roman" w:cs="Times New Roman"/>
          <w:i/>
          <w:lang w:eastAsia="fr-FR"/>
        </w:rPr>
        <w:t>.</w:t>
      </w:r>
    </w:p>
    <w:p w:rsidR="00FF322A" w:rsidRPr="00290E3D" w:rsidRDefault="00FF322A" w:rsidP="00FF322A">
      <w:pPr>
        <w:widowControl w:val="0"/>
        <w:spacing w:after="0" w:line="240" w:lineRule="auto"/>
        <w:rPr>
          <w:rFonts w:ascii="Times New Roman" w:eastAsia="Times New Roman" w:hAnsi="Times New Roman" w:cs="Times New Roman"/>
          <w:snapToGrid w:val="0"/>
        </w:rPr>
      </w:pPr>
    </w:p>
    <w:tbl>
      <w:tblPr>
        <w:tblW w:w="14100" w:type="dxa"/>
        <w:jc w:val="center"/>
        <w:tblLayout w:type="fixed"/>
        <w:tblCellMar>
          <w:left w:w="70" w:type="dxa"/>
          <w:right w:w="70" w:type="dxa"/>
        </w:tblCellMar>
        <w:tblLook w:val="0000" w:firstRow="0" w:lastRow="0" w:firstColumn="0" w:lastColumn="0" w:noHBand="0" w:noVBand="0"/>
      </w:tblPr>
      <w:tblGrid>
        <w:gridCol w:w="567"/>
        <w:gridCol w:w="10415"/>
        <w:gridCol w:w="1629"/>
        <w:gridCol w:w="1489"/>
      </w:tblGrid>
      <w:tr w:rsidR="003154D7" w:rsidRPr="00290E3D" w:rsidTr="003154D7">
        <w:trPr>
          <w:trHeight w:val="735"/>
          <w:tblHeader/>
          <w:jc w:val="center"/>
        </w:trPr>
        <w:tc>
          <w:tcPr>
            <w:tcW w:w="567" w:type="dxa"/>
            <w:tcBorders>
              <w:top w:val="single" w:sz="4" w:space="0" w:color="auto"/>
              <w:left w:val="single" w:sz="4" w:space="0" w:color="auto"/>
              <w:bottom w:val="single" w:sz="4" w:space="0" w:color="auto"/>
              <w:right w:val="single" w:sz="4" w:space="0" w:color="000000"/>
            </w:tcBorders>
            <w:shd w:val="clear" w:color="auto" w:fill="F2F2F2"/>
            <w:vAlign w:val="center"/>
          </w:tcPr>
          <w:p w:rsidR="003154D7" w:rsidRPr="00290E3D" w:rsidRDefault="003154D7" w:rsidP="00FF322A">
            <w:pPr>
              <w:widowControl w:val="0"/>
              <w:spacing w:after="0" w:line="240" w:lineRule="auto"/>
              <w:jc w:val="center"/>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Nr.</w:t>
            </w:r>
          </w:p>
        </w:tc>
        <w:tc>
          <w:tcPr>
            <w:tcW w:w="10415" w:type="dxa"/>
            <w:tcBorders>
              <w:top w:val="single" w:sz="4" w:space="0" w:color="auto"/>
              <w:left w:val="nil"/>
              <w:bottom w:val="single" w:sz="4" w:space="0" w:color="auto"/>
              <w:right w:val="single" w:sz="4" w:space="0" w:color="000000"/>
            </w:tcBorders>
            <w:shd w:val="clear" w:color="auto" w:fill="F2F2F2"/>
            <w:noWrap/>
            <w:vAlign w:val="center"/>
          </w:tcPr>
          <w:p w:rsidR="003154D7" w:rsidRPr="00290E3D" w:rsidRDefault="003154D7" w:rsidP="00FF322A">
            <w:pPr>
              <w:widowControl w:val="0"/>
              <w:spacing w:after="0" w:line="240" w:lineRule="auto"/>
              <w:jc w:val="center"/>
              <w:rPr>
                <w:rFonts w:ascii="Times New Roman" w:eastAsia="Times New Roman" w:hAnsi="Times New Roman" w:cs="Times New Roman"/>
                <w:b/>
                <w:bCs/>
                <w:snapToGrid w:val="0"/>
              </w:rPr>
            </w:pPr>
            <w:r w:rsidRPr="00290E3D">
              <w:rPr>
                <w:rFonts w:ascii="Times New Roman" w:eastAsia="Times New Roman" w:hAnsi="Times New Roman" w:cs="Times New Roman"/>
                <w:b/>
                <w:bCs/>
                <w:snapToGrid w:val="0"/>
              </w:rPr>
              <w:t>Pārbaudāmie jautājumi</w:t>
            </w:r>
          </w:p>
        </w:tc>
        <w:tc>
          <w:tcPr>
            <w:tcW w:w="1629" w:type="dxa"/>
            <w:tcBorders>
              <w:top w:val="single" w:sz="4" w:space="0" w:color="auto"/>
              <w:left w:val="nil"/>
              <w:bottom w:val="single" w:sz="4" w:space="0" w:color="auto"/>
              <w:right w:val="single" w:sz="4" w:space="0" w:color="auto"/>
            </w:tcBorders>
            <w:shd w:val="clear" w:color="auto" w:fill="F2F2F2"/>
            <w:vAlign w:val="center"/>
          </w:tcPr>
          <w:p w:rsidR="003154D7" w:rsidRPr="00290E3D" w:rsidRDefault="003154D7" w:rsidP="00FF322A">
            <w:pPr>
              <w:widowControl w:val="0"/>
              <w:spacing w:after="0" w:line="240" w:lineRule="auto"/>
              <w:ind w:left="-85" w:right="-70"/>
              <w:jc w:val="center"/>
              <w:rPr>
                <w:rFonts w:ascii="Times New Roman" w:eastAsia="Times New Roman" w:hAnsi="Times New Roman" w:cs="Times New Roman"/>
                <w:b/>
                <w:bCs/>
                <w:snapToGrid w:val="0"/>
              </w:rPr>
            </w:pPr>
            <w:r w:rsidRPr="00290E3D">
              <w:rPr>
                <w:rFonts w:ascii="Times New Roman" w:eastAsia="Times New Roman" w:hAnsi="Times New Roman" w:cs="Times New Roman"/>
                <w:b/>
                <w:bCs/>
                <w:snapToGrid w:val="0"/>
              </w:rPr>
              <w:t>Atsauce</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tcPr>
          <w:p w:rsidR="003154D7" w:rsidRPr="00290E3D" w:rsidDel="00ED7C89" w:rsidRDefault="003154D7" w:rsidP="00FF322A">
            <w:pPr>
              <w:widowControl w:val="0"/>
              <w:spacing w:after="0" w:line="240" w:lineRule="auto"/>
              <w:jc w:val="center"/>
              <w:rPr>
                <w:rFonts w:ascii="Times New Roman" w:eastAsia="Times New Roman" w:hAnsi="Times New Roman" w:cs="Times New Roman"/>
                <w:b/>
                <w:bCs/>
                <w:snapToGrid w:val="0"/>
              </w:rPr>
            </w:pPr>
            <w:r w:rsidRPr="00290E3D">
              <w:rPr>
                <w:rFonts w:ascii="Times New Roman" w:eastAsia="Times New Roman" w:hAnsi="Times New Roman" w:cs="Times New Roman"/>
                <w:b/>
                <w:bCs/>
                <w:snapToGrid w:val="0"/>
              </w:rPr>
              <w:t>Pārbaudes brīdis</w:t>
            </w:r>
          </w:p>
        </w:tc>
      </w:tr>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FF322A">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1.1.</w:t>
            </w:r>
          </w:p>
        </w:tc>
        <w:tc>
          <w:tcPr>
            <w:tcW w:w="10415" w:type="dxa"/>
            <w:tcBorders>
              <w:top w:val="single" w:sz="4" w:space="0" w:color="auto"/>
              <w:left w:val="nil"/>
              <w:bottom w:val="single" w:sz="4" w:space="0" w:color="auto"/>
              <w:right w:val="single" w:sz="4" w:space="0" w:color="auto"/>
            </w:tcBorders>
            <w:noWrap/>
            <w:vAlign w:val="center"/>
          </w:tcPr>
          <w:p w:rsidR="003154D7" w:rsidRPr="00290E3D" w:rsidRDefault="003154D7" w:rsidP="00FF322A">
            <w:pPr>
              <w:widowControl w:val="0"/>
              <w:spacing w:after="12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snapToGrid w:val="0"/>
              </w:rPr>
              <w:t xml:space="preserve">Finansējuma saņēmējam piešķirtais atbalsts netiek kumulēts ar citu valsts atbalstu. </w:t>
            </w:r>
          </w:p>
          <w:p w:rsidR="003154D7" w:rsidRDefault="003154D7" w:rsidP="00FF322A">
            <w:pPr>
              <w:widowControl w:val="0"/>
              <w:spacing w:after="120" w:line="240" w:lineRule="auto"/>
              <w:jc w:val="both"/>
              <w:rPr>
                <w:rFonts w:ascii="Times New Roman" w:eastAsia="Times New Roman" w:hAnsi="Times New Roman" w:cs="Times New Roman"/>
                <w:i/>
                <w:snapToGrid w:val="0"/>
              </w:rPr>
            </w:pPr>
            <w:r w:rsidRPr="00290E3D">
              <w:rPr>
                <w:rFonts w:ascii="Times New Roman" w:eastAsia="Times New Roman" w:hAnsi="Times New Roman" w:cs="Times New Roman"/>
                <w:i/>
                <w:snapToGrid w:val="0"/>
              </w:rPr>
              <w:t>Pārbaudes laikā tiek salīdzināta info ar citiem VA lēmumiem, ja tādi tiks konstatēti, t.sk. MP pārbaudes laikā, piemēram, no konta pārskatiem.</w:t>
            </w:r>
          </w:p>
          <w:p w:rsidR="003154D7" w:rsidRDefault="003154D7" w:rsidP="00FF322A">
            <w:pPr>
              <w:widowControl w:val="0"/>
              <w:spacing w:after="120" w:line="240" w:lineRule="auto"/>
              <w:jc w:val="both"/>
              <w:rPr>
                <w:rFonts w:ascii="Times New Roman" w:eastAsia="Times New Roman" w:hAnsi="Times New Roman" w:cs="Times New Roman"/>
                <w:i/>
                <w:snapToGrid w:val="0"/>
              </w:rPr>
            </w:pPr>
            <w:r w:rsidRPr="00056A07">
              <w:rPr>
                <w:rFonts w:ascii="Times New Roman" w:hAnsi="Times New Roman" w:cs="Times New Roman"/>
                <w:i/>
              </w:rPr>
              <w:t>Piemēram</w:t>
            </w:r>
            <w:r>
              <w:t xml:space="preserve">, </w:t>
            </w:r>
            <w:r w:rsidRPr="00056A07">
              <w:rPr>
                <w:rFonts w:ascii="Times New Roman" w:eastAsia="Times New Roman" w:hAnsi="Times New Roman" w:cs="Times New Roman"/>
                <w:i/>
                <w:snapToGrid w:val="0"/>
              </w:rPr>
              <w:t xml:space="preserve">pie PPĪV tiek </w:t>
            </w:r>
            <w:r>
              <w:rPr>
                <w:rFonts w:ascii="Times New Roman" w:eastAsia="Times New Roman" w:hAnsi="Times New Roman" w:cs="Times New Roman"/>
                <w:i/>
                <w:snapToGrid w:val="0"/>
              </w:rPr>
              <w:t>pievērsta uzmanība citu potenciālu projektu publicitātes prasību ievērošanai (piemēram, plāksne pie telpām vai uzlīmes uz pamatlīdzekļiem)</w:t>
            </w:r>
            <w:r w:rsidRPr="00056A07">
              <w:rPr>
                <w:rFonts w:ascii="Times New Roman" w:eastAsia="Times New Roman" w:hAnsi="Times New Roman" w:cs="Times New Roman"/>
                <w:i/>
                <w:snapToGrid w:val="0"/>
              </w:rPr>
              <w:t>.</w:t>
            </w:r>
          </w:p>
          <w:p w:rsidR="003154D7" w:rsidRPr="00290E3D" w:rsidRDefault="003154D7" w:rsidP="00FF322A">
            <w:pPr>
              <w:widowControl w:val="0"/>
              <w:spacing w:after="120" w:line="240" w:lineRule="auto"/>
              <w:jc w:val="both"/>
              <w:rPr>
                <w:rFonts w:ascii="Times New Roman" w:eastAsia="Times New Roman" w:hAnsi="Times New Roman" w:cs="Times New Roman"/>
                <w:i/>
                <w:snapToGrid w:val="0"/>
              </w:rPr>
            </w:pPr>
            <w:r>
              <w:rPr>
                <w:rFonts w:ascii="Times New Roman" w:eastAsia="Times New Roman" w:hAnsi="Times New Roman" w:cs="Times New Roman"/>
                <w:i/>
                <w:snapToGrid w:val="0"/>
              </w:rPr>
              <w:t xml:space="preserve">Piemēram, </w:t>
            </w:r>
            <w:r w:rsidRPr="00056A07">
              <w:rPr>
                <w:rFonts w:ascii="Times New Roman" w:eastAsia="Times New Roman" w:hAnsi="Times New Roman" w:cs="Times New Roman"/>
                <w:i/>
                <w:snapToGrid w:val="0"/>
              </w:rPr>
              <w:t>pie NMP</w:t>
            </w:r>
            <w:r>
              <w:rPr>
                <w:rFonts w:ascii="Times New Roman" w:eastAsia="Times New Roman" w:hAnsi="Times New Roman" w:cs="Times New Roman"/>
                <w:i/>
                <w:snapToGrid w:val="0"/>
              </w:rPr>
              <w:t xml:space="preserve"> tiek pārbaudīti</w:t>
            </w:r>
            <w:r w:rsidRPr="00056A07">
              <w:rPr>
                <w:rFonts w:ascii="Times New Roman" w:eastAsia="Times New Roman" w:hAnsi="Times New Roman" w:cs="Times New Roman"/>
                <w:i/>
                <w:snapToGrid w:val="0"/>
              </w:rPr>
              <w:t xml:space="preserve"> iesniegt</w:t>
            </w:r>
            <w:r>
              <w:rPr>
                <w:rFonts w:ascii="Times New Roman" w:eastAsia="Times New Roman" w:hAnsi="Times New Roman" w:cs="Times New Roman"/>
                <w:i/>
                <w:snapToGrid w:val="0"/>
              </w:rPr>
              <w:t>ie</w:t>
            </w:r>
            <w:r w:rsidRPr="00056A07">
              <w:rPr>
                <w:rFonts w:ascii="Times New Roman" w:eastAsia="Times New Roman" w:hAnsi="Times New Roman" w:cs="Times New Roman"/>
                <w:i/>
                <w:snapToGrid w:val="0"/>
              </w:rPr>
              <w:t xml:space="preserve"> grāmatvedības konta apgrozījuma pārskat</w:t>
            </w:r>
            <w:r>
              <w:rPr>
                <w:rFonts w:ascii="Times New Roman" w:eastAsia="Times New Roman" w:hAnsi="Times New Roman" w:cs="Times New Roman"/>
                <w:i/>
                <w:snapToGrid w:val="0"/>
              </w:rPr>
              <w:t>i un</w:t>
            </w:r>
            <w:r w:rsidRPr="00056A07">
              <w:rPr>
                <w:rFonts w:ascii="Times New Roman" w:eastAsia="Times New Roman" w:hAnsi="Times New Roman" w:cs="Times New Roman"/>
                <w:i/>
                <w:snapToGrid w:val="0"/>
              </w:rPr>
              <w:t xml:space="preserve"> kontu plānu.</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FF322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 xml:space="preserve">SAM MK </w:t>
            </w:r>
          </w:p>
          <w:p w:rsidR="003154D7" w:rsidRPr="00290E3D" w:rsidRDefault="003154D7" w:rsidP="00FF322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14.punkts</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FF322A">
            <w:pPr>
              <w:widowControl w:val="0"/>
              <w:spacing w:before="100" w:after="100" w:line="240" w:lineRule="auto"/>
              <w:jc w:val="center"/>
              <w:rPr>
                <w:rFonts w:ascii="Times New Roman" w:eastAsia="Times New Roman" w:hAnsi="Times New Roman" w:cs="Times New Roman"/>
                <w:snapToGrid w:val="0"/>
              </w:rPr>
            </w:pPr>
            <w:r w:rsidRPr="0045116A">
              <w:rPr>
                <w:rFonts w:ascii="Times New Roman" w:eastAsia="Times New Roman" w:hAnsi="Times New Roman" w:cs="Times New Roman"/>
                <w:snapToGrid w:val="0"/>
              </w:rPr>
              <w:t>LG v</w:t>
            </w:r>
            <w:r>
              <w:rPr>
                <w:rFonts w:ascii="Times New Roman" w:eastAsia="Times New Roman" w:hAnsi="Times New Roman" w:cs="Times New Roman"/>
                <w:snapToGrid w:val="0"/>
              </w:rPr>
              <w:t>ai</w:t>
            </w:r>
            <w:r w:rsidRPr="00290E3D">
              <w:rPr>
                <w:rFonts w:ascii="Times New Roman" w:eastAsia="Times New Roman" w:hAnsi="Times New Roman" w:cs="Times New Roman"/>
                <w:snapToGrid w:val="0"/>
              </w:rPr>
              <w:t xml:space="preserve"> MP,</w:t>
            </w:r>
            <w:r>
              <w:rPr>
                <w:rFonts w:ascii="Times New Roman" w:eastAsia="Times New Roman" w:hAnsi="Times New Roman" w:cs="Times New Roman"/>
                <w:snapToGrid w:val="0"/>
              </w:rPr>
              <w:t xml:space="preserve"> vai</w:t>
            </w:r>
            <w:r w:rsidRPr="00290E3D">
              <w:rPr>
                <w:rFonts w:ascii="Times New Roman" w:eastAsia="Times New Roman" w:hAnsi="Times New Roman" w:cs="Times New Roman"/>
                <w:snapToGrid w:val="0"/>
              </w:rPr>
              <w:t xml:space="preserve"> NMP,</w:t>
            </w:r>
            <w:r>
              <w:rPr>
                <w:rFonts w:ascii="Times New Roman" w:eastAsia="Times New Roman" w:hAnsi="Times New Roman" w:cs="Times New Roman"/>
                <w:snapToGrid w:val="0"/>
              </w:rPr>
              <w:t xml:space="preserve"> vai</w:t>
            </w:r>
            <w:r w:rsidRPr="00290E3D">
              <w:rPr>
                <w:rFonts w:ascii="Times New Roman" w:eastAsia="Times New Roman" w:hAnsi="Times New Roman" w:cs="Times New Roman"/>
                <w:snapToGrid w:val="0"/>
              </w:rPr>
              <w:t xml:space="preserve"> PPĪV</w:t>
            </w:r>
          </w:p>
        </w:tc>
      </w:tr>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Del="009F0BB7" w:rsidRDefault="003154D7" w:rsidP="000211C8">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1.2.</w:t>
            </w:r>
          </w:p>
        </w:tc>
        <w:tc>
          <w:tcPr>
            <w:tcW w:w="10415" w:type="dxa"/>
            <w:tcBorders>
              <w:top w:val="single" w:sz="4" w:space="0" w:color="auto"/>
              <w:left w:val="nil"/>
              <w:bottom w:val="single" w:sz="4" w:space="0" w:color="auto"/>
              <w:right w:val="single" w:sz="4" w:space="0" w:color="auto"/>
            </w:tcBorders>
            <w:noWrap/>
            <w:vAlign w:val="center"/>
          </w:tcPr>
          <w:p w:rsidR="003154D7" w:rsidRDefault="003154D7" w:rsidP="000211C8">
            <w:pPr>
              <w:widowControl w:val="0"/>
              <w:spacing w:after="12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snapToGrid w:val="0"/>
              </w:rPr>
              <w:t>Nav mainījusies darbība un tās izmaksas, kādas tās bija paredzētas PIV, apstiprinot projektu, t.sk. ievērotas atbalsta intensitātes atbilstoši Komisijas regulas Nr.651/2014 25.panta vai 28.panta nosacījumiem.</w:t>
            </w:r>
          </w:p>
          <w:p w:rsidR="003154D7" w:rsidRPr="00290E3D" w:rsidRDefault="003154D7" w:rsidP="000211C8">
            <w:pPr>
              <w:widowControl w:val="0"/>
              <w:spacing w:before="100" w:after="0" w:line="240" w:lineRule="auto"/>
              <w:jc w:val="both"/>
              <w:rPr>
                <w:rFonts w:ascii="Times New Roman" w:eastAsia="Times New Roman" w:hAnsi="Times New Roman" w:cs="Times New Roman"/>
                <w:snapToGrid w:val="0"/>
                <w:shd w:val="clear" w:color="auto" w:fill="FFFFFF"/>
              </w:rPr>
            </w:pPr>
            <w:r w:rsidRPr="00290E3D">
              <w:rPr>
                <w:rFonts w:ascii="Times New Roman" w:eastAsia="Times New Roman" w:hAnsi="Times New Roman" w:cs="Times New Roman"/>
                <w:snapToGrid w:val="0"/>
                <w:shd w:val="clear" w:color="auto" w:fill="FFFFFF"/>
              </w:rPr>
              <w:t>Finansējuma saņēmējs ir:</w:t>
            </w:r>
          </w:p>
          <w:p w:rsidR="003154D7" w:rsidRPr="00290E3D" w:rsidRDefault="003154D7" w:rsidP="000211C8">
            <w:pPr>
              <w:pStyle w:val="ListParagraph"/>
              <w:widowControl w:val="0"/>
              <w:numPr>
                <w:ilvl w:val="0"/>
                <w:numId w:val="3"/>
              </w:numPr>
              <w:spacing w:before="100" w:after="0" w:line="240" w:lineRule="auto"/>
              <w:jc w:val="both"/>
              <w:rPr>
                <w:rFonts w:ascii="Times New Roman" w:eastAsia="Times New Roman" w:hAnsi="Times New Roman" w:cs="Times New Roman"/>
                <w:snapToGrid w:val="0"/>
                <w:shd w:val="clear" w:color="auto" w:fill="FFFFFF"/>
              </w:rPr>
            </w:pPr>
            <w:r w:rsidRPr="00290E3D">
              <w:rPr>
                <w:rFonts w:ascii="Times New Roman" w:eastAsia="Times New Roman" w:hAnsi="Times New Roman" w:cs="Times New Roman"/>
                <w:snapToGrid w:val="0"/>
                <w:shd w:val="clear" w:color="auto" w:fill="FFFFFF"/>
              </w:rPr>
              <w:t>pārrēķinājis projektam un katram labuma guvējam (ja attiecināms) pieļaujamo vidējo svērto publiskā finansējuma intensitāti un pieļaujamā publiskā finansējuma apmēru (turpmāk – pārrēķins) atbilstoši SAM MKN 33., 45., 46.punkta, 50.2.apakšpunkta un 3.pielikuma nosacījumiem, ņemot vērā faktisko projekta izdevumu sadalījumu pa katra labuma guvēja (ja attiecināms) projekta daļas ietvaros atbalstāmajām darbībām un pētniecības kategorijām;</w:t>
            </w:r>
          </w:p>
          <w:p w:rsidR="003154D7" w:rsidRPr="00290E3D" w:rsidRDefault="003154D7" w:rsidP="000211C8">
            <w:pPr>
              <w:pStyle w:val="ListParagraph"/>
              <w:widowControl w:val="0"/>
              <w:numPr>
                <w:ilvl w:val="0"/>
                <w:numId w:val="3"/>
              </w:numPr>
              <w:spacing w:before="100" w:after="0" w:line="240" w:lineRule="auto"/>
              <w:jc w:val="both"/>
              <w:rPr>
                <w:rFonts w:ascii="Times New Roman" w:eastAsia="Times New Roman" w:hAnsi="Times New Roman" w:cs="Times New Roman"/>
                <w:snapToGrid w:val="0"/>
                <w:shd w:val="clear" w:color="auto" w:fill="FFFFFF"/>
              </w:rPr>
            </w:pPr>
            <w:r w:rsidRPr="00290E3D">
              <w:rPr>
                <w:rFonts w:ascii="Times New Roman" w:eastAsia="Times New Roman" w:hAnsi="Times New Roman" w:cs="Times New Roman"/>
                <w:snapToGrid w:val="0"/>
                <w:shd w:val="clear" w:color="auto" w:fill="FFFFFF"/>
              </w:rPr>
              <w:t>ir iesniedzis saskaņošanai SAM MKN 61.2.1.apakšpunktā minēto pārrēķinu un projekta grozījumu iesniegumu, kas paredz publiskā finansējuma korekciju, kuru pamato pārrēķins, ja projekta īstenošanas laikā veiktas tādas izmaksu sadalījuma izmaiņas pa SAM MKN 8.punktā minētajām darbībām un SAM MKN 44. un 49.punktā minētajām attiecināmajām izmaksām, kas saskaņā ar pārrēķinu samazina projektam pieļaujamo publiskā finansējuma intensitāti.</w:t>
            </w:r>
          </w:p>
          <w:p w:rsidR="003154D7" w:rsidRPr="00290E3D" w:rsidRDefault="003154D7" w:rsidP="000211C8">
            <w:pPr>
              <w:widowControl w:val="0"/>
              <w:spacing w:after="12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i/>
                <w:snapToGrid w:val="0"/>
                <w:shd w:val="clear" w:color="auto" w:fill="FFFFFF"/>
              </w:rPr>
              <w:t>CFLA kontekstā ar b) punktu rīkojas saskaņā ar SAM MKN 62.punktu,  pārbaudot pārrēķinā izmantotos datus un rezultātu, ievērojot SAM MKN 33., 45., 46.punkta, 50.2.apakšpunkta un 3.pielikuma nosacījumus un finansējuma saņēmējam sniedzot informāciju par pārbaudes rezultātiem.</w:t>
            </w:r>
          </w:p>
          <w:p w:rsidR="003154D7" w:rsidRPr="00290E3D" w:rsidDel="00DF0BD8" w:rsidRDefault="003154D7" w:rsidP="000211C8">
            <w:pPr>
              <w:widowControl w:val="0"/>
              <w:spacing w:after="0" w:line="240" w:lineRule="auto"/>
              <w:jc w:val="both"/>
              <w:rPr>
                <w:rFonts w:ascii="Times New Roman" w:eastAsia="Times New Roman" w:hAnsi="Times New Roman" w:cs="Times New Roman"/>
                <w:i/>
                <w:snapToGrid w:val="0"/>
              </w:rPr>
            </w:pPr>
            <w:r w:rsidRPr="00290E3D">
              <w:rPr>
                <w:rFonts w:ascii="Times New Roman" w:eastAsia="Times New Roman" w:hAnsi="Times New Roman" w:cs="Times New Roman"/>
                <w:i/>
                <w:snapToGrid w:val="0"/>
              </w:rPr>
              <w:t>Pārbaudi veic salīdzinot ar apstiprināto projekta iesniegumu un SAM MK noteikumiem</w:t>
            </w:r>
            <w:r>
              <w:rPr>
                <w:rFonts w:ascii="Times New Roman" w:eastAsia="Times New Roman" w:hAnsi="Times New Roman" w:cs="Times New Roman"/>
                <w:i/>
                <w:snapToGrid w:val="0"/>
              </w:rPr>
              <w:t>. Pievērš uzmanību, vai darbības un izmaksas palikušas nemainīgas attiecībā uz piešķirto VA un tā regulējumu pa konkrētiem Komisijas regulas Nr.651/2014 pantiem. Svarīgi pievērst uzmanību, ka izmaksas nepalielinās nevienā no konkrētā panta ietvaros piešķirtajām summām, ņemot vērā, ka VA regulējums pieprasa stimulējošās ietekmes nosacījumu ievērošanu.</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0211C8">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 xml:space="preserve">SAM MKN </w:t>
            </w:r>
          </w:p>
          <w:p w:rsidR="003154D7" w:rsidRPr="00290E3D" w:rsidRDefault="003154D7" w:rsidP="000211C8">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3., 8., 22., 44., 45., 46., 53., 55.</w:t>
            </w:r>
            <w:r>
              <w:rPr>
                <w:rFonts w:ascii="Times New Roman" w:eastAsia="Times New Roman" w:hAnsi="Times New Roman" w:cs="Times New Roman"/>
                <w:lang w:eastAsia="fr-FR"/>
              </w:rPr>
              <w:t>, 61. un 62.</w:t>
            </w:r>
            <w:r w:rsidRPr="00290E3D">
              <w:rPr>
                <w:rFonts w:ascii="Times New Roman" w:eastAsia="Times New Roman" w:hAnsi="Times New Roman" w:cs="Times New Roman"/>
                <w:lang w:eastAsia="fr-FR"/>
              </w:rPr>
              <w:t>punkts</w:t>
            </w:r>
          </w:p>
          <w:p w:rsidR="003154D7" w:rsidRPr="00290E3D" w:rsidRDefault="003154D7" w:rsidP="000211C8">
            <w:pPr>
              <w:widowControl w:val="0"/>
              <w:spacing w:after="0" w:line="240" w:lineRule="auto"/>
              <w:ind w:left="-85" w:right="-70"/>
              <w:jc w:val="center"/>
              <w:rPr>
                <w:rFonts w:ascii="Times New Roman" w:eastAsia="Times New Roman" w:hAnsi="Times New Roman" w:cs="Times New Roman"/>
                <w:lang w:eastAsia="fr-FR"/>
              </w:rPr>
            </w:pP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0211C8">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 xml:space="preserve">LG </w:t>
            </w:r>
            <w:r>
              <w:rPr>
                <w:rFonts w:ascii="Times New Roman" w:eastAsia="Times New Roman" w:hAnsi="Times New Roman" w:cs="Times New Roman"/>
                <w:snapToGrid w:val="0"/>
              </w:rPr>
              <w:t>un NMP</w:t>
            </w:r>
          </w:p>
        </w:tc>
      </w:tr>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0211C8">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1.3.</w:t>
            </w:r>
          </w:p>
        </w:tc>
        <w:tc>
          <w:tcPr>
            <w:tcW w:w="10415" w:type="dxa"/>
            <w:tcBorders>
              <w:top w:val="single" w:sz="4" w:space="0" w:color="auto"/>
              <w:left w:val="nil"/>
              <w:bottom w:val="single" w:sz="4" w:space="0" w:color="auto"/>
              <w:right w:val="single" w:sz="4" w:space="0" w:color="auto"/>
            </w:tcBorders>
            <w:noWrap/>
            <w:vAlign w:val="center"/>
          </w:tcPr>
          <w:p w:rsidR="003154D7" w:rsidRDefault="003154D7" w:rsidP="000211C8">
            <w:pPr>
              <w:widowControl w:val="0"/>
              <w:spacing w:after="12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snapToGrid w:val="0"/>
              </w:rPr>
              <w:t>Ja finansējuma saņēmējam piešķirtais atbalsts palielināts atbilstoši SAM MKN 46.punkta nosacījumiem, ir izpildīts vismaz viens no Komisijas regulas Nr. 651/2014 25.panta 6.punkta "b" apakšpunkta nosacījumiem.</w:t>
            </w:r>
          </w:p>
          <w:p w:rsidR="003154D7" w:rsidRPr="00290E3D" w:rsidRDefault="003154D7" w:rsidP="000211C8">
            <w:pPr>
              <w:widowControl w:val="0"/>
              <w:spacing w:after="120" w:line="240" w:lineRule="auto"/>
              <w:jc w:val="both"/>
              <w:rPr>
                <w:rFonts w:ascii="Times New Roman" w:eastAsia="Times New Roman" w:hAnsi="Times New Roman" w:cs="Times New Roman"/>
                <w:snapToGrid w:val="0"/>
              </w:rPr>
            </w:pPr>
            <w:r>
              <w:rPr>
                <w:rFonts w:ascii="Times New Roman" w:eastAsia="Times New Roman" w:hAnsi="Times New Roman" w:cs="Times New Roman"/>
                <w:i/>
                <w:snapToGrid w:val="0"/>
              </w:rPr>
              <w:t>A</w:t>
            </w:r>
            <w:r w:rsidRPr="00EC30B6">
              <w:rPr>
                <w:rFonts w:ascii="Times New Roman" w:eastAsia="Times New Roman" w:hAnsi="Times New Roman" w:cs="Times New Roman"/>
                <w:i/>
                <w:snapToGrid w:val="0"/>
              </w:rPr>
              <w:t>praksta, vai ir bijusi efektīva sadarbība un ir bijusi rezultātu plaša izplatīšana, norādot uz avotiem, kur par šo var pārliecināties</w:t>
            </w:r>
            <w:r>
              <w:rPr>
                <w:rFonts w:ascii="Times New Roman" w:eastAsia="Times New Roman" w:hAnsi="Times New Roman" w:cs="Times New Roman"/>
                <w:snapToGrid w:val="0"/>
              </w:rPr>
              <w:t>.</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0211C8">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SAM MKN 46.punkts</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0211C8">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NMP</w:t>
            </w:r>
          </w:p>
        </w:tc>
      </w:tr>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360408">
            <w:pPr>
              <w:widowControl w:val="0"/>
              <w:spacing w:after="0" w:line="240" w:lineRule="auto"/>
              <w:jc w:val="center"/>
              <w:rPr>
                <w:rFonts w:ascii="Times New Roman" w:eastAsia="Times New Roman" w:hAnsi="Times New Roman" w:cs="Times New Roman"/>
                <w:lang w:eastAsia="fr-FR"/>
              </w:rPr>
            </w:pPr>
            <w:bookmarkStart w:id="0" w:name="_Hlk49166760"/>
            <w:r w:rsidRPr="00290E3D">
              <w:rPr>
                <w:rFonts w:ascii="Times New Roman" w:eastAsia="Times New Roman" w:hAnsi="Times New Roman" w:cs="Times New Roman"/>
                <w:lang w:eastAsia="fr-FR"/>
              </w:rPr>
              <w:t>1.4.</w:t>
            </w:r>
          </w:p>
        </w:tc>
        <w:tc>
          <w:tcPr>
            <w:tcW w:w="10415" w:type="dxa"/>
            <w:tcBorders>
              <w:top w:val="single" w:sz="4" w:space="0" w:color="auto"/>
              <w:left w:val="nil"/>
              <w:bottom w:val="single" w:sz="4" w:space="0" w:color="auto"/>
              <w:right w:val="single" w:sz="4" w:space="0" w:color="auto"/>
            </w:tcBorders>
            <w:noWrap/>
            <w:vAlign w:val="center"/>
          </w:tcPr>
          <w:p w:rsidR="003154D7" w:rsidRPr="00290E3D" w:rsidRDefault="003154D7" w:rsidP="00360408">
            <w:pPr>
              <w:widowControl w:val="0"/>
              <w:spacing w:before="100" w:after="10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snapToGrid w:val="0"/>
              </w:rPr>
              <w:t xml:space="preserve">Finansējuma saņēmējs nodrošina, ka visa nepieciešamā informācija par sniegto </w:t>
            </w:r>
            <w:r w:rsidRPr="00290E3D">
              <w:rPr>
                <w:rFonts w:ascii="Times New Roman" w:eastAsia="Times New Roman" w:hAnsi="Times New Roman" w:cs="Times New Roman"/>
                <w:snapToGrid w:val="0"/>
                <w:sz w:val="24"/>
                <w:szCs w:val="24"/>
              </w:rPr>
              <w:t xml:space="preserve">atbalstu </w:t>
            </w:r>
            <w:r w:rsidRPr="00290E3D">
              <w:rPr>
                <w:rFonts w:ascii="Times New Roman" w:eastAsia="Times New Roman" w:hAnsi="Times New Roman" w:cs="Times New Roman"/>
                <w:snapToGrid w:val="0"/>
              </w:rPr>
              <w:t>tiek uzglabāta 10 gadus pēc atbalsta piešķiršanas perioda beigām.</w:t>
            </w:r>
          </w:p>
          <w:p w:rsidR="003154D7" w:rsidRPr="00290E3D" w:rsidRDefault="003154D7" w:rsidP="00360408">
            <w:pPr>
              <w:widowControl w:val="0"/>
              <w:spacing w:before="100" w:after="10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i/>
                <w:snapToGrid w:val="0"/>
              </w:rPr>
              <w:t>Pārbaudi veic, pārbaudot lietu nomenklatūru.</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360408">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SAM MKN</w:t>
            </w:r>
          </w:p>
          <w:p w:rsidR="003154D7" w:rsidRPr="00290E3D" w:rsidRDefault="003154D7" w:rsidP="00360408">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70.punkts</w:t>
            </w:r>
            <w:r w:rsidRPr="00290E3D">
              <w:rPr>
                <w:rFonts w:ascii="Times New Roman" w:eastAsia="Times New Roman" w:hAnsi="Times New Roman" w:cs="Times New Roman"/>
                <w:color w:val="FF0000"/>
                <w:lang w:eastAsia="fr-FR"/>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360408">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PPĪV</w:t>
            </w:r>
            <w:r>
              <w:rPr>
                <w:rFonts w:ascii="Times New Roman" w:eastAsia="Times New Roman" w:hAnsi="Times New Roman" w:cs="Times New Roman"/>
                <w:snapToGrid w:val="0"/>
              </w:rPr>
              <w:t xml:space="preserve">, </w:t>
            </w:r>
            <w:proofErr w:type="spellStart"/>
            <w:r>
              <w:rPr>
                <w:rFonts w:ascii="Times New Roman" w:eastAsia="Times New Roman" w:hAnsi="Times New Roman" w:cs="Times New Roman"/>
                <w:snapToGrid w:val="0"/>
              </w:rPr>
              <w:t>pēcuzraudzība</w:t>
            </w:r>
            <w:proofErr w:type="spellEnd"/>
          </w:p>
        </w:tc>
      </w:tr>
      <w:bookmarkEnd w:id="0"/>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1.5.</w:t>
            </w:r>
          </w:p>
        </w:tc>
        <w:tc>
          <w:tcPr>
            <w:tcW w:w="10415"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before="100" w:after="100" w:line="240" w:lineRule="auto"/>
              <w:jc w:val="both"/>
              <w:rPr>
                <w:rFonts w:ascii="Times New Roman" w:eastAsia="Times New Roman" w:hAnsi="Times New Roman" w:cs="Times New Roman"/>
                <w:i/>
                <w:snapToGrid w:val="0"/>
              </w:rPr>
            </w:pPr>
            <w:r w:rsidRPr="00290E3D">
              <w:rPr>
                <w:rFonts w:ascii="Times New Roman" w:eastAsia="Times New Roman" w:hAnsi="Times New Roman" w:cs="Times New Roman"/>
                <w:snapToGrid w:val="0"/>
              </w:rPr>
              <w:t xml:space="preserve">Ja kāda no nozarēm, kurā darbojas FS, nav atbalstāma, FS skaidri nodala darbības atbalstāmajās nozarēs un ar to </w:t>
            </w:r>
            <w:r w:rsidRPr="0045116A">
              <w:rPr>
                <w:rFonts w:ascii="Times New Roman" w:eastAsia="Times New Roman" w:hAnsi="Times New Roman" w:cs="Times New Roman"/>
                <w:snapToGrid w:val="0"/>
              </w:rPr>
              <w:t>īstenošanu saistītās finanšu plūsmas no citu nozaru darbībām un finanšu plūsmām projekta īstenošanas laikā un piecus gadus pēc noslēguma maksājuma veikšanas.</w:t>
            </w:r>
          </w:p>
          <w:p w:rsidR="003154D7" w:rsidRPr="00290E3D" w:rsidRDefault="003154D7" w:rsidP="00E4521A">
            <w:pPr>
              <w:widowControl w:val="0"/>
              <w:spacing w:before="100" w:after="100" w:line="240" w:lineRule="auto"/>
              <w:jc w:val="both"/>
              <w:rPr>
                <w:rFonts w:ascii="Times New Roman" w:eastAsia="Times New Roman" w:hAnsi="Times New Roman" w:cs="Times New Roman"/>
                <w:i/>
                <w:snapToGrid w:val="0"/>
              </w:rPr>
            </w:pPr>
            <w:r w:rsidRPr="00290E3D">
              <w:rPr>
                <w:rFonts w:ascii="Times New Roman" w:eastAsia="Times New Roman" w:hAnsi="Times New Roman" w:cs="Times New Roman"/>
                <w:i/>
                <w:snapToGrid w:val="0"/>
              </w:rPr>
              <w:t>Informāciju var skatīt, piemēram, gada pārskata ieņēmumu sadalījumā pa nozarēm, vai konstatējot faktisko saimniecisko darbību PPĪV laikā.</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SAM MKN</w:t>
            </w:r>
          </w:p>
          <w:p w:rsidR="003154D7" w:rsidRPr="00290E3D" w:rsidRDefault="003154D7" w:rsidP="00E4521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28.7.punkts</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PPĪV vai MP vai NMP</w:t>
            </w:r>
          </w:p>
        </w:tc>
      </w:tr>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1.6.</w:t>
            </w:r>
          </w:p>
        </w:tc>
        <w:tc>
          <w:tcPr>
            <w:tcW w:w="10415"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before="100" w:after="10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snapToGrid w:val="0"/>
              </w:rPr>
              <w:t>Ja finansējuma saņēmējs veic gan saimnieciskas darbības, gan darbības, kam nav saimnieciska rakstura, tas nodala darbību veidus un to izmaksas, finansējumu un ieņēmumus tā, lai efektīvi novērstu saimnieciskās darbības šķērssubsidēšanu.</w:t>
            </w:r>
          </w:p>
          <w:p w:rsidR="003154D7" w:rsidRPr="00290E3D" w:rsidRDefault="003154D7" w:rsidP="00E4521A">
            <w:pPr>
              <w:widowControl w:val="0"/>
              <w:spacing w:before="100" w:after="100" w:line="240" w:lineRule="auto"/>
              <w:jc w:val="both"/>
              <w:rPr>
                <w:rFonts w:ascii="Times New Roman" w:eastAsia="Times New Roman" w:hAnsi="Times New Roman" w:cs="Times New Roman"/>
                <w:snapToGrid w:val="0"/>
              </w:rPr>
            </w:pPr>
            <w:r w:rsidRPr="00290E3D">
              <w:rPr>
                <w:rFonts w:ascii="Times New Roman" w:eastAsia="Times New Roman" w:hAnsi="Times New Roman" w:cs="Times New Roman"/>
                <w:i/>
                <w:snapToGrid w:val="0"/>
              </w:rPr>
              <w:t>Informāciju var skatīt, piemēram, gada pārskatā.</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SAM MKN</w:t>
            </w:r>
          </w:p>
          <w:p w:rsidR="003154D7" w:rsidRPr="00290E3D" w:rsidRDefault="003154D7" w:rsidP="00E4521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28.8.punkts</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PPĪV vai MP vai NMP</w:t>
            </w:r>
          </w:p>
        </w:tc>
      </w:tr>
      <w:tr w:rsidR="003154D7" w:rsidRPr="00290E3D" w:rsidTr="003154D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w:t>
            </w:r>
            <w:r>
              <w:rPr>
                <w:rFonts w:ascii="Times New Roman" w:eastAsia="Times New Roman" w:hAnsi="Times New Roman" w:cs="Times New Roman"/>
                <w:lang w:eastAsia="fr-FR"/>
              </w:rPr>
              <w:t>7</w:t>
            </w:r>
            <w:r w:rsidRPr="00290E3D">
              <w:rPr>
                <w:rFonts w:ascii="Times New Roman" w:eastAsia="Times New Roman" w:hAnsi="Times New Roman" w:cs="Times New Roman"/>
                <w:lang w:eastAsia="fr-FR"/>
              </w:rPr>
              <w:t>.</w:t>
            </w:r>
          </w:p>
        </w:tc>
        <w:tc>
          <w:tcPr>
            <w:tcW w:w="10415" w:type="dxa"/>
            <w:tcBorders>
              <w:top w:val="single" w:sz="4" w:space="0" w:color="auto"/>
              <w:left w:val="nil"/>
              <w:bottom w:val="single" w:sz="4" w:space="0" w:color="auto"/>
              <w:right w:val="single" w:sz="4" w:space="0" w:color="auto"/>
            </w:tcBorders>
            <w:noWrap/>
            <w:vAlign w:val="center"/>
          </w:tcPr>
          <w:p w:rsidR="003154D7" w:rsidRDefault="003154D7" w:rsidP="00E4521A">
            <w:pPr>
              <w:widowControl w:val="0"/>
              <w:spacing w:before="100" w:after="0" w:line="240" w:lineRule="auto"/>
              <w:jc w:val="both"/>
              <w:rPr>
                <w:rFonts w:ascii="Times New Roman" w:eastAsia="Times New Roman" w:hAnsi="Times New Roman" w:cs="Times New Roman"/>
                <w:snapToGrid w:val="0"/>
                <w:shd w:val="clear" w:color="auto" w:fill="FFFFFF"/>
              </w:rPr>
            </w:pPr>
            <w:r w:rsidRPr="00290E3D">
              <w:rPr>
                <w:rFonts w:ascii="Times New Roman" w:eastAsia="Times New Roman" w:hAnsi="Times New Roman" w:cs="Times New Roman"/>
                <w:snapToGrid w:val="0"/>
                <w:shd w:val="clear" w:color="auto" w:fill="FFFFFF"/>
              </w:rPr>
              <w:t>Projekta īstenošanai nepieciešamo nacionālo līdzfinansējumu nodrošina no FS privātā finansējuma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rsidR="003154D7" w:rsidRPr="00174494" w:rsidRDefault="003154D7" w:rsidP="00E4521A">
            <w:pPr>
              <w:widowControl w:val="0"/>
              <w:spacing w:before="100" w:after="0" w:line="240" w:lineRule="auto"/>
              <w:jc w:val="both"/>
              <w:rPr>
                <w:rFonts w:ascii="Times New Roman" w:eastAsia="Times New Roman" w:hAnsi="Times New Roman" w:cs="Times New Roman"/>
                <w:i/>
                <w:snapToGrid w:val="0"/>
                <w:shd w:val="clear" w:color="auto" w:fill="FFFFFF"/>
              </w:rPr>
            </w:pPr>
            <w:r w:rsidRPr="00174494">
              <w:rPr>
                <w:rFonts w:ascii="Times New Roman" w:eastAsia="Times New Roman" w:hAnsi="Times New Roman" w:cs="Times New Roman"/>
                <w:i/>
                <w:snapToGrid w:val="0"/>
                <w:shd w:val="clear" w:color="auto" w:fill="FFFFFF"/>
              </w:rPr>
              <w:t>Pārbauda, piemēram, projekta konta pārskatu vai gada pārskatu, kur jābūt pieejamai informācijai par projekta finansējumu</w:t>
            </w:r>
            <w:r>
              <w:rPr>
                <w:rFonts w:ascii="Times New Roman" w:eastAsia="Times New Roman" w:hAnsi="Times New Roman" w:cs="Times New Roman"/>
                <w:i/>
                <w:snapToGrid w:val="0"/>
                <w:shd w:val="clear" w:color="auto" w:fill="FFFFFF"/>
              </w:rPr>
              <w:t xml:space="preserve"> un tā izcelsmi</w:t>
            </w:r>
            <w:r w:rsidRPr="00174494">
              <w:rPr>
                <w:rFonts w:ascii="Times New Roman" w:eastAsia="Times New Roman" w:hAnsi="Times New Roman" w:cs="Times New Roman"/>
                <w:i/>
                <w:snapToGrid w:val="0"/>
                <w:shd w:val="clear" w:color="auto" w:fill="FFFFFF"/>
              </w:rPr>
              <w:t xml:space="preserve">. </w:t>
            </w:r>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SAM MKN 30.2.punkts</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NMP</w:t>
            </w:r>
          </w:p>
        </w:tc>
      </w:tr>
      <w:tr w:rsidR="003154D7" w:rsidRPr="00290E3D" w:rsidTr="003154D7">
        <w:trPr>
          <w:trHeight w:val="974"/>
          <w:jc w:val="center"/>
        </w:trPr>
        <w:tc>
          <w:tcPr>
            <w:tcW w:w="567"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after="0" w:line="240" w:lineRule="auto"/>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1.</w:t>
            </w:r>
            <w:r>
              <w:rPr>
                <w:rFonts w:ascii="Times New Roman" w:eastAsia="Times New Roman" w:hAnsi="Times New Roman" w:cs="Times New Roman"/>
                <w:lang w:eastAsia="fr-FR"/>
              </w:rPr>
              <w:t>8</w:t>
            </w:r>
            <w:r w:rsidRPr="00290E3D">
              <w:rPr>
                <w:rFonts w:ascii="Times New Roman" w:eastAsia="Times New Roman" w:hAnsi="Times New Roman" w:cs="Times New Roman"/>
                <w:lang w:eastAsia="fr-FR"/>
              </w:rPr>
              <w:t>.</w:t>
            </w:r>
          </w:p>
        </w:tc>
        <w:tc>
          <w:tcPr>
            <w:tcW w:w="10415"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before="100" w:after="0" w:line="240" w:lineRule="auto"/>
              <w:jc w:val="both"/>
              <w:rPr>
                <w:rFonts w:ascii="Times New Roman" w:eastAsia="Times New Roman" w:hAnsi="Times New Roman" w:cs="Times New Roman"/>
                <w:snapToGrid w:val="0"/>
                <w:shd w:val="clear" w:color="auto" w:fill="FFFFFF"/>
              </w:rPr>
            </w:pPr>
            <w:r w:rsidRPr="00290E3D">
              <w:rPr>
                <w:rFonts w:ascii="Times New Roman" w:eastAsia="Times New Roman" w:hAnsi="Times New Roman" w:cs="Times New Roman"/>
                <w:snapToGrid w:val="0"/>
                <w:shd w:val="clear" w:color="auto" w:fill="FFFFFF"/>
              </w:rPr>
              <w:t>Finansējuma saņēmējs ir katrai izdevumu pozīcijai piemērojis konkrēta labuma guvēja projekta daļai atbilstošo vidējo svērto publiskā finansējuma intensitāti, kas aprēķināta atbilstoši SAM MKN 33., 45., 46.punkta, 50.2.apakšpunkta un 3.pielikuma nosacījumiem</w:t>
            </w:r>
            <w:bookmarkStart w:id="1" w:name="_GoBack"/>
            <w:bookmarkEnd w:id="1"/>
          </w:p>
        </w:tc>
        <w:tc>
          <w:tcPr>
            <w:tcW w:w="1629" w:type="dxa"/>
            <w:tcBorders>
              <w:top w:val="single" w:sz="4" w:space="0" w:color="auto"/>
              <w:left w:val="nil"/>
              <w:bottom w:val="single" w:sz="4" w:space="0" w:color="auto"/>
              <w:right w:val="single" w:sz="4" w:space="0" w:color="auto"/>
            </w:tcBorders>
            <w:noWrap/>
            <w:vAlign w:val="center"/>
          </w:tcPr>
          <w:p w:rsidR="003154D7" w:rsidRPr="00290E3D" w:rsidRDefault="003154D7" w:rsidP="00E4521A">
            <w:pPr>
              <w:widowControl w:val="0"/>
              <w:spacing w:after="0" w:line="240" w:lineRule="auto"/>
              <w:ind w:left="-85" w:right="-70"/>
              <w:jc w:val="center"/>
              <w:rPr>
                <w:rFonts w:ascii="Times New Roman" w:eastAsia="Times New Roman" w:hAnsi="Times New Roman" w:cs="Times New Roman"/>
                <w:lang w:eastAsia="fr-FR"/>
              </w:rPr>
            </w:pPr>
            <w:r w:rsidRPr="00290E3D">
              <w:rPr>
                <w:rFonts w:ascii="Times New Roman" w:eastAsia="Times New Roman" w:hAnsi="Times New Roman" w:cs="Times New Roman"/>
                <w:lang w:eastAsia="fr-FR"/>
              </w:rPr>
              <w:t>SAM MKN 61.punkts</w:t>
            </w:r>
          </w:p>
        </w:tc>
        <w:tc>
          <w:tcPr>
            <w:tcW w:w="1489" w:type="dxa"/>
            <w:tcBorders>
              <w:top w:val="single" w:sz="4" w:space="0" w:color="auto"/>
              <w:left w:val="single" w:sz="4" w:space="0" w:color="auto"/>
              <w:bottom w:val="single" w:sz="4" w:space="0" w:color="auto"/>
              <w:right w:val="single" w:sz="4" w:space="0" w:color="auto"/>
            </w:tcBorders>
            <w:vAlign w:val="center"/>
          </w:tcPr>
          <w:p w:rsidR="003154D7" w:rsidRPr="00290E3D" w:rsidRDefault="003154D7" w:rsidP="00E4521A">
            <w:pPr>
              <w:widowControl w:val="0"/>
              <w:spacing w:before="100" w:after="100" w:line="240" w:lineRule="auto"/>
              <w:jc w:val="center"/>
              <w:rPr>
                <w:rFonts w:ascii="Times New Roman" w:eastAsia="Times New Roman" w:hAnsi="Times New Roman" w:cs="Times New Roman"/>
                <w:snapToGrid w:val="0"/>
              </w:rPr>
            </w:pPr>
            <w:r w:rsidRPr="00290E3D">
              <w:rPr>
                <w:rFonts w:ascii="Times New Roman" w:eastAsia="Times New Roman" w:hAnsi="Times New Roman" w:cs="Times New Roman"/>
                <w:snapToGrid w:val="0"/>
              </w:rPr>
              <w:t>MP un LG</w:t>
            </w:r>
          </w:p>
        </w:tc>
      </w:tr>
    </w:tbl>
    <w:p w:rsidR="00FF322A" w:rsidRPr="00290E3D" w:rsidRDefault="00FF322A" w:rsidP="00FF322A">
      <w:pPr>
        <w:spacing w:after="0" w:line="240" w:lineRule="auto"/>
        <w:rPr>
          <w:rFonts w:ascii="Times New Roman" w:eastAsia="Times New Roman" w:hAnsi="Times New Roman" w:cs="Times New Roman"/>
          <w:b/>
          <w:bCs/>
          <w:snapToGrid w:val="0"/>
          <w:u w:val="single"/>
        </w:rPr>
      </w:pPr>
    </w:p>
    <w:p w:rsidR="00FF322A" w:rsidRPr="00290E3D" w:rsidRDefault="00FF322A" w:rsidP="00FF322A">
      <w:pPr>
        <w:widowControl w:val="0"/>
        <w:spacing w:after="0" w:line="240" w:lineRule="auto"/>
        <w:rPr>
          <w:rFonts w:ascii="Times New Roman" w:eastAsia="Times New Roman" w:hAnsi="Times New Roman" w:cs="Times New Roman"/>
          <w:b/>
          <w:bCs/>
          <w:snapToGrid w:val="0"/>
          <w:u w:val="single"/>
        </w:rPr>
      </w:pPr>
      <w:r w:rsidRPr="00290E3D">
        <w:rPr>
          <w:rFonts w:ascii="Times New Roman" w:eastAsia="Times New Roman" w:hAnsi="Times New Roman" w:cs="Times New Roman"/>
          <w:b/>
          <w:bCs/>
          <w:snapToGrid w:val="0"/>
          <w:u w:val="single"/>
        </w:rPr>
        <w:t>KOMENTĀRI</w:t>
      </w:r>
    </w:p>
    <w:p w:rsidR="00FF322A" w:rsidRPr="00290E3D" w:rsidRDefault="00FF322A" w:rsidP="00FF322A">
      <w:pPr>
        <w:widowControl w:val="0"/>
        <w:spacing w:after="0" w:line="240" w:lineRule="auto"/>
        <w:rPr>
          <w:rFonts w:ascii="Times New Roman" w:eastAsia="Times New Roman" w:hAnsi="Times New Roman" w:cs="Times New Roman"/>
          <w:b/>
          <w:bCs/>
          <w:snapToGrid w:val="0"/>
          <w:u w:val="single"/>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361"/>
      </w:tblGrid>
      <w:tr w:rsidR="00FF322A" w:rsidRPr="00290E3D" w:rsidTr="003154D7">
        <w:tc>
          <w:tcPr>
            <w:tcW w:w="1701" w:type="dxa"/>
            <w:shd w:val="clear" w:color="auto" w:fill="D9D9D9"/>
          </w:tcPr>
          <w:p w:rsidR="00FF322A" w:rsidRPr="00290E3D" w:rsidRDefault="00FF322A" w:rsidP="00FF322A">
            <w:pPr>
              <w:widowControl w:val="0"/>
              <w:tabs>
                <w:tab w:val="left" w:pos="972"/>
              </w:tabs>
              <w:spacing w:before="60" w:after="60" w:line="240" w:lineRule="auto"/>
              <w:ind w:right="72"/>
              <w:jc w:val="center"/>
              <w:rPr>
                <w:rFonts w:ascii="Times New Roman" w:eastAsia="Times New Roman" w:hAnsi="Times New Roman" w:cs="Times New Roman"/>
                <w:snapToGrid w:val="0"/>
              </w:rPr>
            </w:pPr>
            <w:r w:rsidRPr="00290E3D">
              <w:rPr>
                <w:rFonts w:ascii="Times New Roman" w:eastAsia="Times New Roman" w:hAnsi="Times New Roman" w:cs="Times New Roman"/>
                <w:b/>
                <w:snapToGrid w:val="0"/>
              </w:rPr>
              <w:t>Komentāra Nr.</w:t>
            </w:r>
          </w:p>
        </w:tc>
        <w:tc>
          <w:tcPr>
            <w:tcW w:w="12361" w:type="dxa"/>
            <w:shd w:val="clear" w:color="auto" w:fill="D9D9D9"/>
          </w:tcPr>
          <w:p w:rsidR="00FF322A" w:rsidRPr="00290E3D" w:rsidRDefault="00FF322A" w:rsidP="00FF322A">
            <w:pPr>
              <w:widowControl w:val="0"/>
              <w:spacing w:before="60" w:after="60" w:line="240" w:lineRule="auto"/>
              <w:jc w:val="center"/>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Piezīme</w:t>
            </w:r>
            <w:r w:rsidR="003154D7">
              <w:rPr>
                <w:rFonts w:ascii="Times New Roman" w:eastAsia="Times New Roman" w:hAnsi="Times New Roman" w:cs="Times New Roman"/>
                <w:b/>
                <w:snapToGrid w:val="0"/>
              </w:rPr>
              <w:t>s</w:t>
            </w:r>
          </w:p>
        </w:tc>
      </w:tr>
      <w:tr w:rsidR="00FF322A" w:rsidRPr="00290E3D" w:rsidTr="003154D7">
        <w:tc>
          <w:tcPr>
            <w:tcW w:w="1701" w:type="dxa"/>
            <w:shd w:val="clear" w:color="auto" w:fill="auto"/>
          </w:tcPr>
          <w:p w:rsidR="00FF322A" w:rsidRPr="00290E3D" w:rsidRDefault="00FF322A" w:rsidP="00FF322A">
            <w:pPr>
              <w:widowControl w:val="0"/>
              <w:spacing w:before="100" w:after="100" w:line="240" w:lineRule="auto"/>
              <w:rPr>
                <w:rFonts w:ascii="Times New Roman" w:eastAsia="Times New Roman" w:hAnsi="Times New Roman" w:cs="Times New Roman"/>
                <w:snapToGrid w:val="0"/>
              </w:rPr>
            </w:pPr>
            <w:r w:rsidRPr="00290E3D">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290E3D">
              <w:rPr>
                <w:rFonts w:ascii="Times New Roman" w:eastAsia="Times New Roman" w:hAnsi="Times New Roman" w:cs="Times New Roman"/>
                <w:b/>
                <w:snapToGrid w:val="0"/>
                <w:highlight w:val="lightGray"/>
                <w:shd w:val="clear" w:color="auto" w:fill="BFBFBF"/>
              </w:rPr>
              <w:instrText xml:space="preserve"> FORMTEXT </w:instrText>
            </w:r>
            <w:r w:rsidRPr="00290E3D">
              <w:rPr>
                <w:rFonts w:ascii="Times New Roman" w:eastAsia="Times New Roman" w:hAnsi="Times New Roman" w:cs="Times New Roman"/>
                <w:b/>
                <w:snapToGrid w:val="0"/>
                <w:highlight w:val="lightGray"/>
                <w:shd w:val="clear" w:color="auto" w:fill="BFBFBF"/>
              </w:rPr>
            </w:r>
            <w:r w:rsidRPr="00290E3D">
              <w:rPr>
                <w:rFonts w:ascii="Times New Roman" w:eastAsia="Times New Roman" w:hAnsi="Times New Roman" w:cs="Times New Roman"/>
                <w:b/>
                <w:snapToGrid w:val="0"/>
                <w:highlight w:val="lightGray"/>
                <w:shd w:val="clear" w:color="auto" w:fill="BFBFBF"/>
              </w:rPr>
              <w:fldChar w:fldCharType="separate"/>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fldChar w:fldCharType="end"/>
            </w:r>
          </w:p>
        </w:tc>
        <w:tc>
          <w:tcPr>
            <w:tcW w:w="12361" w:type="dxa"/>
            <w:shd w:val="clear" w:color="auto" w:fill="auto"/>
          </w:tcPr>
          <w:p w:rsidR="00FF322A" w:rsidRPr="00290E3D" w:rsidRDefault="00FF322A" w:rsidP="00FF322A">
            <w:pPr>
              <w:widowControl w:val="0"/>
              <w:spacing w:before="100" w:after="100" w:line="240" w:lineRule="auto"/>
              <w:rPr>
                <w:rFonts w:ascii="Times New Roman" w:eastAsia="Times New Roman" w:hAnsi="Times New Roman" w:cs="Times New Roman"/>
                <w:snapToGrid w:val="0"/>
              </w:rPr>
            </w:pPr>
            <w:r w:rsidRPr="00290E3D">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290E3D">
              <w:rPr>
                <w:rFonts w:ascii="Times New Roman" w:eastAsia="Times New Roman" w:hAnsi="Times New Roman" w:cs="Times New Roman"/>
                <w:b/>
                <w:snapToGrid w:val="0"/>
                <w:highlight w:val="lightGray"/>
                <w:shd w:val="clear" w:color="auto" w:fill="BFBFBF"/>
              </w:rPr>
              <w:instrText xml:space="preserve"> FORMTEXT </w:instrText>
            </w:r>
            <w:r w:rsidRPr="00290E3D">
              <w:rPr>
                <w:rFonts w:ascii="Times New Roman" w:eastAsia="Times New Roman" w:hAnsi="Times New Roman" w:cs="Times New Roman"/>
                <w:b/>
                <w:snapToGrid w:val="0"/>
                <w:highlight w:val="lightGray"/>
                <w:shd w:val="clear" w:color="auto" w:fill="BFBFBF"/>
              </w:rPr>
            </w:r>
            <w:r w:rsidRPr="00290E3D">
              <w:rPr>
                <w:rFonts w:ascii="Times New Roman" w:eastAsia="Times New Roman" w:hAnsi="Times New Roman" w:cs="Times New Roman"/>
                <w:b/>
                <w:snapToGrid w:val="0"/>
                <w:highlight w:val="lightGray"/>
                <w:shd w:val="clear" w:color="auto" w:fill="BFBFBF"/>
              </w:rPr>
              <w:fldChar w:fldCharType="separate"/>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fldChar w:fldCharType="end"/>
            </w:r>
          </w:p>
        </w:tc>
      </w:tr>
      <w:tr w:rsidR="00FF322A" w:rsidRPr="00290E3D" w:rsidTr="003154D7">
        <w:tc>
          <w:tcPr>
            <w:tcW w:w="1701" w:type="dxa"/>
            <w:shd w:val="clear" w:color="auto" w:fill="auto"/>
          </w:tcPr>
          <w:p w:rsidR="00FF322A" w:rsidRPr="00290E3D" w:rsidRDefault="00FF322A" w:rsidP="00FF322A">
            <w:pPr>
              <w:widowControl w:val="0"/>
              <w:spacing w:before="100" w:after="100" w:line="240" w:lineRule="auto"/>
              <w:rPr>
                <w:rFonts w:ascii="Times New Roman" w:eastAsia="Times New Roman" w:hAnsi="Times New Roman" w:cs="Times New Roman"/>
                <w:snapToGrid w:val="0"/>
              </w:rPr>
            </w:pPr>
            <w:r w:rsidRPr="00290E3D">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290E3D">
              <w:rPr>
                <w:rFonts w:ascii="Times New Roman" w:eastAsia="Times New Roman" w:hAnsi="Times New Roman" w:cs="Times New Roman"/>
                <w:b/>
                <w:snapToGrid w:val="0"/>
                <w:highlight w:val="lightGray"/>
                <w:shd w:val="clear" w:color="auto" w:fill="BFBFBF"/>
              </w:rPr>
              <w:instrText xml:space="preserve"> FORMTEXT </w:instrText>
            </w:r>
            <w:r w:rsidRPr="00290E3D">
              <w:rPr>
                <w:rFonts w:ascii="Times New Roman" w:eastAsia="Times New Roman" w:hAnsi="Times New Roman" w:cs="Times New Roman"/>
                <w:b/>
                <w:snapToGrid w:val="0"/>
                <w:highlight w:val="lightGray"/>
                <w:shd w:val="clear" w:color="auto" w:fill="BFBFBF"/>
              </w:rPr>
            </w:r>
            <w:r w:rsidRPr="00290E3D">
              <w:rPr>
                <w:rFonts w:ascii="Times New Roman" w:eastAsia="Times New Roman" w:hAnsi="Times New Roman" w:cs="Times New Roman"/>
                <w:b/>
                <w:snapToGrid w:val="0"/>
                <w:highlight w:val="lightGray"/>
                <w:shd w:val="clear" w:color="auto" w:fill="BFBFBF"/>
              </w:rPr>
              <w:fldChar w:fldCharType="separate"/>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fldChar w:fldCharType="end"/>
            </w:r>
          </w:p>
        </w:tc>
        <w:tc>
          <w:tcPr>
            <w:tcW w:w="12361" w:type="dxa"/>
            <w:shd w:val="clear" w:color="auto" w:fill="auto"/>
          </w:tcPr>
          <w:p w:rsidR="00FF322A" w:rsidRPr="00290E3D" w:rsidRDefault="00FF322A" w:rsidP="00FF322A">
            <w:pPr>
              <w:widowControl w:val="0"/>
              <w:spacing w:before="100" w:after="100" w:line="240" w:lineRule="auto"/>
              <w:rPr>
                <w:rFonts w:ascii="Times New Roman" w:eastAsia="Times New Roman" w:hAnsi="Times New Roman" w:cs="Times New Roman"/>
                <w:snapToGrid w:val="0"/>
              </w:rPr>
            </w:pPr>
            <w:r w:rsidRPr="00290E3D">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290E3D">
              <w:rPr>
                <w:rFonts w:ascii="Times New Roman" w:eastAsia="Times New Roman" w:hAnsi="Times New Roman" w:cs="Times New Roman"/>
                <w:b/>
                <w:snapToGrid w:val="0"/>
                <w:highlight w:val="lightGray"/>
                <w:shd w:val="clear" w:color="auto" w:fill="BFBFBF"/>
              </w:rPr>
              <w:instrText xml:space="preserve"> FORMTEXT </w:instrText>
            </w:r>
            <w:r w:rsidRPr="00290E3D">
              <w:rPr>
                <w:rFonts w:ascii="Times New Roman" w:eastAsia="Times New Roman" w:hAnsi="Times New Roman" w:cs="Times New Roman"/>
                <w:b/>
                <w:snapToGrid w:val="0"/>
                <w:highlight w:val="lightGray"/>
                <w:shd w:val="clear" w:color="auto" w:fill="BFBFBF"/>
              </w:rPr>
            </w:r>
            <w:r w:rsidRPr="00290E3D">
              <w:rPr>
                <w:rFonts w:ascii="Times New Roman" w:eastAsia="Times New Roman" w:hAnsi="Times New Roman" w:cs="Times New Roman"/>
                <w:b/>
                <w:snapToGrid w:val="0"/>
                <w:highlight w:val="lightGray"/>
                <w:shd w:val="clear" w:color="auto" w:fill="BFBFBF"/>
              </w:rPr>
              <w:fldChar w:fldCharType="separate"/>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t> </w:t>
            </w:r>
            <w:r w:rsidRPr="00290E3D">
              <w:rPr>
                <w:rFonts w:ascii="Times New Roman" w:eastAsia="Times New Roman" w:hAnsi="Times New Roman" w:cs="Times New Roman"/>
                <w:b/>
                <w:snapToGrid w:val="0"/>
                <w:highlight w:val="lightGray"/>
                <w:shd w:val="clear" w:color="auto" w:fill="BFBFBF"/>
              </w:rPr>
              <w:fldChar w:fldCharType="end"/>
            </w:r>
          </w:p>
        </w:tc>
      </w:tr>
    </w:tbl>
    <w:p w:rsidR="00FF322A" w:rsidRPr="00290E3D" w:rsidRDefault="00FF322A" w:rsidP="00FF322A">
      <w:pPr>
        <w:widowControl w:val="0"/>
        <w:spacing w:before="100" w:after="100" w:line="240" w:lineRule="auto"/>
        <w:rPr>
          <w:rFonts w:ascii="Times New Roman" w:eastAsia="Times New Roman" w:hAnsi="Times New Roman" w:cs="Times New Roman"/>
          <w:snapToGrid w:val="0"/>
        </w:rPr>
      </w:pPr>
    </w:p>
    <w:p w:rsidR="00B800BE" w:rsidRPr="00290E3D" w:rsidRDefault="003154D7"/>
    <w:sectPr w:rsidR="00B800BE" w:rsidRPr="00290E3D" w:rsidSect="003154D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34" w:right="851" w:bottom="758"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D3" w:rsidRDefault="006262D3" w:rsidP="00FF322A">
      <w:pPr>
        <w:spacing w:after="0" w:line="240" w:lineRule="auto"/>
      </w:pPr>
      <w:r>
        <w:separator/>
      </w:r>
    </w:p>
  </w:endnote>
  <w:endnote w:type="continuationSeparator" w:id="0">
    <w:p w:rsidR="006262D3" w:rsidRDefault="006262D3" w:rsidP="00FF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A" w:rsidRDefault="004D3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A" w:rsidRDefault="004D3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A" w:rsidRDefault="004D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D3" w:rsidRDefault="006262D3" w:rsidP="00FF322A">
      <w:pPr>
        <w:spacing w:after="0" w:line="240" w:lineRule="auto"/>
      </w:pPr>
      <w:r>
        <w:separator/>
      </w:r>
    </w:p>
  </w:footnote>
  <w:footnote w:type="continuationSeparator" w:id="0">
    <w:p w:rsidR="006262D3" w:rsidRDefault="006262D3" w:rsidP="00FF322A">
      <w:pPr>
        <w:spacing w:after="0" w:line="240" w:lineRule="auto"/>
      </w:pPr>
      <w:r>
        <w:continuationSeparator/>
      </w:r>
    </w:p>
  </w:footnote>
  <w:footnote w:id="1">
    <w:p w:rsidR="00FF322A" w:rsidRPr="00931903" w:rsidRDefault="00FF322A" w:rsidP="00FF322A">
      <w:pPr>
        <w:pStyle w:val="FootnoteText"/>
        <w:rPr>
          <w:rFonts w:ascii="Times New Roman" w:hAnsi="Times New Roman" w:cs="Times New Roman"/>
        </w:rPr>
      </w:pPr>
      <w:r>
        <w:rPr>
          <w:rStyle w:val="FootnoteReference"/>
        </w:rPr>
        <w:footnoteRef/>
      </w:r>
      <w:r>
        <w:t xml:space="preserve"> </w:t>
      </w:r>
      <w:hyperlink r:id="rId1" w:history="1">
        <w:r w:rsidRPr="00931903">
          <w:rPr>
            <w:rStyle w:val="Hyperlink"/>
            <w:rFonts w:ascii="Times New Roman" w:hAnsi="Times New Roman" w:cs="Times New Roman"/>
          </w:rPr>
          <w:t>https://likumi.lv/ta/id/279475-darbibas-programmas-izaugsme-un-nodarbinatiba-1-1-1-specifiska-atbalsta-merka-palielinat-latvijas-zinatnisko-instituciju</w:t>
        </w:r>
      </w:hyperlink>
      <w:r w:rsidRPr="0093190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A" w:rsidRDefault="004D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379" w:type="dxa"/>
      <w:tblInd w:w="4106"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3799"/>
      <w:gridCol w:w="2580"/>
    </w:tblGrid>
    <w:tr w:rsidR="00FC0253" w:rsidRPr="00E1220F" w:rsidTr="00FE2F52">
      <w:trPr>
        <w:trHeight w:val="350"/>
      </w:trPr>
      <w:tc>
        <w:tcPr>
          <w:tcW w:w="3799" w:type="dxa"/>
          <w:tcBorders>
            <w:top w:val="single" w:sz="4" w:space="0" w:color="999999"/>
            <w:bottom w:val="nil"/>
          </w:tcBorders>
          <w:shd w:val="clear" w:color="auto" w:fill="E0E0E0"/>
        </w:tcPr>
        <w:p w:rsidR="00FC0253" w:rsidRPr="00E1220F" w:rsidRDefault="00596D46" w:rsidP="00E9528C">
          <w:pPr>
            <w:pStyle w:val="Footer"/>
            <w:ind w:right="176"/>
            <w:jc w:val="right"/>
            <w:rPr>
              <w:b/>
            </w:rPr>
          </w:pPr>
          <w:r w:rsidRPr="00E1220F">
            <w:rPr>
              <w:b/>
              <w:sz w:val="28"/>
              <w:szCs w:val="28"/>
            </w:rPr>
            <w:t>Pielikums</w:t>
          </w:r>
        </w:p>
      </w:tc>
      <w:tc>
        <w:tcPr>
          <w:tcW w:w="2580" w:type="dxa"/>
          <w:tcBorders>
            <w:top w:val="single" w:sz="4" w:space="0" w:color="999999"/>
          </w:tcBorders>
          <w:shd w:val="clear" w:color="auto" w:fill="000000"/>
        </w:tcPr>
        <w:p w:rsidR="00FC0253" w:rsidRPr="00E1220F" w:rsidRDefault="00596D46" w:rsidP="007F249F">
          <w:pPr>
            <w:pStyle w:val="Footer"/>
            <w:jc w:val="right"/>
            <w:rPr>
              <w:b/>
              <w:color w:val="808080"/>
            </w:rPr>
          </w:pPr>
          <w:r w:rsidRPr="00A120AC">
            <w:rPr>
              <w:b/>
              <w:color w:val="FFFFFF"/>
              <w:sz w:val="28"/>
              <w:szCs w:val="28"/>
            </w:rPr>
            <w:t>S.9.-PL-</w:t>
          </w:r>
          <w:r w:rsidR="00FE2F52">
            <w:rPr>
              <w:b/>
              <w:color w:val="FFFFFF"/>
              <w:sz w:val="28"/>
              <w:szCs w:val="28"/>
            </w:rPr>
            <w:t>25</w:t>
          </w:r>
        </w:p>
      </w:tc>
    </w:tr>
    <w:tr w:rsidR="00FC0253" w:rsidRPr="00E1220F" w:rsidTr="00FE2F52">
      <w:trPr>
        <w:trHeight w:val="364"/>
      </w:trPr>
      <w:tc>
        <w:tcPr>
          <w:tcW w:w="3799" w:type="dxa"/>
          <w:tcBorders>
            <w:top w:val="nil"/>
            <w:bottom w:val="single" w:sz="4" w:space="0" w:color="999999"/>
            <w:right w:val="single" w:sz="4" w:space="0" w:color="auto"/>
          </w:tcBorders>
          <w:vAlign w:val="center"/>
        </w:tcPr>
        <w:p w:rsidR="00FE2F52" w:rsidRPr="00290E3D" w:rsidRDefault="00FE2F52" w:rsidP="00FE2F52">
          <w:pPr>
            <w:widowControl w:val="0"/>
            <w:tabs>
              <w:tab w:val="center" w:pos="4536"/>
              <w:tab w:val="right" w:pos="9072"/>
            </w:tabs>
            <w:spacing w:before="100" w:after="100" w:line="240" w:lineRule="auto"/>
            <w:ind w:right="34"/>
            <w:jc w:val="right"/>
            <w:rPr>
              <w:rFonts w:ascii="Times New Roman" w:eastAsia="Times New Roman" w:hAnsi="Times New Roman" w:cs="Times New Roman"/>
              <w:b/>
              <w:snapToGrid w:val="0"/>
            </w:rPr>
          </w:pPr>
          <w:r w:rsidRPr="00290E3D">
            <w:rPr>
              <w:rFonts w:ascii="Times New Roman" w:eastAsia="Times New Roman" w:hAnsi="Times New Roman" w:cs="Times New Roman"/>
              <w:b/>
              <w:snapToGrid w:val="0"/>
            </w:rPr>
            <w:t>Valsts atbalsta nosacījumu pārbaude</w:t>
          </w:r>
        </w:p>
        <w:p w:rsidR="00FE2F52" w:rsidRDefault="00FE2F52" w:rsidP="006E627E">
          <w:pPr>
            <w:pStyle w:val="Footer"/>
            <w:jc w:val="right"/>
            <w:rPr>
              <w:b/>
              <w:i/>
              <w:color w:val="808080"/>
              <w:sz w:val="16"/>
              <w:szCs w:val="16"/>
            </w:rPr>
          </w:pPr>
        </w:p>
        <w:p w:rsidR="00FC0253" w:rsidRPr="006E627E" w:rsidRDefault="004D3A8A" w:rsidP="006E627E">
          <w:pPr>
            <w:pStyle w:val="Footer"/>
            <w:jc w:val="right"/>
            <w:rPr>
              <w:b/>
              <w:i/>
              <w:color w:val="808080"/>
              <w:sz w:val="16"/>
              <w:szCs w:val="16"/>
            </w:rPr>
          </w:pPr>
          <w:r>
            <w:rPr>
              <w:b/>
              <w:snapToGrid w:val="0"/>
              <w:color w:val="808080"/>
              <w:sz w:val="16"/>
              <w:szCs w:val="16"/>
            </w:rPr>
            <w:t>Datums: 01.12.2020.</w:t>
          </w:r>
        </w:p>
      </w:tc>
      <w:tc>
        <w:tcPr>
          <w:tcW w:w="2580" w:type="dxa"/>
          <w:tcBorders>
            <w:left w:val="single" w:sz="4" w:space="0" w:color="auto"/>
            <w:bottom w:val="single" w:sz="4" w:space="0" w:color="999999"/>
          </w:tcBorders>
          <w:vAlign w:val="center"/>
        </w:tcPr>
        <w:p w:rsidR="00FC0253" w:rsidRPr="00E1220F" w:rsidRDefault="00596D46" w:rsidP="00E9528C">
          <w:pPr>
            <w:spacing w:after="0"/>
            <w:jc w:val="right"/>
            <w:rPr>
              <w:b/>
              <w:color w:val="808080"/>
              <w:sz w:val="18"/>
              <w:szCs w:val="18"/>
            </w:rPr>
          </w:pPr>
          <w:r w:rsidRPr="00E1220F">
            <w:rPr>
              <w:b/>
              <w:color w:val="808080"/>
              <w:sz w:val="18"/>
              <w:szCs w:val="18"/>
            </w:rPr>
            <w:t>Lpp</w:t>
          </w:r>
          <w:r>
            <w:rPr>
              <w:b/>
              <w:color w:val="808080"/>
              <w:sz w:val="18"/>
              <w:szCs w:val="18"/>
            </w:rPr>
            <w:t>.</w:t>
          </w:r>
          <w:r w:rsidRPr="00E1220F">
            <w:rPr>
              <w:b/>
              <w:color w:val="808080"/>
              <w:sz w:val="18"/>
              <w:szCs w:val="18"/>
            </w:rPr>
            <w:t xml:space="preserve"> </w:t>
          </w:r>
          <w:r w:rsidRPr="00E1220F">
            <w:rPr>
              <w:rStyle w:val="PageNumber"/>
              <w:sz w:val="18"/>
              <w:szCs w:val="18"/>
            </w:rPr>
            <w:fldChar w:fldCharType="begin"/>
          </w:r>
          <w:r w:rsidRPr="00E1220F">
            <w:rPr>
              <w:rStyle w:val="PageNumber"/>
              <w:sz w:val="18"/>
              <w:szCs w:val="18"/>
            </w:rPr>
            <w:instrText xml:space="preserve"> PAGE </w:instrText>
          </w:r>
          <w:r w:rsidRPr="00E1220F">
            <w:rPr>
              <w:rStyle w:val="PageNumber"/>
              <w:sz w:val="18"/>
              <w:szCs w:val="18"/>
            </w:rPr>
            <w:fldChar w:fldCharType="separate"/>
          </w:r>
          <w:r>
            <w:rPr>
              <w:rStyle w:val="PageNumber"/>
              <w:noProof/>
              <w:sz w:val="18"/>
              <w:szCs w:val="18"/>
            </w:rPr>
            <w:t>2</w:t>
          </w:r>
          <w:r w:rsidRPr="00E1220F">
            <w:rPr>
              <w:rStyle w:val="PageNumber"/>
              <w:sz w:val="18"/>
              <w:szCs w:val="18"/>
            </w:rPr>
            <w:fldChar w:fldCharType="end"/>
          </w:r>
          <w:r w:rsidRPr="00E1220F">
            <w:rPr>
              <w:rStyle w:val="PageNumber"/>
              <w:sz w:val="18"/>
              <w:szCs w:val="18"/>
            </w:rPr>
            <w:t>/</w:t>
          </w:r>
          <w:r w:rsidRPr="00E1220F">
            <w:rPr>
              <w:rStyle w:val="PageNumber"/>
              <w:sz w:val="18"/>
              <w:szCs w:val="18"/>
            </w:rPr>
            <w:fldChar w:fldCharType="begin"/>
          </w:r>
          <w:r w:rsidRPr="00E1220F">
            <w:rPr>
              <w:rStyle w:val="PageNumber"/>
              <w:sz w:val="18"/>
              <w:szCs w:val="18"/>
            </w:rPr>
            <w:instrText xml:space="preserve"> NUMPAGES </w:instrText>
          </w:r>
          <w:r w:rsidRPr="00E1220F">
            <w:rPr>
              <w:rStyle w:val="PageNumber"/>
              <w:sz w:val="18"/>
              <w:szCs w:val="18"/>
            </w:rPr>
            <w:fldChar w:fldCharType="separate"/>
          </w:r>
          <w:r>
            <w:rPr>
              <w:rStyle w:val="PageNumber"/>
              <w:noProof/>
              <w:sz w:val="18"/>
              <w:szCs w:val="18"/>
            </w:rPr>
            <w:t>2</w:t>
          </w:r>
          <w:r w:rsidRPr="00E1220F">
            <w:rPr>
              <w:rStyle w:val="PageNumber"/>
              <w:sz w:val="18"/>
              <w:szCs w:val="18"/>
            </w:rPr>
            <w:fldChar w:fldCharType="end"/>
          </w:r>
        </w:p>
      </w:tc>
    </w:tr>
  </w:tbl>
  <w:p w:rsidR="00FC0253" w:rsidRPr="00B71DF4" w:rsidRDefault="003154D7">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A" w:rsidRDefault="004D3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1F0"/>
    <w:multiLevelType w:val="hybridMultilevel"/>
    <w:tmpl w:val="0E2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F20B7"/>
    <w:multiLevelType w:val="hybridMultilevel"/>
    <w:tmpl w:val="73C487B2"/>
    <w:lvl w:ilvl="0" w:tplc="D42884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202643"/>
    <w:multiLevelType w:val="hybridMultilevel"/>
    <w:tmpl w:val="FF680714"/>
    <w:lvl w:ilvl="0" w:tplc="2040816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D43575"/>
    <w:multiLevelType w:val="hybridMultilevel"/>
    <w:tmpl w:val="17C64A4A"/>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2A"/>
    <w:rsid w:val="000072E8"/>
    <w:rsid w:val="000211C8"/>
    <w:rsid w:val="00023FC5"/>
    <w:rsid w:val="00056A07"/>
    <w:rsid w:val="00093C3C"/>
    <w:rsid w:val="000D2675"/>
    <w:rsid w:val="000D51D9"/>
    <w:rsid w:val="00123AD2"/>
    <w:rsid w:val="001322FD"/>
    <w:rsid w:val="00154762"/>
    <w:rsid w:val="00174494"/>
    <w:rsid w:val="00196CCA"/>
    <w:rsid w:val="001972FE"/>
    <w:rsid w:val="001B4DD4"/>
    <w:rsid w:val="001B50D9"/>
    <w:rsid w:val="002025A3"/>
    <w:rsid w:val="00216BA1"/>
    <w:rsid w:val="0025602C"/>
    <w:rsid w:val="00283C30"/>
    <w:rsid w:val="00290E3D"/>
    <w:rsid w:val="002A066B"/>
    <w:rsid w:val="002C0717"/>
    <w:rsid w:val="003154D7"/>
    <w:rsid w:val="00352CC8"/>
    <w:rsid w:val="00360408"/>
    <w:rsid w:val="00383288"/>
    <w:rsid w:val="004015FF"/>
    <w:rsid w:val="0045116A"/>
    <w:rsid w:val="00482ACA"/>
    <w:rsid w:val="0048417F"/>
    <w:rsid w:val="004A3D89"/>
    <w:rsid w:val="004A4F13"/>
    <w:rsid w:val="004B08A5"/>
    <w:rsid w:val="004C575D"/>
    <w:rsid w:val="004D3A8A"/>
    <w:rsid w:val="004F4A41"/>
    <w:rsid w:val="00540E3C"/>
    <w:rsid w:val="00591107"/>
    <w:rsid w:val="00596D46"/>
    <w:rsid w:val="005A736C"/>
    <w:rsid w:val="005C6E1B"/>
    <w:rsid w:val="005E38C4"/>
    <w:rsid w:val="006002EA"/>
    <w:rsid w:val="0060184B"/>
    <w:rsid w:val="006262D3"/>
    <w:rsid w:val="006830EE"/>
    <w:rsid w:val="006C7085"/>
    <w:rsid w:val="006E1EA4"/>
    <w:rsid w:val="006F1B8E"/>
    <w:rsid w:val="007216E6"/>
    <w:rsid w:val="00740D64"/>
    <w:rsid w:val="0075770B"/>
    <w:rsid w:val="00765E7D"/>
    <w:rsid w:val="00790D18"/>
    <w:rsid w:val="00837948"/>
    <w:rsid w:val="00841D5F"/>
    <w:rsid w:val="008456F7"/>
    <w:rsid w:val="008B58D1"/>
    <w:rsid w:val="008C023F"/>
    <w:rsid w:val="008E774E"/>
    <w:rsid w:val="00921379"/>
    <w:rsid w:val="009279D9"/>
    <w:rsid w:val="00931903"/>
    <w:rsid w:val="009427F8"/>
    <w:rsid w:val="00954A1F"/>
    <w:rsid w:val="009E4C5C"/>
    <w:rsid w:val="00A15D47"/>
    <w:rsid w:val="00A96440"/>
    <w:rsid w:val="00AA5C4F"/>
    <w:rsid w:val="00AF31A1"/>
    <w:rsid w:val="00B42143"/>
    <w:rsid w:val="00B913BE"/>
    <w:rsid w:val="00BA1CAA"/>
    <w:rsid w:val="00BB3DE5"/>
    <w:rsid w:val="00BB52AB"/>
    <w:rsid w:val="00BD0189"/>
    <w:rsid w:val="00BD1916"/>
    <w:rsid w:val="00BE5DC2"/>
    <w:rsid w:val="00BF7055"/>
    <w:rsid w:val="00C61656"/>
    <w:rsid w:val="00C878CB"/>
    <w:rsid w:val="00D20E65"/>
    <w:rsid w:val="00D6031D"/>
    <w:rsid w:val="00D85C68"/>
    <w:rsid w:val="00D955F3"/>
    <w:rsid w:val="00DC17FC"/>
    <w:rsid w:val="00DD03E6"/>
    <w:rsid w:val="00DE0835"/>
    <w:rsid w:val="00E0118B"/>
    <w:rsid w:val="00E4521A"/>
    <w:rsid w:val="00E60444"/>
    <w:rsid w:val="00E61C65"/>
    <w:rsid w:val="00E77707"/>
    <w:rsid w:val="00E96D9A"/>
    <w:rsid w:val="00E970F6"/>
    <w:rsid w:val="00EC30B6"/>
    <w:rsid w:val="00ED147E"/>
    <w:rsid w:val="00F3238F"/>
    <w:rsid w:val="00F70B74"/>
    <w:rsid w:val="00FE2F52"/>
    <w:rsid w:val="00FF3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EB72"/>
  <w15:chartTrackingRefBased/>
  <w15:docId w15:val="{9688E376-5154-44FC-B702-1E962D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2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322A"/>
  </w:style>
  <w:style w:type="paragraph" w:styleId="Footer">
    <w:name w:val="footer"/>
    <w:basedOn w:val="Normal"/>
    <w:link w:val="FooterChar"/>
    <w:uiPriority w:val="99"/>
    <w:unhideWhenUsed/>
    <w:rsid w:val="00FF32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322A"/>
  </w:style>
  <w:style w:type="paragraph" w:styleId="FootnoteText">
    <w:name w:val="footnote text"/>
    <w:basedOn w:val="Normal"/>
    <w:link w:val="FootnoteTextChar"/>
    <w:uiPriority w:val="99"/>
    <w:semiHidden/>
    <w:unhideWhenUsed/>
    <w:rsid w:val="00FF3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22A"/>
    <w:rPr>
      <w:sz w:val="20"/>
      <w:szCs w:val="20"/>
    </w:rPr>
  </w:style>
  <w:style w:type="character" w:styleId="PageNumber">
    <w:name w:val="page number"/>
    <w:basedOn w:val="DefaultParagraphFont"/>
    <w:uiPriority w:val="99"/>
    <w:rsid w:val="00FF322A"/>
  </w:style>
  <w:style w:type="character" w:styleId="CommentReference">
    <w:name w:val="annotation reference"/>
    <w:semiHidden/>
    <w:rsid w:val="00FF322A"/>
    <w:rPr>
      <w:sz w:val="16"/>
      <w:szCs w:val="16"/>
    </w:rPr>
  </w:style>
  <w:style w:type="paragraph" w:styleId="CommentText">
    <w:name w:val="annotation text"/>
    <w:basedOn w:val="Normal"/>
    <w:link w:val="CommentTextChar"/>
    <w:semiHidden/>
    <w:rsid w:val="00FF322A"/>
    <w:pPr>
      <w:widowControl w:val="0"/>
      <w:spacing w:before="100" w:after="100" w:line="240" w:lineRule="auto"/>
    </w:pPr>
    <w:rPr>
      <w:rFonts w:ascii="Times New Roman" w:eastAsia="Times New Roman" w:hAnsi="Times New Roman" w:cs="Times New Roman"/>
      <w:snapToGrid w:val="0"/>
      <w:sz w:val="20"/>
      <w:szCs w:val="20"/>
      <w:lang w:val="en-US"/>
    </w:rPr>
  </w:style>
  <w:style w:type="character" w:customStyle="1" w:styleId="CommentTextChar">
    <w:name w:val="Comment Text Char"/>
    <w:basedOn w:val="DefaultParagraphFont"/>
    <w:link w:val="CommentText"/>
    <w:semiHidden/>
    <w:rsid w:val="00FF322A"/>
    <w:rPr>
      <w:rFonts w:ascii="Times New Roman" w:eastAsia="Times New Roman" w:hAnsi="Times New Roman" w:cs="Times New Roman"/>
      <w:snapToGrid w:val="0"/>
      <w:sz w:val="20"/>
      <w:szCs w:val="20"/>
      <w:lang w:val="en-US"/>
    </w:rPr>
  </w:style>
  <w:style w:type="character" w:styleId="Hyperlink">
    <w:name w:val="Hyperlink"/>
    <w:rsid w:val="00FF322A"/>
    <w:rPr>
      <w:color w:val="0563C1"/>
      <w:u w:val="single"/>
    </w:rPr>
  </w:style>
  <w:style w:type="character" w:styleId="FootnoteReference">
    <w:name w:val="footnote reference"/>
    <w:rsid w:val="00FF322A"/>
    <w:rPr>
      <w:vertAlign w:val="superscript"/>
    </w:rPr>
  </w:style>
  <w:style w:type="paragraph" w:styleId="BalloonText">
    <w:name w:val="Balloon Text"/>
    <w:basedOn w:val="Normal"/>
    <w:link w:val="BalloonTextChar"/>
    <w:uiPriority w:val="99"/>
    <w:semiHidden/>
    <w:unhideWhenUsed/>
    <w:rsid w:val="00FF3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22A"/>
    <w:rPr>
      <w:rFonts w:ascii="Segoe UI" w:hAnsi="Segoe UI" w:cs="Segoe UI"/>
      <w:sz w:val="18"/>
      <w:szCs w:val="18"/>
    </w:rPr>
  </w:style>
  <w:style w:type="character" w:styleId="UnresolvedMention">
    <w:name w:val="Unresolved Mention"/>
    <w:basedOn w:val="DefaultParagraphFont"/>
    <w:uiPriority w:val="99"/>
    <w:semiHidden/>
    <w:unhideWhenUsed/>
    <w:rsid w:val="00FF322A"/>
    <w:rPr>
      <w:color w:val="605E5C"/>
      <w:shd w:val="clear" w:color="auto" w:fill="E1DFDD"/>
    </w:rPr>
  </w:style>
  <w:style w:type="paragraph" w:styleId="ListParagraph">
    <w:name w:val="List Paragraph"/>
    <w:basedOn w:val="Normal"/>
    <w:uiPriority w:val="34"/>
    <w:qFormat/>
    <w:rsid w:val="00841D5F"/>
    <w:pPr>
      <w:ind w:left="720"/>
      <w:contextualSpacing/>
    </w:pPr>
  </w:style>
  <w:style w:type="paragraph" w:styleId="CommentSubject">
    <w:name w:val="annotation subject"/>
    <w:basedOn w:val="CommentText"/>
    <w:next w:val="CommentText"/>
    <w:link w:val="CommentSubjectChar"/>
    <w:uiPriority w:val="99"/>
    <w:semiHidden/>
    <w:unhideWhenUsed/>
    <w:rsid w:val="00DC17FC"/>
    <w:pPr>
      <w:widowControl/>
      <w:spacing w:before="0" w:after="160"/>
    </w:pPr>
    <w:rPr>
      <w:rFonts w:asciiTheme="minorHAnsi" w:eastAsiaTheme="minorHAnsi" w:hAnsiTheme="minorHAnsi" w:cstheme="minorBidi"/>
      <w:b/>
      <w:bCs/>
      <w:snapToGrid/>
      <w:lang w:val="lv-LV"/>
    </w:rPr>
  </w:style>
  <w:style w:type="character" w:customStyle="1" w:styleId="CommentSubjectChar">
    <w:name w:val="Comment Subject Char"/>
    <w:basedOn w:val="CommentTextChar"/>
    <w:link w:val="CommentSubject"/>
    <w:uiPriority w:val="99"/>
    <w:semiHidden/>
    <w:rsid w:val="00DC17FC"/>
    <w:rPr>
      <w:rFonts w:ascii="Times New Roman" w:eastAsia="Times New Roman" w:hAnsi="Times New Roman" w:cs="Times New Roman"/>
      <w:b/>
      <w:bCs/>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79475-darbibas-programmas-izaugsme-un-nodarbinatiba-1-1-1-specifiska-atbalsta-merka-palielinat-latvijas-zinatnisko-institu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DAF12-CEFC-405D-89D7-5459F555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3450</Words>
  <Characters>1967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Rūsiņa</dc:creator>
  <cp:keywords/>
  <dc:description/>
  <cp:lastModifiedBy>Līga Grantiņa</cp:lastModifiedBy>
  <cp:revision>2</cp:revision>
  <dcterms:created xsi:type="dcterms:W3CDTF">2021-04-21T06:25:00Z</dcterms:created>
  <dcterms:modified xsi:type="dcterms:W3CDTF">2021-04-21T06:25:00Z</dcterms:modified>
</cp:coreProperties>
</file>