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3BCA" w:rsidRPr="00526DFE" w:rsidRDefault="007C3BCA" w:rsidP="00526DFE">
      <w:pPr>
        <w:pStyle w:val="Heading1"/>
        <w:rPr>
          <w:b/>
          <w:sz w:val="28"/>
          <w:szCs w:val="28"/>
          <w:shd w:val="clear" w:color="auto" w:fill="FFFFFF"/>
        </w:rPr>
      </w:pPr>
      <w:bookmarkStart w:id="0" w:name="_GoBack"/>
      <w:r w:rsidRPr="00526DFE">
        <w:rPr>
          <w:b/>
          <w:sz w:val="28"/>
          <w:szCs w:val="28"/>
          <w:shd w:val="clear" w:color="auto" w:fill="FFFFFF"/>
        </w:rPr>
        <w:t>Tehnoloģiju tiesību komercializācija</w:t>
      </w:r>
      <w:r w:rsidR="00190AC5" w:rsidRPr="00526DFE">
        <w:rPr>
          <w:b/>
          <w:sz w:val="28"/>
          <w:szCs w:val="28"/>
          <w:shd w:val="clear" w:color="auto" w:fill="FFFFFF"/>
        </w:rPr>
        <w:t xml:space="preserve"> </w:t>
      </w:r>
      <w:r w:rsidR="00526DFE" w:rsidRPr="00526DFE">
        <w:rPr>
          <w:b/>
          <w:sz w:val="28"/>
          <w:szCs w:val="28"/>
          <w:shd w:val="clear" w:color="auto" w:fill="FFFFFF"/>
        </w:rPr>
        <w:t>(ar</w:t>
      </w:r>
      <w:r w:rsidR="00190AC5" w:rsidRPr="00526DFE">
        <w:rPr>
          <w:b/>
          <w:sz w:val="28"/>
          <w:szCs w:val="28"/>
          <w:shd w:val="clear" w:color="auto" w:fill="FFFFFF"/>
        </w:rPr>
        <w:t xml:space="preserve"> saimniecisku darbību nesaistīt</w:t>
      </w:r>
      <w:r w:rsidR="00526DFE" w:rsidRPr="00526DFE">
        <w:rPr>
          <w:b/>
          <w:sz w:val="28"/>
          <w:szCs w:val="28"/>
          <w:shd w:val="clear" w:color="auto" w:fill="FFFFFF"/>
        </w:rPr>
        <w:t>i</w:t>
      </w:r>
      <w:r w:rsidR="00190AC5" w:rsidRPr="00526DFE">
        <w:rPr>
          <w:b/>
          <w:sz w:val="28"/>
          <w:szCs w:val="28"/>
          <w:shd w:val="clear" w:color="auto" w:fill="FFFFFF"/>
        </w:rPr>
        <w:t xml:space="preserve"> projekt</w:t>
      </w:r>
      <w:r w:rsidR="00526DFE" w:rsidRPr="00526DFE">
        <w:rPr>
          <w:b/>
          <w:sz w:val="28"/>
          <w:szCs w:val="28"/>
          <w:shd w:val="clear" w:color="auto" w:fill="FFFFFF"/>
        </w:rPr>
        <w:t>i)</w:t>
      </w:r>
    </w:p>
    <w:bookmarkEnd w:id="0"/>
    <w:p w:rsidR="00F34BA1" w:rsidRPr="007D3E03" w:rsidRDefault="00596934" w:rsidP="00534CCB">
      <w:pPr>
        <w:pStyle w:val="Heading2"/>
        <w:numPr>
          <w:ilvl w:val="0"/>
          <w:numId w:val="16"/>
        </w:numPr>
        <w:rPr>
          <w:b/>
        </w:rPr>
      </w:pPr>
      <w:r w:rsidRPr="007D3E03">
        <w:rPr>
          <w:b/>
        </w:rPr>
        <w:t>Ekonomiskās priekšrocības</w:t>
      </w:r>
    </w:p>
    <w:p w:rsidR="007F17F0" w:rsidRDefault="007F17F0" w:rsidP="007F17F0">
      <w:pPr>
        <w:rPr>
          <w:rFonts w:ascii="Times New Roman" w:hAnsi="Times New Roman" w:cs="Times New Roman"/>
          <w:color w:val="414142"/>
          <w:sz w:val="26"/>
          <w:szCs w:val="26"/>
          <w:shd w:val="clear" w:color="auto" w:fill="FFFFFF"/>
        </w:rPr>
      </w:pPr>
      <w:r w:rsidRPr="007F17F0">
        <w:rPr>
          <w:rFonts w:ascii="Times New Roman" w:hAnsi="Times New Roman" w:cs="Times New Roman"/>
          <w:color w:val="414142"/>
          <w:sz w:val="26"/>
          <w:szCs w:val="26"/>
          <w:shd w:val="clear" w:color="auto" w:fill="FFFFFF"/>
        </w:rPr>
        <w:t>pētniecības organizācija gūst ekonomiskās priekšrocības no tās īpašumā esošajām tehnoloģiju tiesībām</w:t>
      </w:r>
      <w:r>
        <w:rPr>
          <w:rFonts w:ascii="Times New Roman" w:hAnsi="Times New Roman" w:cs="Times New Roman"/>
          <w:color w:val="414142"/>
          <w:sz w:val="26"/>
          <w:szCs w:val="26"/>
          <w:shd w:val="clear" w:color="auto" w:fill="FFFFFF"/>
        </w:rPr>
        <w:t>, veicot tehnoloģiju tiesību komercializāciju:</w:t>
      </w:r>
    </w:p>
    <w:p w:rsidR="007F17F0" w:rsidRDefault="007F17F0" w:rsidP="007F17F0">
      <w:pPr>
        <w:pStyle w:val="ListParagraph"/>
        <w:numPr>
          <w:ilvl w:val="0"/>
          <w:numId w:val="18"/>
        </w:numPr>
        <w:rPr>
          <w:rFonts w:ascii="Times New Roman" w:hAnsi="Times New Roman" w:cs="Times New Roman"/>
          <w:color w:val="414142"/>
          <w:sz w:val="26"/>
          <w:szCs w:val="26"/>
          <w:shd w:val="clear" w:color="auto" w:fill="FFFFFF"/>
        </w:rPr>
      </w:pPr>
      <w:r>
        <w:rPr>
          <w:rFonts w:ascii="Times New Roman" w:hAnsi="Times New Roman" w:cs="Times New Roman"/>
          <w:color w:val="414142"/>
          <w:sz w:val="26"/>
          <w:szCs w:val="26"/>
          <w:shd w:val="clear" w:color="auto" w:fill="FFFFFF"/>
        </w:rPr>
        <w:t>sadarbības partnerim, tai skaitā piešķirot pirmtiesības;</w:t>
      </w:r>
    </w:p>
    <w:p w:rsidR="007F17F0" w:rsidRDefault="007F17F0" w:rsidP="007F17F0">
      <w:pPr>
        <w:pStyle w:val="ListParagraph"/>
        <w:numPr>
          <w:ilvl w:val="0"/>
          <w:numId w:val="18"/>
        </w:numPr>
        <w:rPr>
          <w:rFonts w:ascii="Times New Roman" w:hAnsi="Times New Roman" w:cs="Times New Roman"/>
          <w:color w:val="414142"/>
          <w:sz w:val="26"/>
          <w:szCs w:val="26"/>
          <w:shd w:val="clear" w:color="auto" w:fill="FFFFFF"/>
        </w:rPr>
      </w:pPr>
      <w:r>
        <w:rPr>
          <w:rFonts w:ascii="Times New Roman" w:hAnsi="Times New Roman" w:cs="Times New Roman"/>
          <w:color w:val="414142"/>
          <w:sz w:val="26"/>
          <w:szCs w:val="26"/>
          <w:shd w:val="clear" w:color="auto" w:fill="FFFFFF"/>
        </w:rPr>
        <w:t>PO meitas uzņēmumam;</w:t>
      </w:r>
    </w:p>
    <w:p w:rsidR="007F17F0" w:rsidRDefault="007F17F0" w:rsidP="007F17F0">
      <w:pPr>
        <w:pStyle w:val="ListParagraph"/>
        <w:numPr>
          <w:ilvl w:val="0"/>
          <w:numId w:val="18"/>
        </w:numPr>
        <w:rPr>
          <w:rFonts w:ascii="Times New Roman" w:hAnsi="Times New Roman" w:cs="Times New Roman"/>
          <w:color w:val="414142"/>
          <w:sz w:val="26"/>
          <w:szCs w:val="26"/>
          <w:shd w:val="clear" w:color="auto" w:fill="FFFFFF"/>
        </w:rPr>
      </w:pPr>
      <w:r>
        <w:rPr>
          <w:rFonts w:ascii="Times New Roman" w:hAnsi="Times New Roman" w:cs="Times New Roman"/>
          <w:color w:val="414142"/>
          <w:sz w:val="26"/>
          <w:szCs w:val="26"/>
          <w:shd w:val="clear" w:color="auto" w:fill="FFFFFF"/>
        </w:rPr>
        <w:t>trešai pusei;</w:t>
      </w:r>
    </w:p>
    <w:p w:rsidR="007F17F0" w:rsidRPr="007F17F0" w:rsidRDefault="007F17F0" w:rsidP="007F17F0">
      <w:pPr>
        <w:pStyle w:val="ListParagraph"/>
        <w:numPr>
          <w:ilvl w:val="0"/>
          <w:numId w:val="18"/>
        </w:numPr>
        <w:rPr>
          <w:rFonts w:ascii="Times New Roman" w:hAnsi="Times New Roman" w:cs="Times New Roman"/>
          <w:color w:val="414142"/>
          <w:sz w:val="26"/>
          <w:szCs w:val="26"/>
          <w:shd w:val="clear" w:color="auto" w:fill="FFFFFF"/>
        </w:rPr>
      </w:pPr>
      <w:r>
        <w:rPr>
          <w:rFonts w:ascii="Times New Roman" w:hAnsi="Times New Roman" w:cs="Times New Roman"/>
          <w:color w:val="414142"/>
          <w:sz w:val="26"/>
          <w:szCs w:val="26"/>
          <w:shd w:val="clear" w:color="auto" w:fill="FFFFFF"/>
        </w:rPr>
        <w:t>jaunuzņēmumam, tai skaitā PO dibinātam jaunuzņēmumam, lai turpinātu pētniecību, attīstītu prototipu un ieviestu to ražošanā.</w:t>
      </w:r>
    </w:p>
    <w:p w:rsidR="00F34BA1" w:rsidRDefault="00190AC5" w:rsidP="00F34BA1">
      <w:pPr>
        <w:rPr>
          <w:rFonts w:ascii="Times New Roman" w:hAnsi="Times New Roman" w:cs="Times New Roman"/>
          <w:b/>
          <w:shd w:val="clear" w:color="auto" w:fill="FFFFFF"/>
        </w:rPr>
      </w:pPr>
      <w:r w:rsidRPr="009F4F8B">
        <w:rPr>
          <w:rFonts w:ascii="Times New Roman" w:hAnsi="Times New Roman" w:cs="Times New Roman"/>
          <w:b/>
          <w:bCs/>
          <w:noProof/>
          <w:lang w:eastAsia="lv-LV"/>
        </w:rPr>
        <mc:AlternateContent>
          <mc:Choice Requires="wps">
            <w:drawing>
              <wp:inline distT="0" distB="0" distL="0" distR="0">
                <wp:extent cx="5743575" cy="1152525"/>
                <wp:effectExtent l="0" t="0" r="47625" b="66675"/>
                <wp:docPr id="3" name="Rounded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3575" cy="1152525"/>
                        </a:xfrm>
                        <a:prstGeom prst="roundRect">
                          <a:avLst>
                            <a:gd name="adj" fmla="val 16667"/>
                          </a:avLst>
                        </a:prstGeom>
                        <a:solidFill>
                          <a:srgbClr val="EFEFFF"/>
                        </a:solidFill>
                        <a:ln w="12700">
                          <a:solidFill>
                            <a:srgbClr val="B2A1C7"/>
                          </a:solidFill>
                          <a:round/>
                          <a:headEnd/>
                          <a:tailEnd/>
                        </a:ln>
                        <a:effectLst>
                          <a:outerShdw dist="28398" dir="3806097" algn="ctr" rotWithShape="0">
                            <a:srgbClr val="3F3151">
                              <a:alpha val="50000"/>
                            </a:srgbClr>
                          </a:outerShdw>
                        </a:effectLst>
                      </wps:spPr>
                      <wps:txbx>
                        <w:txbxContent>
                          <w:p w:rsidR="00DF07DF" w:rsidRDefault="00DF07DF" w:rsidP="0050592F">
                            <w:pPr>
                              <w:spacing w:after="0"/>
                              <w:jc w:val="both"/>
                              <w:rPr>
                                <w:rFonts w:ascii="Times New Roman" w:eastAsia="Calibri" w:hAnsi="Times New Roman" w:cs="Times New Roman"/>
                                <w:color w:val="2F5496" w:themeColor="accent5" w:themeShade="BF"/>
                              </w:rPr>
                            </w:pPr>
                            <w:r w:rsidRPr="00A75896">
                              <w:rPr>
                                <w:rFonts w:ascii="Times New Roman" w:eastAsia="Calibri" w:hAnsi="Times New Roman" w:cs="Times New Roman"/>
                                <w:b/>
                                <w:color w:val="2F5496" w:themeColor="accent5" w:themeShade="BF"/>
                              </w:rPr>
                              <w:t>tehnoloģiju tiesību komercializācija</w:t>
                            </w:r>
                            <w:r w:rsidRPr="009F4F8B">
                              <w:rPr>
                                <w:rFonts w:ascii="Times New Roman" w:eastAsia="Calibri" w:hAnsi="Times New Roman" w:cs="Times New Roman"/>
                                <w:color w:val="2F5496" w:themeColor="accent5" w:themeShade="BF"/>
                              </w:rPr>
                              <w:t xml:space="preserve"> – zināšanu un tehnoloģiju pārneses darbība, ja pētniecības organizācija kā tehnoloģiju tiesību īpašnieks slēdz līgumu ar sadarbības partneri, pētniecības organizācijas meitas uzņēmumu, jaunuzņēmumu vai trešo pusi par tehnoloģiju tiesību izmantošanu vai atsavināšanu (intelektuālā īpašuma licences vai nodošanas līgums)</w:t>
                            </w:r>
                          </w:p>
                          <w:p w:rsidR="00A75896" w:rsidRPr="009F4F8B" w:rsidRDefault="00A75896" w:rsidP="00A75896">
                            <w:pPr>
                              <w:jc w:val="right"/>
                              <w:rPr>
                                <w:rFonts w:ascii="Times New Roman" w:eastAsia="Calibri" w:hAnsi="Times New Roman" w:cs="Times New Roman"/>
                                <w:b/>
                                <w:color w:val="2F5496" w:themeColor="accent5" w:themeShade="BF"/>
                                <w:sz w:val="24"/>
                                <w:szCs w:val="24"/>
                              </w:rPr>
                            </w:pPr>
                            <w:r w:rsidRPr="009F4F8B">
                              <w:rPr>
                                <w:rFonts w:ascii="Times New Roman" w:eastAsia="Calibri" w:hAnsi="Times New Roman" w:cs="Times New Roman"/>
                                <w:b/>
                                <w:color w:val="2F5496" w:themeColor="accent5" w:themeShade="BF"/>
                                <w:sz w:val="24"/>
                                <w:szCs w:val="24"/>
                              </w:rPr>
                              <w:t>MK N 34 2.26.</w:t>
                            </w:r>
                            <w:r w:rsidRPr="00887208">
                              <w:rPr>
                                <w:rFonts w:ascii="Times New Roman" w:eastAsia="Calibri" w:hAnsi="Times New Roman" w:cs="Times New Roman"/>
                                <w:b/>
                                <w:color w:val="2F5496" w:themeColor="accent5" w:themeShade="BF"/>
                                <w:sz w:val="24"/>
                                <w:szCs w:val="24"/>
                                <w:vertAlign w:val="superscript"/>
                              </w:rPr>
                              <w:t>1</w:t>
                            </w:r>
                            <w:r>
                              <w:rPr>
                                <w:rFonts w:ascii="Times New Roman" w:eastAsia="Calibri" w:hAnsi="Times New Roman" w:cs="Times New Roman"/>
                                <w:b/>
                                <w:color w:val="2F5496" w:themeColor="accent5" w:themeShade="BF"/>
                                <w:sz w:val="24"/>
                                <w:szCs w:val="24"/>
                              </w:rPr>
                              <w:t xml:space="preserve"> apakšpunkts</w:t>
                            </w:r>
                          </w:p>
                          <w:p w:rsidR="00A75896" w:rsidRPr="009F4F8B" w:rsidRDefault="00A75896" w:rsidP="00A75896">
                            <w:pPr>
                              <w:spacing w:after="0"/>
                              <w:jc w:val="right"/>
                              <w:rPr>
                                <w:rFonts w:ascii="Times New Roman" w:eastAsia="Calibri" w:hAnsi="Times New Roman" w:cs="Times New Roman"/>
                                <w:color w:val="2F5496" w:themeColor="accent5" w:themeShade="BF"/>
                              </w:rPr>
                            </w:pPr>
                          </w:p>
                        </w:txbxContent>
                      </wps:txbx>
                      <wps:bodyPr rot="0" spcFirstLastPara="0" vertOverflow="overflow" horzOverflow="overflow" vert="horz" wrap="square" lIns="91440" tIns="90000" rIns="91440" bIns="90000" numCol="1" spcCol="0" rtlCol="0" fromWordArt="0" anchor="t" anchorCtr="0" forceAA="0" upright="1" compatLnSpc="1">
                        <a:prstTxWarp prst="textNoShape">
                          <a:avLst/>
                        </a:prstTxWarp>
                        <a:noAutofit/>
                      </wps:bodyPr>
                    </wps:wsp>
                  </a:graphicData>
                </a:graphic>
              </wp:inline>
            </w:drawing>
          </mc:Choice>
          <mc:Fallback>
            <w:pict>
              <v:roundrect id="Rounded Rectangle 3" o:spid="_x0000_s1026" style="width:452.25pt;height:90.7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" fillcolor="#efefff" strokecolor="#b2a1c7" strokeweight="1pt">
                <v:shadow on="t" color="#3f3151" opacity=".5" offset="1pt"/>
                <v:textbox inset=",2.5mm,,2.5mm">
                  <w:txbxContent>
                    <w:p w:rsidR="00DF07DF" w:rsidRDefault="00DF07DF" w:rsidP="0050592F">
                      <w:pPr>
                        <w:spacing w:after="0"/>
                        <w:jc w:val="both"/>
                        <w:rPr>
                          <w:rFonts w:ascii="Times New Roman" w:eastAsia="Calibri" w:hAnsi="Times New Roman" w:cs="Times New Roman"/>
                          <w:color w:val="2F5496" w:themeColor="accent5" w:themeShade="BF"/>
                        </w:rPr>
                      </w:pPr>
                      <w:r w:rsidRPr="00A75896">
                        <w:rPr>
                          <w:rFonts w:ascii="Times New Roman" w:eastAsia="Calibri" w:hAnsi="Times New Roman" w:cs="Times New Roman"/>
                          <w:b/>
                          <w:color w:val="2F5496" w:themeColor="accent5" w:themeShade="BF"/>
                        </w:rPr>
                        <w:t xml:space="preserve">tehnoloģiju tiesību </w:t>
                      </w:r>
                      <w:proofErr w:type="spellStart"/>
                      <w:r w:rsidRPr="00A75896">
                        <w:rPr>
                          <w:rFonts w:ascii="Times New Roman" w:eastAsia="Calibri" w:hAnsi="Times New Roman" w:cs="Times New Roman"/>
                          <w:b/>
                          <w:color w:val="2F5496" w:themeColor="accent5" w:themeShade="BF"/>
                        </w:rPr>
                        <w:t>komercializācija</w:t>
                      </w:r>
                      <w:proofErr w:type="spellEnd"/>
                      <w:r w:rsidRPr="009F4F8B">
                        <w:rPr>
                          <w:rFonts w:ascii="Times New Roman" w:eastAsia="Calibri" w:hAnsi="Times New Roman" w:cs="Times New Roman"/>
                          <w:color w:val="2F5496" w:themeColor="accent5" w:themeShade="BF"/>
                        </w:rPr>
                        <w:t xml:space="preserve"> – zināšanu un tehnoloģiju </w:t>
                      </w:r>
                      <w:proofErr w:type="spellStart"/>
                      <w:r w:rsidRPr="009F4F8B">
                        <w:rPr>
                          <w:rFonts w:ascii="Times New Roman" w:eastAsia="Calibri" w:hAnsi="Times New Roman" w:cs="Times New Roman"/>
                          <w:color w:val="2F5496" w:themeColor="accent5" w:themeShade="BF"/>
                        </w:rPr>
                        <w:t>pārneses</w:t>
                      </w:r>
                      <w:proofErr w:type="spellEnd"/>
                      <w:r w:rsidRPr="009F4F8B">
                        <w:rPr>
                          <w:rFonts w:ascii="Times New Roman" w:eastAsia="Calibri" w:hAnsi="Times New Roman" w:cs="Times New Roman"/>
                          <w:color w:val="2F5496" w:themeColor="accent5" w:themeShade="BF"/>
                        </w:rPr>
                        <w:t xml:space="preserve"> darbība, ja pētniecības organizācija kā tehnoloģiju tiesību īpašnieks slēdz līgumu ar sadarbības partneri, pētniecības organizācijas meitas uzņēmumu, </w:t>
                      </w:r>
                      <w:proofErr w:type="spellStart"/>
                      <w:r w:rsidRPr="009F4F8B">
                        <w:rPr>
                          <w:rFonts w:ascii="Times New Roman" w:eastAsia="Calibri" w:hAnsi="Times New Roman" w:cs="Times New Roman"/>
                          <w:color w:val="2F5496" w:themeColor="accent5" w:themeShade="BF"/>
                        </w:rPr>
                        <w:t>jaunuzņēmumu</w:t>
                      </w:r>
                      <w:proofErr w:type="spellEnd"/>
                      <w:r w:rsidRPr="009F4F8B">
                        <w:rPr>
                          <w:rFonts w:ascii="Times New Roman" w:eastAsia="Calibri" w:hAnsi="Times New Roman" w:cs="Times New Roman"/>
                          <w:color w:val="2F5496" w:themeColor="accent5" w:themeShade="BF"/>
                        </w:rPr>
                        <w:t xml:space="preserve"> vai trešo pusi par tehnoloģiju tiesību izmantošanu vai atsavināšanu (intelektuālā īpašuma licences vai nodošanas līgums)</w:t>
                      </w:r>
                    </w:p>
                    <w:p w:rsidR="00A75896" w:rsidRPr="009F4F8B" w:rsidRDefault="00A75896" w:rsidP="00A75896">
                      <w:pPr>
                        <w:jc w:val="right"/>
                        <w:rPr>
                          <w:rFonts w:ascii="Times New Roman" w:eastAsia="Calibri" w:hAnsi="Times New Roman" w:cs="Times New Roman"/>
                          <w:b/>
                          <w:color w:val="2F5496" w:themeColor="accent5" w:themeShade="BF"/>
                          <w:sz w:val="24"/>
                          <w:szCs w:val="24"/>
                        </w:rPr>
                      </w:pPr>
                      <w:r w:rsidRPr="009F4F8B">
                        <w:rPr>
                          <w:rFonts w:ascii="Times New Roman" w:eastAsia="Calibri" w:hAnsi="Times New Roman" w:cs="Times New Roman"/>
                          <w:b/>
                          <w:color w:val="2F5496" w:themeColor="accent5" w:themeShade="BF"/>
                          <w:sz w:val="24"/>
                          <w:szCs w:val="24"/>
                        </w:rPr>
                        <w:t>MK N 34 2.26.</w:t>
                      </w:r>
                      <w:r w:rsidRPr="00887208">
                        <w:rPr>
                          <w:rFonts w:ascii="Times New Roman" w:eastAsia="Calibri" w:hAnsi="Times New Roman" w:cs="Times New Roman"/>
                          <w:b/>
                          <w:color w:val="2F5496" w:themeColor="accent5" w:themeShade="BF"/>
                          <w:sz w:val="24"/>
                          <w:szCs w:val="24"/>
                          <w:vertAlign w:val="superscript"/>
                        </w:rPr>
                        <w:t>1</w:t>
                      </w:r>
                      <w:r>
                        <w:rPr>
                          <w:rFonts w:ascii="Times New Roman" w:eastAsia="Calibri" w:hAnsi="Times New Roman" w:cs="Times New Roman"/>
                          <w:b/>
                          <w:color w:val="2F5496" w:themeColor="accent5" w:themeShade="BF"/>
                          <w:sz w:val="24"/>
                          <w:szCs w:val="24"/>
                        </w:rPr>
                        <w:t xml:space="preserve"> apakšpunkts</w:t>
                      </w:r>
                    </w:p>
                    <w:p w:rsidR="00A75896" w:rsidRPr="009F4F8B" w:rsidRDefault="00A75896" w:rsidP="00A75896">
                      <w:pPr>
                        <w:spacing w:after="0"/>
                        <w:jc w:val="right"/>
                        <w:rPr>
                          <w:rFonts w:ascii="Times New Roman" w:eastAsia="Calibri" w:hAnsi="Times New Roman" w:cs="Times New Roman"/>
                          <w:color w:val="2F5496" w:themeColor="accent5" w:themeShade="BF"/>
                        </w:rPr>
                      </w:pPr>
                    </w:p>
                  </w:txbxContent>
                </v:textbox>
                <w10:anchorlock/>
              </v:roundrect>
            </w:pict>
          </mc:Fallback>
        </mc:AlternateContent>
      </w:r>
    </w:p>
    <w:p w:rsidR="00F34BA1" w:rsidRDefault="00F34BA1" w:rsidP="00F34BA1">
      <w:pPr>
        <w:pStyle w:val="Heading2"/>
        <w:numPr>
          <w:ilvl w:val="0"/>
          <w:numId w:val="16"/>
        </w:numPr>
        <w:rPr>
          <w:rFonts w:ascii="Times New Roman" w:hAnsi="Times New Roman" w:cs="Times New Roman"/>
          <w:b/>
          <w:shd w:val="clear" w:color="auto" w:fill="FFFFFF"/>
        </w:rPr>
      </w:pPr>
      <w:r>
        <w:rPr>
          <w:rFonts w:ascii="Times New Roman" w:hAnsi="Times New Roman" w:cs="Times New Roman"/>
          <w:b/>
          <w:shd w:val="clear" w:color="auto" w:fill="FFFFFF"/>
        </w:rPr>
        <w:t>Kompensācijas par nodotajām tehnoloģiju tiesībām noteikšanas metodes</w:t>
      </w:r>
    </w:p>
    <w:p w:rsidR="007D3E03" w:rsidRPr="00A75896" w:rsidRDefault="00A75896" w:rsidP="00A75896">
      <w:pPr>
        <w:jc w:val="both"/>
        <w:rPr>
          <w:rFonts w:ascii="Times New Roman" w:hAnsi="Times New Roman" w:cs="Times New Roman"/>
          <w:color w:val="414142"/>
          <w:sz w:val="26"/>
          <w:szCs w:val="26"/>
          <w:shd w:val="clear" w:color="auto" w:fill="FFFFFF"/>
        </w:rPr>
      </w:pPr>
      <w:r>
        <w:rPr>
          <w:rFonts w:ascii="Times New Roman" w:hAnsi="Times New Roman" w:cs="Times New Roman"/>
          <w:color w:val="414142"/>
          <w:sz w:val="26"/>
          <w:szCs w:val="26"/>
          <w:shd w:val="clear" w:color="auto" w:fill="FFFFFF"/>
        </w:rPr>
        <w:t>V</w:t>
      </w:r>
      <w:r w:rsidRPr="00A75896">
        <w:rPr>
          <w:rFonts w:ascii="Times New Roman" w:hAnsi="Times New Roman" w:cs="Times New Roman"/>
          <w:color w:val="414142"/>
          <w:sz w:val="26"/>
          <w:szCs w:val="26"/>
          <w:shd w:val="clear" w:color="auto" w:fill="FFFFFF"/>
        </w:rPr>
        <w:t>eicot tehnoloģiju tiesību komercializāciju, pētniecības organizācija par visām nodotajām ekonomiskajām priekšrocībām saņem tādu kompensāciju, kas ir līdzvērtīga tirgus cenai par intelektuālā īpašuma tiesībām, kuras izriet no pētniecības organizācijas projekta ietvaros veiktās darbības. Kompensācija ir uzskatāma par līdzvērtīgu tirgus cenai, ja ir izpildīts viens no šādiem nosacījumiem:</w:t>
      </w:r>
    </w:p>
    <w:p w:rsidR="007F17F0" w:rsidRDefault="002465E6" w:rsidP="007F17F0">
      <w:r w:rsidRPr="009F4F8B">
        <w:rPr>
          <w:rFonts w:ascii="Times New Roman" w:hAnsi="Times New Roman" w:cs="Times New Roman"/>
          <w:noProof/>
          <w:lang w:eastAsia="lv-LV"/>
        </w:rPr>
        <mc:AlternateContent>
          <mc:Choice Requires="wps">
            <w:drawing>
              <wp:inline distT="0" distB="0" distL="0" distR="0" wp14:anchorId="3818E422" wp14:editId="2DF4C5F8">
                <wp:extent cx="5760085" cy="3571875"/>
                <wp:effectExtent l="0" t="0" r="31115" b="66675"/>
                <wp:docPr id="6" name="Flowchart: Alternate Process 6"/>
                <wp:cNvGraphicFramePr/>
                <a:graphic xmlns:a="http://schemas.openxmlformats.org/drawingml/2006/main">
                  <a:graphicData uri="http://schemas.microsoft.com/office/word/2010/wordprocessingShape">
                    <wps:wsp>
                      <wps:cNvSpPr/>
                      <wps:spPr>
                        <a:xfrm>
                          <a:off x="0" y="0"/>
                          <a:ext cx="5760085" cy="3571875"/>
                        </a:xfrm>
                        <a:prstGeom prst="flowChartAlternateProcess">
                          <a:avLst/>
                        </a:prstGeom>
                        <a:solidFill>
                          <a:srgbClr val="EFEFFF"/>
                        </a:solidFill>
                        <a:ln w="12700">
                          <a:solidFill>
                            <a:srgbClr val="B2A1C7"/>
                          </a:solidFill>
                          <a:round/>
                          <a:headEnd/>
                          <a:tailEnd/>
                        </a:ln>
                        <a:effectLst>
                          <a:outerShdw dist="28398" dir="3806097" algn="ctr" rotWithShape="0">
                            <a:srgbClr val="3F3151">
                              <a:alpha val="50000"/>
                            </a:srgbClr>
                          </a:outerShdw>
                        </a:effectLst>
                      </wps:spPr>
                      <wps:txbx>
                        <w:txbxContent>
                          <w:p w:rsidR="002465E6" w:rsidRPr="009F4F8B" w:rsidRDefault="002465E6" w:rsidP="002465E6">
                            <w:pPr>
                              <w:jc w:val="both"/>
                              <w:rPr>
                                <w:rFonts w:ascii="Times New Roman" w:eastAsia="Calibri" w:hAnsi="Times New Roman" w:cs="Times New Roman"/>
                                <w:color w:val="1F3864" w:themeColor="accent5" w:themeShade="80"/>
                              </w:rPr>
                            </w:pPr>
                            <w:r>
                              <w:rPr>
                                <w:rFonts w:ascii="Times New Roman" w:eastAsia="Calibri" w:hAnsi="Times New Roman" w:cs="Times New Roman"/>
                                <w:color w:val="1F3864" w:themeColor="accent5" w:themeShade="80"/>
                              </w:rPr>
                              <w:t>1.</w:t>
                            </w:r>
                            <w:r w:rsidRPr="009F4F8B">
                              <w:rPr>
                                <w:rFonts w:ascii="Times New Roman" w:eastAsia="Calibri" w:hAnsi="Times New Roman" w:cs="Times New Roman"/>
                                <w:color w:val="1F3864" w:themeColor="accent5" w:themeShade="80"/>
                              </w:rPr>
                              <w:t xml:space="preserve"> kompensācijas summa ir noteikta, veicot tehnoloģiju tiesību </w:t>
                            </w:r>
                            <w:r w:rsidRPr="00A75896">
                              <w:rPr>
                                <w:rFonts w:ascii="Times New Roman" w:eastAsia="Calibri" w:hAnsi="Times New Roman" w:cs="Times New Roman"/>
                                <w:b/>
                                <w:color w:val="1F3864" w:themeColor="accent5" w:themeShade="80"/>
                              </w:rPr>
                              <w:t>publisku izsoli</w:t>
                            </w:r>
                            <w:r w:rsidRPr="009F4F8B">
                              <w:rPr>
                                <w:rFonts w:ascii="Times New Roman" w:eastAsia="Calibri" w:hAnsi="Times New Roman" w:cs="Times New Roman"/>
                                <w:color w:val="1F3864" w:themeColor="accent5" w:themeShade="80"/>
                              </w:rPr>
                              <w:t xml:space="preserve"> saskaņā ar publiskas personas mantas izsoles kārtību regulējošiem normatīvajiem aktiem;</w:t>
                            </w:r>
                          </w:p>
                          <w:p w:rsidR="002465E6" w:rsidRPr="009F4F8B" w:rsidRDefault="002465E6" w:rsidP="002465E6">
                            <w:pPr>
                              <w:jc w:val="both"/>
                              <w:rPr>
                                <w:rFonts w:ascii="Times New Roman" w:eastAsia="Calibri" w:hAnsi="Times New Roman" w:cs="Times New Roman"/>
                                <w:color w:val="1F3864" w:themeColor="accent5" w:themeShade="80"/>
                              </w:rPr>
                            </w:pPr>
                            <w:r>
                              <w:rPr>
                                <w:rFonts w:ascii="Times New Roman" w:eastAsia="Calibri" w:hAnsi="Times New Roman" w:cs="Times New Roman"/>
                                <w:color w:val="1F3864" w:themeColor="accent5" w:themeShade="80"/>
                              </w:rPr>
                              <w:t>2.</w:t>
                            </w:r>
                            <w:r w:rsidRPr="009F4F8B">
                              <w:rPr>
                                <w:rFonts w:ascii="Times New Roman" w:eastAsia="Calibri" w:hAnsi="Times New Roman" w:cs="Times New Roman"/>
                                <w:color w:val="1F3864" w:themeColor="accent5" w:themeShade="80"/>
                              </w:rPr>
                              <w:t xml:space="preserve"> </w:t>
                            </w:r>
                            <w:r w:rsidRPr="00A75896">
                              <w:rPr>
                                <w:rFonts w:ascii="Times New Roman" w:eastAsia="Calibri" w:hAnsi="Times New Roman" w:cs="Times New Roman"/>
                                <w:b/>
                                <w:color w:val="1F3864" w:themeColor="accent5" w:themeShade="80"/>
                              </w:rPr>
                              <w:t>neatkarīga eksperta vērtējums</w:t>
                            </w:r>
                            <w:r w:rsidRPr="009F4F8B">
                              <w:rPr>
                                <w:rFonts w:ascii="Times New Roman" w:eastAsia="Calibri" w:hAnsi="Times New Roman" w:cs="Times New Roman"/>
                                <w:color w:val="1F3864" w:themeColor="accent5" w:themeShade="80"/>
                              </w:rPr>
                              <w:t xml:space="preserve"> apliecina, ka kompensācijas summa ir vismaz vienāda ar tirgus cenu;</w:t>
                            </w:r>
                          </w:p>
                          <w:p w:rsidR="002465E6" w:rsidRPr="009F4F8B" w:rsidRDefault="002465E6" w:rsidP="002465E6">
                            <w:pPr>
                              <w:jc w:val="both"/>
                              <w:rPr>
                                <w:rFonts w:ascii="Times New Roman" w:eastAsia="Calibri" w:hAnsi="Times New Roman" w:cs="Times New Roman"/>
                                <w:color w:val="1F3864" w:themeColor="accent5" w:themeShade="80"/>
                              </w:rPr>
                            </w:pPr>
                            <w:r>
                              <w:rPr>
                                <w:rFonts w:ascii="Times New Roman" w:eastAsia="Calibri" w:hAnsi="Times New Roman" w:cs="Times New Roman"/>
                                <w:color w:val="1F3864" w:themeColor="accent5" w:themeShade="80"/>
                              </w:rPr>
                              <w:t>3.</w:t>
                            </w:r>
                            <w:r w:rsidRPr="009F4F8B">
                              <w:rPr>
                                <w:rFonts w:ascii="Times New Roman" w:eastAsia="Calibri" w:hAnsi="Times New Roman" w:cs="Times New Roman"/>
                                <w:color w:val="1F3864" w:themeColor="accent5" w:themeShade="80"/>
                              </w:rPr>
                              <w:t xml:space="preserve"> pētniecības organizācija kā pārdevēja pierāda, ka </w:t>
                            </w:r>
                            <w:r w:rsidRPr="00A75896">
                              <w:rPr>
                                <w:rFonts w:ascii="Times New Roman" w:eastAsia="Calibri" w:hAnsi="Times New Roman" w:cs="Times New Roman"/>
                                <w:b/>
                                <w:color w:val="1F3864" w:themeColor="accent5" w:themeShade="80"/>
                              </w:rPr>
                              <w:t>tā dokumentētas sarunu procedūras rezultātā</w:t>
                            </w:r>
                            <w:r w:rsidRPr="009F4F8B">
                              <w:rPr>
                                <w:rFonts w:ascii="Times New Roman" w:eastAsia="Calibri" w:hAnsi="Times New Roman" w:cs="Times New Roman"/>
                                <w:color w:val="1F3864" w:themeColor="accent5" w:themeShade="80"/>
                              </w:rPr>
                              <w:t xml:space="preserve"> ir efektīvi vienojusies par kompensāciju godīgas konkurences apstākļos, lai iegūtu maksimālu saimniecisko labumu, kad tiek noslēgts līgums, vienlaikus apsverot savus likumīgos mērķus;</w:t>
                            </w:r>
                          </w:p>
                          <w:p w:rsidR="002465E6" w:rsidRDefault="002465E6" w:rsidP="002465E6">
                            <w:pPr>
                              <w:jc w:val="both"/>
                              <w:rPr>
                                <w:rFonts w:ascii="Times New Roman" w:eastAsia="Calibri" w:hAnsi="Times New Roman" w:cs="Times New Roman"/>
                                <w:color w:val="1F3864" w:themeColor="accent5" w:themeShade="80"/>
                              </w:rPr>
                            </w:pPr>
                            <w:r>
                              <w:rPr>
                                <w:rFonts w:ascii="Times New Roman" w:eastAsia="Calibri" w:hAnsi="Times New Roman" w:cs="Times New Roman"/>
                                <w:color w:val="1F3864" w:themeColor="accent5" w:themeShade="80"/>
                              </w:rPr>
                              <w:t>4.</w:t>
                            </w:r>
                            <w:r w:rsidRPr="009F4F8B">
                              <w:rPr>
                                <w:rFonts w:ascii="Times New Roman" w:eastAsia="Calibri" w:hAnsi="Times New Roman" w:cs="Times New Roman"/>
                                <w:color w:val="1F3864" w:themeColor="accent5" w:themeShade="80"/>
                              </w:rPr>
                              <w:t xml:space="preserve"> ja sadarbības līgumā paredzēts sadarbības partnerim – komersantam – piešķirt pirmpirkuma tiesības attiecībā uz tehnoloģiju tiesībām, kas izriet no pētniecības organizācijas projekta ietvaros veiktās darbības, un šie labuma guvēji izmanto abpusējas tiesības lūgt ekonomiski izdevīgākus piedāvājumus no trešajām pusēm, tad sadarbības partneris – komersants – attiecīgi salāgo savu piedāvājumu ar piedāvājumu, ko pētniecības organizācija saņēmusi no trešās puses.</w:t>
                            </w:r>
                          </w:p>
                          <w:p w:rsidR="00A75896" w:rsidRPr="009F4F8B" w:rsidRDefault="00A75896" w:rsidP="00A75896">
                            <w:pPr>
                              <w:jc w:val="right"/>
                            </w:pPr>
                            <w:r w:rsidRPr="00A75896">
                              <w:rPr>
                                <w:rFonts w:ascii="Times New Roman" w:eastAsia="Calibri" w:hAnsi="Times New Roman" w:cs="Times New Roman"/>
                                <w:b/>
                                <w:color w:val="2F5496" w:themeColor="accent5" w:themeShade="BF"/>
                                <w:sz w:val="24"/>
                                <w:szCs w:val="24"/>
                              </w:rPr>
                              <w:t>MK N 34 50.</w:t>
                            </w:r>
                            <w:r w:rsidRPr="00A75896">
                              <w:rPr>
                                <w:rFonts w:ascii="Times New Roman" w:eastAsia="Calibri" w:hAnsi="Times New Roman" w:cs="Times New Roman"/>
                                <w:b/>
                                <w:color w:val="2F5496" w:themeColor="accent5" w:themeShade="BF"/>
                                <w:sz w:val="24"/>
                                <w:szCs w:val="24"/>
                                <w:vertAlign w:val="superscript"/>
                              </w:rPr>
                              <w:t>2 </w:t>
                            </w:r>
                            <w:r w:rsidRPr="00A75896">
                              <w:rPr>
                                <w:rFonts w:ascii="Times New Roman" w:eastAsia="Calibri" w:hAnsi="Times New Roman" w:cs="Times New Roman"/>
                                <w:b/>
                                <w:color w:val="2F5496" w:themeColor="accent5" w:themeShade="BF"/>
                                <w:sz w:val="24"/>
                                <w:szCs w:val="24"/>
                              </w:rPr>
                              <w:t>2. apakšpunkts</w:t>
                            </w:r>
                          </w:p>
                        </w:txbxContent>
                      </wps:txbx>
                      <wps:bodyPr rot="0" spcFirstLastPara="0" vertOverflow="overflow" horzOverflow="overflow" vert="horz" wrap="square" lIns="91440" tIns="90000" rIns="91440" bIns="90000" numCol="1" spcCol="0" rtlCol="0" fromWordArt="0" anchor="t" anchorCtr="0" forceAA="0" upright="1" compatLnSpc="1">
                        <a:prstTxWarp prst="textNoShape">
                          <a:avLst/>
                        </a:prstTxWarp>
                        <a:noAutofit/>
                      </wps:bodyPr>
                    </wps:wsp>
                  </a:graphicData>
                </a:graphic>
              </wp:inline>
            </w:drawing>
          </mc:Choice>
          <mc:Fallback>
            <w:pict>
              <v:shapetype w14:anchorId="3818E422"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6" o:spid="_x0000_s1027" type="#_x0000_t176" style="width:453.55pt;height:28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" fillcolor="#efefff" strokecolor="#b2a1c7" strokeweight="1pt">
                <v:stroke joinstyle="round"/>
                <v:shadow on="t" color="#3f3151" opacity=".5" offset="1pt"/>
                <v:textbox inset=",2.5mm,,2.5mm">
                  <w:txbxContent>
                    <w:p w:rsidR="002465E6" w:rsidRPr="009F4F8B" w:rsidRDefault="002465E6" w:rsidP="002465E6">
                      <w:pPr>
                        <w:jc w:val="both"/>
                        <w:rPr>
                          <w:rFonts w:ascii="Times New Roman" w:eastAsia="Calibri" w:hAnsi="Times New Roman" w:cs="Times New Roman"/>
                          <w:color w:val="1F3864" w:themeColor="accent5" w:themeShade="80"/>
                        </w:rPr>
                      </w:pPr>
                      <w:r>
                        <w:rPr>
                          <w:rFonts w:ascii="Times New Roman" w:eastAsia="Calibri" w:hAnsi="Times New Roman" w:cs="Times New Roman"/>
                          <w:color w:val="1F3864" w:themeColor="accent5" w:themeShade="80"/>
                        </w:rPr>
                        <w:t>1.</w:t>
                      </w:r>
                      <w:r w:rsidRPr="009F4F8B">
                        <w:rPr>
                          <w:rFonts w:ascii="Times New Roman" w:eastAsia="Calibri" w:hAnsi="Times New Roman" w:cs="Times New Roman"/>
                          <w:color w:val="1F3864" w:themeColor="accent5" w:themeShade="80"/>
                        </w:rPr>
                        <w:t xml:space="preserve"> kompensācijas summa ir noteikta, veicot tehnoloģiju tiesību </w:t>
                      </w:r>
                      <w:r w:rsidRPr="00A75896">
                        <w:rPr>
                          <w:rFonts w:ascii="Times New Roman" w:eastAsia="Calibri" w:hAnsi="Times New Roman" w:cs="Times New Roman"/>
                          <w:b/>
                          <w:color w:val="1F3864" w:themeColor="accent5" w:themeShade="80"/>
                        </w:rPr>
                        <w:t>publisku izsoli</w:t>
                      </w:r>
                      <w:r w:rsidRPr="009F4F8B">
                        <w:rPr>
                          <w:rFonts w:ascii="Times New Roman" w:eastAsia="Calibri" w:hAnsi="Times New Roman" w:cs="Times New Roman"/>
                          <w:color w:val="1F3864" w:themeColor="accent5" w:themeShade="80"/>
                        </w:rPr>
                        <w:t xml:space="preserve"> saskaņā ar publiskas personas mantas izsoles kārtību regulējošiem normatīvajiem aktiem;</w:t>
                      </w:r>
                    </w:p>
                    <w:p w:rsidR="002465E6" w:rsidRPr="009F4F8B" w:rsidRDefault="002465E6" w:rsidP="002465E6">
                      <w:pPr>
                        <w:jc w:val="both"/>
                        <w:rPr>
                          <w:rFonts w:ascii="Times New Roman" w:eastAsia="Calibri" w:hAnsi="Times New Roman" w:cs="Times New Roman"/>
                          <w:color w:val="1F3864" w:themeColor="accent5" w:themeShade="80"/>
                        </w:rPr>
                      </w:pPr>
                      <w:r>
                        <w:rPr>
                          <w:rFonts w:ascii="Times New Roman" w:eastAsia="Calibri" w:hAnsi="Times New Roman" w:cs="Times New Roman"/>
                          <w:color w:val="1F3864" w:themeColor="accent5" w:themeShade="80"/>
                        </w:rPr>
                        <w:t>2.</w:t>
                      </w:r>
                      <w:r w:rsidRPr="009F4F8B">
                        <w:rPr>
                          <w:rFonts w:ascii="Times New Roman" w:eastAsia="Calibri" w:hAnsi="Times New Roman" w:cs="Times New Roman"/>
                          <w:color w:val="1F3864" w:themeColor="accent5" w:themeShade="80"/>
                        </w:rPr>
                        <w:t xml:space="preserve"> </w:t>
                      </w:r>
                      <w:r w:rsidRPr="00A75896">
                        <w:rPr>
                          <w:rFonts w:ascii="Times New Roman" w:eastAsia="Calibri" w:hAnsi="Times New Roman" w:cs="Times New Roman"/>
                          <w:b/>
                          <w:color w:val="1F3864" w:themeColor="accent5" w:themeShade="80"/>
                        </w:rPr>
                        <w:t>neatkarīga eksperta vērtējums</w:t>
                      </w:r>
                      <w:r w:rsidRPr="009F4F8B">
                        <w:rPr>
                          <w:rFonts w:ascii="Times New Roman" w:eastAsia="Calibri" w:hAnsi="Times New Roman" w:cs="Times New Roman"/>
                          <w:color w:val="1F3864" w:themeColor="accent5" w:themeShade="80"/>
                        </w:rPr>
                        <w:t xml:space="preserve"> apliecina, ka kompensācijas summa ir vismaz vienāda ar tirgus cenu;</w:t>
                      </w:r>
                    </w:p>
                    <w:p w:rsidR="002465E6" w:rsidRPr="009F4F8B" w:rsidRDefault="002465E6" w:rsidP="002465E6">
                      <w:pPr>
                        <w:jc w:val="both"/>
                        <w:rPr>
                          <w:rFonts w:ascii="Times New Roman" w:eastAsia="Calibri" w:hAnsi="Times New Roman" w:cs="Times New Roman"/>
                          <w:color w:val="1F3864" w:themeColor="accent5" w:themeShade="80"/>
                        </w:rPr>
                      </w:pPr>
                      <w:r>
                        <w:rPr>
                          <w:rFonts w:ascii="Times New Roman" w:eastAsia="Calibri" w:hAnsi="Times New Roman" w:cs="Times New Roman"/>
                          <w:color w:val="1F3864" w:themeColor="accent5" w:themeShade="80"/>
                        </w:rPr>
                        <w:t>3.</w:t>
                      </w:r>
                      <w:r w:rsidRPr="009F4F8B">
                        <w:rPr>
                          <w:rFonts w:ascii="Times New Roman" w:eastAsia="Calibri" w:hAnsi="Times New Roman" w:cs="Times New Roman"/>
                          <w:color w:val="1F3864" w:themeColor="accent5" w:themeShade="80"/>
                        </w:rPr>
                        <w:t xml:space="preserve"> pētniecības organizācija kā pārdevēja pierāda, ka </w:t>
                      </w:r>
                      <w:r w:rsidRPr="00A75896">
                        <w:rPr>
                          <w:rFonts w:ascii="Times New Roman" w:eastAsia="Calibri" w:hAnsi="Times New Roman" w:cs="Times New Roman"/>
                          <w:b/>
                          <w:color w:val="1F3864" w:themeColor="accent5" w:themeShade="80"/>
                        </w:rPr>
                        <w:t>tā dokumentētas sarunu procedūras rezultātā</w:t>
                      </w:r>
                      <w:r w:rsidRPr="009F4F8B">
                        <w:rPr>
                          <w:rFonts w:ascii="Times New Roman" w:eastAsia="Calibri" w:hAnsi="Times New Roman" w:cs="Times New Roman"/>
                          <w:color w:val="1F3864" w:themeColor="accent5" w:themeShade="80"/>
                        </w:rPr>
                        <w:t xml:space="preserve"> ir efektīvi vienojusies par kompensāciju godīgas konkurences apstākļos, lai iegūtu maksimālu saimniecisko labumu, kad tiek noslēgts līgums, vienlaikus apsverot savus likumīgos mērķus;</w:t>
                      </w:r>
                    </w:p>
                    <w:p w:rsidR="002465E6" w:rsidRDefault="002465E6" w:rsidP="002465E6">
                      <w:pPr>
                        <w:jc w:val="both"/>
                        <w:rPr>
                          <w:rFonts w:ascii="Times New Roman" w:eastAsia="Calibri" w:hAnsi="Times New Roman" w:cs="Times New Roman"/>
                          <w:color w:val="1F3864" w:themeColor="accent5" w:themeShade="80"/>
                        </w:rPr>
                      </w:pPr>
                      <w:r>
                        <w:rPr>
                          <w:rFonts w:ascii="Times New Roman" w:eastAsia="Calibri" w:hAnsi="Times New Roman" w:cs="Times New Roman"/>
                          <w:color w:val="1F3864" w:themeColor="accent5" w:themeShade="80"/>
                        </w:rPr>
                        <w:t>4.</w:t>
                      </w:r>
                      <w:r w:rsidRPr="009F4F8B">
                        <w:rPr>
                          <w:rFonts w:ascii="Times New Roman" w:eastAsia="Calibri" w:hAnsi="Times New Roman" w:cs="Times New Roman"/>
                          <w:color w:val="1F3864" w:themeColor="accent5" w:themeShade="80"/>
                        </w:rPr>
                        <w:t xml:space="preserve"> ja sadarbības līgumā paredzēts sadarbības partnerim – komersantam – piešķirt pirmpirkuma tiesības attiecībā uz tehnoloģiju tiesībām, kas izriet no pētniecības organizācijas projekta ietvaros veiktās darbības, un šie labuma guvēji izmanto abpusējas tiesības lūgt ekonomiski izdevīgākus piedāvājumus no trešajām pusēm, tad sadarbības partneris – komersants – attiecīgi salāgo savu piedāvājumu ar piedāvājumu, ko pētniecības organizācija saņēmusi no trešās puses.</w:t>
                      </w:r>
                    </w:p>
                    <w:p w:rsidR="00A75896" w:rsidRPr="009F4F8B" w:rsidRDefault="00A75896" w:rsidP="00A75896">
                      <w:pPr>
                        <w:jc w:val="right"/>
                      </w:pPr>
                      <w:r w:rsidRPr="00A75896">
                        <w:rPr>
                          <w:rFonts w:ascii="Times New Roman" w:eastAsia="Calibri" w:hAnsi="Times New Roman" w:cs="Times New Roman"/>
                          <w:b/>
                          <w:color w:val="2F5496" w:themeColor="accent5" w:themeShade="BF"/>
                          <w:sz w:val="24"/>
                          <w:szCs w:val="24"/>
                        </w:rPr>
                        <w:t>MK N 34 50.</w:t>
                      </w:r>
                      <w:r w:rsidRPr="00A75896">
                        <w:rPr>
                          <w:rFonts w:ascii="Times New Roman" w:eastAsia="Calibri" w:hAnsi="Times New Roman" w:cs="Times New Roman"/>
                          <w:b/>
                          <w:color w:val="2F5496" w:themeColor="accent5" w:themeShade="BF"/>
                          <w:sz w:val="24"/>
                          <w:szCs w:val="24"/>
                          <w:vertAlign w:val="superscript"/>
                        </w:rPr>
                        <w:t>2 </w:t>
                      </w:r>
                      <w:r w:rsidRPr="00A75896">
                        <w:rPr>
                          <w:rFonts w:ascii="Times New Roman" w:eastAsia="Calibri" w:hAnsi="Times New Roman" w:cs="Times New Roman"/>
                          <w:b/>
                          <w:color w:val="2F5496" w:themeColor="accent5" w:themeShade="BF"/>
                          <w:sz w:val="24"/>
                          <w:szCs w:val="24"/>
                        </w:rPr>
                        <w:t>2. apakšpunkts</w:t>
                      </w:r>
                    </w:p>
                  </w:txbxContent>
                </v:textbox>
                <w10:anchorlock/>
              </v:shape>
            </w:pict>
          </mc:Fallback>
        </mc:AlternateContent>
      </w:r>
    </w:p>
    <w:p w:rsidR="007D3E03" w:rsidRPr="007F17F0" w:rsidRDefault="007D3E03" w:rsidP="007F17F0">
      <w:r w:rsidRPr="004D196C">
        <w:rPr>
          <w:noProof/>
          <w:lang w:eastAsia="lv-LV"/>
        </w:rPr>
        <w:lastRenderedPageBreak/>
        <mc:AlternateContent>
          <mc:Choice Requires="wps">
            <w:drawing>
              <wp:inline distT="0" distB="0" distL="0" distR="0" wp14:anchorId="0D3489A5" wp14:editId="33912C0D">
                <wp:extent cx="5743575" cy="476250"/>
                <wp:effectExtent l="0" t="0" r="47625" b="57150"/>
                <wp:docPr id="4" name="Flowchart: Alternate Process 4"/>
                <wp:cNvGraphicFramePr/>
                <a:graphic xmlns:a="http://schemas.openxmlformats.org/drawingml/2006/main">
                  <a:graphicData uri="http://schemas.microsoft.com/office/word/2010/wordprocessingShape">
                    <wps:wsp>
                      <wps:cNvSpPr/>
                      <wps:spPr>
                        <a:xfrm>
                          <a:off x="0" y="0"/>
                          <a:ext cx="5743575" cy="476250"/>
                        </a:xfrm>
                        <a:prstGeom prst="flowChartAlternateProcess">
                          <a:avLst/>
                        </a:prstGeom>
                        <a:solidFill>
                          <a:srgbClr val="FFFFB3"/>
                        </a:solidFill>
                        <a:ln w="12700">
                          <a:solidFill>
                            <a:schemeClr val="accent4">
                              <a:lumMod val="75000"/>
                            </a:schemeClr>
                          </a:solidFill>
                          <a:round/>
                          <a:headEnd/>
                          <a:tailEnd/>
                        </a:ln>
                        <a:effectLst>
                          <a:outerShdw dist="28398" dir="3806097" algn="ctr" rotWithShape="0">
                            <a:srgbClr val="3F3151">
                              <a:alpha val="50000"/>
                            </a:srgbClr>
                          </a:outerShdw>
                        </a:effectLst>
                      </wps:spPr>
                      <wps:txbx>
                        <w:txbxContent>
                          <w:p w:rsidR="007D3E03" w:rsidRPr="007D3E03" w:rsidRDefault="007D3E03" w:rsidP="007D3E03">
                            <w:pPr>
                              <w:spacing w:after="0"/>
                              <w:jc w:val="both"/>
                              <w:rPr>
                                <w:rFonts w:ascii="Times New Roman" w:eastAsia="Calibri" w:hAnsi="Times New Roman" w:cs="Times New Roman"/>
                                <w:b/>
                                <w:color w:val="2F5496" w:themeColor="accent5" w:themeShade="BF"/>
                                <w:sz w:val="24"/>
                                <w:szCs w:val="24"/>
                              </w:rPr>
                            </w:pPr>
                            <w:r>
                              <w:rPr>
                                <w:rFonts w:ascii="Times New Roman" w:eastAsia="Calibri" w:hAnsi="Times New Roman" w:cs="Times New Roman"/>
                                <w:b/>
                                <w:color w:val="2F5496" w:themeColor="accent5" w:themeShade="BF"/>
                                <w:sz w:val="24"/>
                                <w:szCs w:val="24"/>
                              </w:rPr>
                              <w:t xml:space="preserve">! </w:t>
                            </w:r>
                            <w:r w:rsidRPr="007D3E03">
                              <w:rPr>
                                <w:rFonts w:ascii="Times New Roman" w:eastAsia="Calibri" w:hAnsi="Times New Roman" w:cs="Times New Roman"/>
                                <w:b/>
                                <w:color w:val="2F5496" w:themeColor="accent5" w:themeShade="BF"/>
                                <w:sz w:val="24"/>
                                <w:szCs w:val="24"/>
                              </w:rPr>
                              <w:t>Visu peļņu no tehnoloģiju tiesību komercializācijas iegulda PO pamatdarbībās</w:t>
                            </w:r>
                          </w:p>
                        </w:txbxContent>
                      </wps:txbx>
                      <wps:bodyPr rot="0" spcFirstLastPara="0" vertOverflow="overflow" horzOverflow="overflow" vert="horz" wrap="square" lIns="91440" tIns="90000" rIns="91440" bIns="90000" numCol="1" spcCol="0" rtlCol="0" fromWordArt="0" anchor="t" anchorCtr="0" forceAA="0" upright="1" compatLnSpc="1">
                        <a:prstTxWarp prst="textNoShape">
                          <a:avLst/>
                        </a:prstTxWarp>
                        <a:noAutofit/>
                      </wps:bodyPr>
                    </wps:wsp>
                  </a:graphicData>
                </a:graphic>
              </wp:inline>
            </w:drawing>
          </mc:Choice>
          <mc:Fallback>
            <w:pict>
              <v:shape w14:anchorId="0D3489A5" id="Flowchart: Alternate Process 4" o:spid="_x0000_s1028" type="#_x0000_t176" style="width:452.25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" fillcolor="#ffffb3" strokecolor="#bf8f00 [2407]" strokeweight="1pt">
                <v:stroke joinstyle="round"/>
                <v:shadow on="t" color="#3f3151" opacity=".5" offset="1pt"/>
                <v:textbox inset=",2.5mm,,2.5mm">
                  <w:txbxContent>
                    <w:p w:rsidR="007D3E03" w:rsidRPr="007D3E03" w:rsidRDefault="007D3E03" w:rsidP="007D3E03">
                      <w:pPr>
                        <w:spacing w:after="0"/>
                        <w:jc w:val="both"/>
                        <w:rPr>
                          <w:rFonts w:ascii="Times New Roman" w:eastAsia="Calibri" w:hAnsi="Times New Roman" w:cs="Times New Roman"/>
                          <w:b/>
                          <w:color w:val="2F5496" w:themeColor="accent5" w:themeShade="BF"/>
                          <w:sz w:val="24"/>
                          <w:szCs w:val="24"/>
                        </w:rPr>
                      </w:pPr>
                      <w:r>
                        <w:rPr>
                          <w:rFonts w:ascii="Times New Roman" w:eastAsia="Calibri" w:hAnsi="Times New Roman" w:cs="Times New Roman"/>
                          <w:b/>
                          <w:color w:val="2F5496" w:themeColor="accent5" w:themeShade="BF"/>
                          <w:sz w:val="24"/>
                          <w:szCs w:val="24"/>
                        </w:rPr>
                        <w:t xml:space="preserve">! </w:t>
                      </w:r>
                      <w:r w:rsidRPr="007D3E03">
                        <w:rPr>
                          <w:rFonts w:ascii="Times New Roman" w:eastAsia="Calibri" w:hAnsi="Times New Roman" w:cs="Times New Roman"/>
                          <w:b/>
                          <w:color w:val="2F5496" w:themeColor="accent5" w:themeShade="BF"/>
                          <w:sz w:val="24"/>
                          <w:szCs w:val="24"/>
                        </w:rPr>
                        <w:t xml:space="preserve">Visu peļņu no tehnoloģiju tiesību </w:t>
                      </w:r>
                      <w:proofErr w:type="spellStart"/>
                      <w:r w:rsidRPr="007D3E03">
                        <w:rPr>
                          <w:rFonts w:ascii="Times New Roman" w:eastAsia="Calibri" w:hAnsi="Times New Roman" w:cs="Times New Roman"/>
                          <w:b/>
                          <w:color w:val="2F5496" w:themeColor="accent5" w:themeShade="BF"/>
                          <w:sz w:val="24"/>
                          <w:szCs w:val="24"/>
                        </w:rPr>
                        <w:t>komercializācijas</w:t>
                      </w:r>
                      <w:proofErr w:type="spellEnd"/>
                      <w:r w:rsidRPr="007D3E03">
                        <w:rPr>
                          <w:rFonts w:ascii="Times New Roman" w:eastAsia="Calibri" w:hAnsi="Times New Roman" w:cs="Times New Roman"/>
                          <w:b/>
                          <w:color w:val="2F5496" w:themeColor="accent5" w:themeShade="BF"/>
                          <w:sz w:val="24"/>
                          <w:szCs w:val="24"/>
                        </w:rPr>
                        <w:t xml:space="preserve"> iegulda PO pamatdarbībās</w:t>
                      </w:r>
                    </w:p>
                  </w:txbxContent>
                </v:textbox>
                <w10:anchorlock/>
              </v:shape>
            </w:pict>
          </mc:Fallback>
        </mc:AlternateContent>
      </w:r>
    </w:p>
    <w:p w:rsidR="009F4F8B" w:rsidRPr="009F4F8B" w:rsidRDefault="009F4F8B" w:rsidP="00534CCB">
      <w:pPr>
        <w:pStyle w:val="Heading3"/>
        <w:numPr>
          <w:ilvl w:val="1"/>
          <w:numId w:val="16"/>
        </w:numPr>
        <w:rPr>
          <w:shd w:val="clear" w:color="auto" w:fill="FFFFFF"/>
        </w:rPr>
      </w:pPr>
      <w:r w:rsidRPr="009F4F8B">
        <w:rPr>
          <w:shd w:val="clear" w:color="auto" w:fill="FFFFFF"/>
        </w:rPr>
        <w:t>Publiska izsole</w:t>
      </w:r>
    </w:p>
    <w:p w:rsidR="00AC0A34" w:rsidRPr="00596E1D" w:rsidRDefault="002465E6" w:rsidP="009F4F8B">
      <w:pPr>
        <w:spacing w:before="120" w:after="120" w:line="240" w:lineRule="auto"/>
        <w:jc w:val="both"/>
        <w:rPr>
          <w:rFonts w:ascii="Times New Roman" w:hAnsi="Times New Roman" w:cs="Times New Roman"/>
          <w:sz w:val="26"/>
          <w:szCs w:val="26"/>
        </w:rPr>
      </w:pPr>
      <w:r>
        <w:rPr>
          <w:rFonts w:ascii="Times New Roman" w:hAnsi="Times New Roman" w:cs="Times New Roman"/>
          <w:sz w:val="26"/>
          <w:szCs w:val="26"/>
        </w:rPr>
        <w:t>P</w:t>
      </w:r>
      <w:r w:rsidR="00AC0A34" w:rsidRPr="00596E1D">
        <w:rPr>
          <w:rFonts w:ascii="Times New Roman" w:hAnsi="Times New Roman" w:cs="Times New Roman"/>
          <w:sz w:val="26"/>
          <w:szCs w:val="26"/>
        </w:rPr>
        <w:t xml:space="preserve">ublisku izsoli </w:t>
      </w:r>
      <w:r>
        <w:rPr>
          <w:rFonts w:ascii="Times New Roman" w:hAnsi="Times New Roman" w:cs="Times New Roman"/>
          <w:sz w:val="26"/>
          <w:szCs w:val="26"/>
        </w:rPr>
        <w:t xml:space="preserve">organizē </w:t>
      </w:r>
      <w:r w:rsidR="00AC0A34" w:rsidRPr="00596E1D">
        <w:rPr>
          <w:rFonts w:ascii="Times New Roman" w:hAnsi="Times New Roman" w:cs="Times New Roman"/>
          <w:sz w:val="26"/>
          <w:szCs w:val="26"/>
        </w:rPr>
        <w:t xml:space="preserve">saskaņā ar </w:t>
      </w:r>
      <w:r w:rsidR="00AC0A34" w:rsidRPr="00596E1D">
        <w:rPr>
          <w:rFonts w:ascii="Times New Roman" w:hAnsi="Times New Roman" w:cs="Times New Roman"/>
          <w:i/>
          <w:sz w:val="26"/>
          <w:szCs w:val="26"/>
        </w:rPr>
        <w:t>Publiskas personas mantas atsavināšanas likumu</w:t>
      </w:r>
      <w:r w:rsidR="00AC0A34" w:rsidRPr="00596E1D">
        <w:rPr>
          <w:rStyle w:val="FootnoteReference"/>
          <w:rFonts w:ascii="Times New Roman" w:hAnsi="Times New Roman" w:cs="Times New Roman"/>
          <w:i/>
          <w:sz w:val="26"/>
          <w:szCs w:val="26"/>
        </w:rPr>
        <w:footnoteReference w:id="1"/>
      </w:r>
      <w:r w:rsidR="009F4F8B" w:rsidRPr="00596E1D">
        <w:rPr>
          <w:rFonts w:ascii="Times New Roman" w:hAnsi="Times New Roman" w:cs="Times New Roman"/>
          <w:sz w:val="26"/>
          <w:szCs w:val="26"/>
        </w:rPr>
        <w:t xml:space="preserve">. Izsoles </w:t>
      </w:r>
      <w:r w:rsidR="00AC0A34" w:rsidRPr="00596E1D">
        <w:rPr>
          <w:rFonts w:ascii="Times New Roman" w:hAnsi="Times New Roman" w:cs="Times New Roman"/>
          <w:sz w:val="26"/>
          <w:szCs w:val="26"/>
        </w:rPr>
        <w:t xml:space="preserve">organizēšanai pētniecības organizācija izstrādā izsoles norises kārtību, iekļaujot informāciju par šādiem aspektiem: </w:t>
      </w:r>
      <w:r w:rsidR="009F4F8B" w:rsidRPr="00596E1D">
        <w:rPr>
          <w:rFonts w:ascii="Times New Roman" w:hAnsi="Times New Roman" w:cs="Times New Roman"/>
          <w:sz w:val="26"/>
          <w:szCs w:val="26"/>
        </w:rPr>
        <w:t xml:space="preserve"> </w:t>
      </w:r>
    </w:p>
    <w:p w:rsidR="009F4F8B" w:rsidRPr="00596E1D" w:rsidRDefault="00AC0A34" w:rsidP="00AC0A34">
      <w:pPr>
        <w:pStyle w:val="ListParagraph"/>
        <w:numPr>
          <w:ilvl w:val="0"/>
          <w:numId w:val="2"/>
        </w:numPr>
        <w:spacing w:before="120" w:after="120" w:line="240" w:lineRule="auto"/>
        <w:jc w:val="both"/>
        <w:rPr>
          <w:rFonts w:ascii="Times New Roman" w:hAnsi="Times New Roman" w:cs="Times New Roman"/>
          <w:sz w:val="26"/>
          <w:szCs w:val="26"/>
        </w:rPr>
      </w:pPr>
      <w:r w:rsidRPr="00596E1D">
        <w:rPr>
          <w:rFonts w:ascii="Times New Roman" w:hAnsi="Times New Roman" w:cs="Times New Roman"/>
          <w:sz w:val="26"/>
          <w:szCs w:val="26"/>
        </w:rPr>
        <w:t>v</w:t>
      </w:r>
      <w:r w:rsidR="009F4F8B" w:rsidRPr="00596E1D">
        <w:rPr>
          <w:rFonts w:ascii="Times New Roman" w:hAnsi="Times New Roman" w:cs="Times New Roman"/>
          <w:sz w:val="26"/>
          <w:szCs w:val="26"/>
        </w:rPr>
        <w:t>ai izsole būs rakstiska vai mutiska;</w:t>
      </w:r>
    </w:p>
    <w:p w:rsidR="008A0DCF" w:rsidRPr="00596E1D" w:rsidRDefault="00AC0A34" w:rsidP="008A0DCF">
      <w:pPr>
        <w:pStyle w:val="ListParagraph"/>
        <w:numPr>
          <w:ilvl w:val="0"/>
          <w:numId w:val="2"/>
        </w:numPr>
        <w:spacing w:before="120" w:after="120" w:line="240" w:lineRule="auto"/>
        <w:jc w:val="both"/>
        <w:rPr>
          <w:rFonts w:ascii="Times New Roman" w:hAnsi="Times New Roman" w:cs="Times New Roman"/>
          <w:sz w:val="26"/>
          <w:szCs w:val="26"/>
        </w:rPr>
      </w:pPr>
      <w:r w:rsidRPr="00596E1D">
        <w:rPr>
          <w:rFonts w:ascii="Times New Roman" w:hAnsi="Times New Roman" w:cs="Times New Roman"/>
          <w:sz w:val="26"/>
          <w:szCs w:val="26"/>
        </w:rPr>
        <w:t>kāda metode tiks piemērota</w:t>
      </w:r>
      <w:r w:rsidR="008A0DCF" w:rsidRPr="00596E1D">
        <w:rPr>
          <w:rFonts w:ascii="Times New Roman" w:hAnsi="Times New Roman" w:cs="Times New Roman"/>
          <w:sz w:val="26"/>
          <w:szCs w:val="26"/>
        </w:rPr>
        <w:t>, lai noteiktu nododamo tehnoloģ</w:t>
      </w:r>
      <w:r w:rsidRPr="00596E1D">
        <w:rPr>
          <w:rFonts w:ascii="Times New Roman" w:hAnsi="Times New Roman" w:cs="Times New Roman"/>
          <w:sz w:val="26"/>
          <w:szCs w:val="26"/>
        </w:rPr>
        <w:t>iju tiesību vērtību</w:t>
      </w:r>
      <w:r w:rsidR="00B53ABA" w:rsidRPr="00596E1D">
        <w:rPr>
          <w:rStyle w:val="FootnoteReference"/>
          <w:rFonts w:ascii="Times New Roman" w:hAnsi="Times New Roman" w:cs="Times New Roman"/>
          <w:bCs/>
          <w:sz w:val="26"/>
          <w:szCs w:val="26"/>
        </w:rPr>
        <w:footnoteReference w:id="2"/>
      </w:r>
      <w:r w:rsidR="008A0DCF" w:rsidRPr="00596E1D">
        <w:rPr>
          <w:rFonts w:ascii="Times New Roman" w:hAnsi="Times New Roman" w:cs="Times New Roman"/>
          <w:sz w:val="26"/>
          <w:szCs w:val="26"/>
        </w:rPr>
        <w:t xml:space="preserve"> (sākumcenu):</w:t>
      </w:r>
    </w:p>
    <w:p w:rsidR="009F4F8B" w:rsidRPr="00596E1D" w:rsidRDefault="00AC0A34" w:rsidP="008A0DCF">
      <w:pPr>
        <w:pStyle w:val="ListParagraph"/>
        <w:numPr>
          <w:ilvl w:val="0"/>
          <w:numId w:val="2"/>
        </w:numPr>
        <w:spacing w:before="120" w:after="120" w:line="240" w:lineRule="auto"/>
        <w:jc w:val="both"/>
        <w:rPr>
          <w:rFonts w:ascii="Times New Roman" w:hAnsi="Times New Roman" w:cs="Times New Roman"/>
          <w:sz w:val="26"/>
          <w:szCs w:val="26"/>
        </w:rPr>
      </w:pPr>
      <w:r w:rsidRPr="00596E1D">
        <w:rPr>
          <w:rFonts w:ascii="Times New Roman" w:hAnsi="Times New Roman" w:cs="Times New Roman"/>
          <w:sz w:val="26"/>
          <w:szCs w:val="26"/>
        </w:rPr>
        <w:t>k</w:t>
      </w:r>
      <w:r w:rsidR="009F4F8B" w:rsidRPr="00596E1D">
        <w:rPr>
          <w:rFonts w:ascii="Times New Roman" w:hAnsi="Times New Roman" w:cs="Times New Roman"/>
          <w:sz w:val="26"/>
          <w:szCs w:val="26"/>
        </w:rPr>
        <w:t xml:space="preserve">āda būs </w:t>
      </w:r>
      <w:r w:rsidRPr="00596E1D">
        <w:rPr>
          <w:rFonts w:ascii="Times New Roman" w:hAnsi="Times New Roman" w:cs="Times New Roman"/>
          <w:sz w:val="26"/>
          <w:szCs w:val="26"/>
        </w:rPr>
        <w:t>kompensācijas par nodotajām tehnoloģiju tiesībām</w:t>
      </w:r>
      <w:r w:rsidR="009F4F8B" w:rsidRPr="00596E1D">
        <w:rPr>
          <w:rFonts w:ascii="Times New Roman" w:hAnsi="Times New Roman" w:cs="Times New Roman"/>
          <w:sz w:val="26"/>
          <w:szCs w:val="26"/>
        </w:rPr>
        <w:t xml:space="preserve"> sākumcena;</w:t>
      </w:r>
    </w:p>
    <w:p w:rsidR="009F4F8B" w:rsidRPr="00596E1D" w:rsidRDefault="008A0DCF" w:rsidP="008A0DCF">
      <w:pPr>
        <w:pStyle w:val="ListParagraph"/>
        <w:numPr>
          <w:ilvl w:val="0"/>
          <w:numId w:val="2"/>
        </w:numPr>
        <w:spacing w:before="120" w:after="120" w:line="240" w:lineRule="auto"/>
        <w:jc w:val="both"/>
        <w:rPr>
          <w:rFonts w:ascii="Times New Roman" w:hAnsi="Times New Roman" w:cs="Times New Roman"/>
          <w:sz w:val="26"/>
          <w:szCs w:val="26"/>
        </w:rPr>
      </w:pPr>
      <w:r w:rsidRPr="00596E1D">
        <w:rPr>
          <w:rFonts w:ascii="Times New Roman" w:hAnsi="Times New Roman" w:cs="Times New Roman"/>
          <w:sz w:val="26"/>
          <w:szCs w:val="26"/>
        </w:rPr>
        <w:t>k</w:t>
      </w:r>
      <w:r w:rsidR="009F4F8B" w:rsidRPr="00596E1D">
        <w:rPr>
          <w:rFonts w:ascii="Times New Roman" w:hAnsi="Times New Roman" w:cs="Times New Roman"/>
          <w:sz w:val="26"/>
          <w:szCs w:val="26"/>
        </w:rPr>
        <w:t>ādi būs maksājumu nosacījumi (</w:t>
      </w:r>
      <w:r w:rsidRPr="00596E1D">
        <w:rPr>
          <w:rFonts w:ascii="Times New Roman" w:hAnsi="Times New Roman" w:cs="Times New Roman"/>
          <w:sz w:val="26"/>
          <w:szCs w:val="26"/>
        </w:rPr>
        <w:t xml:space="preserve">t.sk. </w:t>
      </w:r>
      <w:r w:rsidR="009F4F8B" w:rsidRPr="00596E1D">
        <w:rPr>
          <w:rFonts w:ascii="Times New Roman" w:hAnsi="Times New Roman" w:cs="Times New Roman"/>
          <w:sz w:val="26"/>
          <w:szCs w:val="26"/>
        </w:rPr>
        <w:t>maksājumu dalīšana, samaksas termiņš u.c.).</w:t>
      </w:r>
    </w:p>
    <w:p w:rsidR="009F4F8B" w:rsidRPr="00596E1D" w:rsidRDefault="009F4F8B" w:rsidP="009F4F8B">
      <w:pPr>
        <w:spacing w:before="120" w:after="120" w:line="240" w:lineRule="auto"/>
        <w:jc w:val="both"/>
        <w:rPr>
          <w:rFonts w:ascii="Times New Roman" w:hAnsi="Times New Roman" w:cs="Times New Roman"/>
          <w:sz w:val="26"/>
          <w:szCs w:val="26"/>
        </w:rPr>
      </w:pPr>
      <w:r w:rsidRPr="00596E1D">
        <w:rPr>
          <w:rFonts w:ascii="Times New Roman" w:hAnsi="Times New Roman" w:cs="Times New Roman"/>
          <w:sz w:val="26"/>
          <w:szCs w:val="26"/>
        </w:rPr>
        <w:t>Jāņem vērā, ka, lai arī izsole uzskatāma par tirgus situācijai atbilstošas atlīdzības noteikšanas veidu un sniedz komersantiem vienlīdzīgas iespējas, tā ierobežo iespēju iesniegt dažāda satura piedāvājumus izvērtēšanai, jo pirms izsoles visiem interesentiem jābūt informētiem par līguma nosacījumiem. Tāpat izsoles organizēšana var nebūt piemērota gadījumos, kad īpaši būtiska ir konfidencialitāte, piemēram, gadījumos, kad pētījuma rezultātiem nav nostiprinātas intelektuālā īpašuma tiesības vai informācijas publiskošana var būtiski ietekmēt intelektuālā īpašuma tiesību pārdošanas cenu, vai kad ir iespējami dažādi pārdošanas vai licences nosacījumi (vienreizējie maksājumi (</w:t>
      </w:r>
      <w:r w:rsidRPr="00596E1D">
        <w:rPr>
          <w:rFonts w:ascii="Times New Roman" w:hAnsi="Times New Roman" w:cs="Times New Roman"/>
          <w:i/>
          <w:sz w:val="26"/>
          <w:szCs w:val="26"/>
        </w:rPr>
        <w:t>downpayment</w:t>
      </w:r>
      <w:r w:rsidRPr="00596E1D">
        <w:rPr>
          <w:rFonts w:ascii="Times New Roman" w:hAnsi="Times New Roman" w:cs="Times New Roman"/>
          <w:sz w:val="26"/>
          <w:szCs w:val="26"/>
        </w:rPr>
        <w:t>), procentmaksājumi (</w:t>
      </w:r>
      <w:r w:rsidRPr="00596E1D">
        <w:rPr>
          <w:rFonts w:ascii="Times New Roman" w:hAnsi="Times New Roman" w:cs="Times New Roman"/>
          <w:i/>
          <w:sz w:val="26"/>
          <w:szCs w:val="26"/>
        </w:rPr>
        <w:t>royalties</w:t>
      </w:r>
      <w:r w:rsidRPr="00596E1D">
        <w:rPr>
          <w:rFonts w:ascii="Times New Roman" w:hAnsi="Times New Roman" w:cs="Times New Roman"/>
          <w:sz w:val="26"/>
          <w:szCs w:val="26"/>
        </w:rPr>
        <w:t xml:space="preserve">), atšķirīgs tiesību apjoms, citi ekonomiskie labumi vai apsvērumi). </w:t>
      </w:r>
    </w:p>
    <w:p w:rsidR="00A845B2" w:rsidRPr="00596E1D" w:rsidRDefault="00A845B2" w:rsidP="009F4F8B">
      <w:pPr>
        <w:spacing w:before="120" w:after="120" w:line="240" w:lineRule="auto"/>
        <w:jc w:val="both"/>
        <w:rPr>
          <w:rFonts w:ascii="Times New Roman" w:hAnsi="Times New Roman" w:cs="Times New Roman"/>
          <w:sz w:val="26"/>
          <w:szCs w:val="26"/>
        </w:rPr>
      </w:pPr>
      <w:r w:rsidRPr="00596E1D">
        <w:rPr>
          <w:rFonts w:ascii="Times New Roman" w:hAnsi="Times New Roman" w:cs="Times New Roman"/>
          <w:sz w:val="26"/>
          <w:szCs w:val="26"/>
        </w:rPr>
        <w:t>Izsole ir piemērots tirgus cenas noteikšanas veids, ja:</w:t>
      </w:r>
    </w:p>
    <w:p w:rsidR="00A845B2" w:rsidRPr="00596E1D" w:rsidRDefault="009F4F8B" w:rsidP="00A845B2">
      <w:pPr>
        <w:pStyle w:val="ListParagraph"/>
        <w:numPr>
          <w:ilvl w:val="0"/>
          <w:numId w:val="5"/>
        </w:numPr>
        <w:spacing w:before="120" w:after="120" w:line="240" w:lineRule="auto"/>
        <w:jc w:val="both"/>
        <w:rPr>
          <w:rFonts w:ascii="Times New Roman" w:hAnsi="Times New Roman" w:cs="Times New Roman"/>
          <w:sz w:val="26"/>
          <w:szCs w:val="26"/>
        </w:rPr>
      </w:pPr>
      <w:r w:rsidRPr="00596E1D">
        <w:rPr>
          <w:rFonts w:ascii="Times New Roman" w:hAnsi="Times New Roman" w:cs="Times New Roman"/>
          <w:sz w:val="26"/>
          <w:szCs w:val="26"/>
        </w:rPr>
        <w:t>ir plašs potenciālo interesentu loks un organizēt e</w:t>
      </w:r>
      <w:r w:rsidR="00A845B2" w:rsidRPr="00596E1D">
        <w:rPr>
          <w:rFonts w:ascii="Times New Roman" w:hAnsi="Times New Roman" w:cs="Times New Roman"/>
          <w:sz w:val="26"/>
          <w:szCs w:val="26"/>
        </w:rPr>
        <w:t>fektīvas pārrunas nav iespējams;</w:t>
      </w:r>
    </w:p>
    <w:p w:rsidR="009F4F8B" w:rsidRPr="00596E1D" w:rsidRDefault="009F4F8B" w:rsidP="00A845B2">
      <w:pPr>
        <w:pStyle w:val="ListParagraph"/>
        <w:numPr>
          <w:ilvl w:val="0"/>
          <w:numId w:val="5"/>
        </w:numPr>
        <w:spacing w:before="120" w:after="120" w:line="240" w:lineRule="auto"/>
        <w:jc w:val="both"/>
        <w:rPr>
          <w:rFonts w:ascii="Times New Roman" w:hAnsi="Times New Roman" w:cs="Times New Roman"/>
          <w:sz w:val="26"/>
          <w:szCs w:val="26"/>
        </w:rPr>
      </w:pPr>
      <w:r w:rsidRPr="00596E1D">
        <w:rPr>
          <w:rFonts w:ascii="Times New Roman" w:hAnsi="Times New Roman" w:cs="Times New Roman"/>
          <w:sz w:val="26"/>
          <w:szCs w:val="26"/>
        </w:rPr>
        <w:t>iespējams skaidri definēt iegādes vai izmantošanas tiesību piešķiršanas nosacījumus (piemēram, var noteikt, ka tā būs augstākā cena vai augstākais procentmaksājums). Tāpat izsoles nereti tiek izmantotas gadījumos, kad tirgus izpētes ceļā nav identificēti konkrēti potenciālie interesenti, taču ir mērķis pētījuma rezultātus komercializēt, lai nerastos zaudējumi, piemēram, patenta uzturēšanas izmaksu dēļ .</w:t>
      </w:r>
    </w:p>
    <w:p w:rsidR="009F4F8B" w:rsidRPr="00596E1D" w:rsidRDefault="009F4F8B" w:rsidP="009F4F8B">
      <w:pPr>
        <w:spacing w:before="120" w:after="120" w:line="240" w:lineRule="auto"/>
        <w:jc w:val="both"/>
        <w:rPr>
          <w:rFonts w:ascii="Times New Roman" w:hAnsi="Times New Roman" w:cs="Times New Roman"/>
          <w:sz w:val="26"/>
          <w:szCs w:val="26"/>
        </w:rPr>
      </w:pPr>
      <w:r w:rsidRPr="00596E1D">
        <w:rPr>
          <w:rFonts w:ascii="Times New Roman" w:hAnsi="Times New Roman" w:cs="Times New Roman"/>
          <w:sz w:val="26"/>
          <w:szCs w:val="26"/>
        </w:rPr>
        <w:t>Atklātu publisku izsoli pamatojoši dokumenti:</w:t>
      </w:r>
    </w:p>
    <w:p w:rsidR="009F4F8B" w:rsidRPr="00596E1D" w:rsidRDefault="009F4F8B" w:rsidP="00A845B2">
      <w:pPr>
        <w:pStyle w:val="ListParagraph"/>
        <w:numPr>
          <w:ilvl w:val="0"/>
          <w:numId w:val="8"/>
        </w:numPr>
        <w:spacing w:before="120" w:after="120" w:line="240" w:lineRule="auto"/>
        <w:jc w:val="both"/>
        <w:rPr>
          <w:rFonts w:ascii="Times New Roman" w:hAnsi="Times New Roman" w:cs="Times New Roman"/>
          <w:sz w:val="26"/>
          <w:szCs w:val="26"/>
        </w:rPr>
      </w:pPr>
      <w:r w:rsidRPr="00596E1D">
        <w:rPr>
          <w:rFonts w:ascii="Times New Roman" w:hAnsi="Times New Roman" w:cs="Times New Roman"/>
          <w:sz w:val="26"/>
          <w:szCs w:val="26"/>
        </w:rPr>
        <w:t>izsoles veikšanas kārtība;</w:t>
      </w:r>
    </w:p>
    <w:p w:rsidR="009F4F8B" w:rsidRPr="00596E1D" w:rsidRDefault="009F4F8B" w:rsidP="00A845B2">
      <w:pPr>
        <w:pStyle w:val="ListParagraph"/>
        <w:numPr>
          <w:ilvl w:val="0"/>
          <w:numId w:val="8"/>
        </w:numPr>
        <w:spacing w:before="120" w:after="120" w:line="240" w:lineRule="auto"/>
        <w:jc w:val="both"/>
        <w:rPr>
          <w:rFonts w:ascii="Times New Roman" w:hAnsi="Times New Roman" w:cs="Times New Roman"/>
          <w:sz w:val="26"/>
          <w:szCs w:val="26"/>
        </w:rPr>
      </w:pPr>
      <w:r w:rsidRPr="00596E1D">
        <w:rPr>
          <w:rFonts w:ascii="Times New Roman" w:hAnsi="Times New Roman" w:cs="Times New Roman"/>
          <w:sz w:val="26"/>
          <w:szCs w:val="26"/>
        </w:rPr>
        <w:t>informācija par izsoles izsludināšanu (publikācija tīmekļa vietnē vai izsoļu platformā , izsūtītie e-pasti u.c. ar mērķi informēt maksimāli lielu potenciālo interesentu skaitu);</w:t>
      </w:r>
    </w:p>
    <w:p w:rsidR="009F4F8B" w:rsidRPr="00596E1D" w:rsidRDefault="009F4F8B" w:rsidP="00A845B2">
      <w:pPr>
        <w:pStyle w:val="ListParagraph"/>
        <w:numPr>
          <w:ilvl w:val="0"/>
          <w:numId w:val="8"/>
        </w:numPr>
        <w:spacing w:before="120" w:after="120" w:line="240" w:lineRule="auto"/>
        <w:jc w:val="both"/>
        <w:rPr>
          <w:rFonts w:ascii="Times New Roman" w:hAnsi="Times New Roman" w:cs="Times New Roman"/>
          <w:sz w:val="26"/>
          <w:szCs w:val="26"/>
        </w:rPr>
      </w:pPr>
      <w:r w:rsidRPr="00596E1D">
        <w:rPr>
          <w:rFonts w:ascii="Times New Roman" w:hAnsi="Times New Roman" w:cs="Times New Roman"/>
          <w:sz w:val="26"/>
          <w:szCs w:val="26"/>
        </w:rPr>
        <w:t>pieteikumi rakstiskas izsoles gadījumā;</w:t>
      </w:r>
    </w:p>
    <w:p w:rsidR="009F4F8B" w:rsidRPr="00596E1D" w:rsidRDefault="009F4F8B" w:rsidP="00A845B2">
      <w:pPr>
        <w:pStyle w:val="ListParagraph"/>
        <w:numPr>
          <w:ilvl w:val="0"/>
          <w:numId w:val="8"/>
        </w:numPr>
        <w:spacing w:before="120" w:after="120" w:line="240" w:lineRule="auto"/>
        <w:jc w:val="both"/>
        <w:rPr>
          <w:rFonts w:ascii="Times New Roman" w:hAnsi="Times New Roman" w:cs="Times New Roman"/>
          <w:sz w:val="26"/>
          <w:szCs w:val="26"/>
        </w:rPr>
      </w:pPr>
      <w:r w:rsidRPr="00596E1D">
        <w:rPr>
          <w:rFonts w:ascii="Times New Roman" w:hAnsi="Times New Roman" w:cs="Times New Roman"/>
          <w:sz w:val="26"/>
          <w:szCs w:val="26"/>
        </w:rPr>
        <w:t>izsoles protokols</w:t>
      </w:r>
      <w:r w:rsidR="00A845B2" w:rsidRPr="00596E1D">
        <w:rPr>
          <w:rFonts w:ascii="Times New Roman" w:hAnsi="Times New Roman" w:cs="Times New Roman"/>
          <w:sz w:val="26"/>
          <w:szCs w:val="26"/>
        </w:rPr>
        <w:t xml:space="preserve"> u.c. dokumenti.</w:t>
      </w:r>
    </w:p>
    <w:p w:rsidR="00A845B2" w:rsidRDefault="004758FC" w:rsidP="009F4F8B">
      <w:pPr>
        <w:spacing w:before="120" w:after="120" w:line="240" w:lineRule="auto"/>
        <w:jc w:val="both"/>
        <w:rPr>
          <w:rFonts w:ascii="Times New Roman" w:hAnsi="Times New Roman" w:cs="Times New Roman"/>
          <w:sz w:val="24"/>
          <w:szCs w:val="24"/>
        </w:rPr>
      </w:pPr>
      <w:r w:rsidRPr="009F4F8B">
        <w:rPr>
          <w:rFonts w:ascii="Times New Roman" w:hAnsi="Times New Roman" w:cs="Times New Roman"/>
          <w:noProof/>
          <w:lang w:eastAsia="lv-LV"/>
        </w:rPr>
        <w:lastRenderedPageBreak/>
        <mc:AlternateContent>
          <mc:Choice Requires="wps">
            <w:drawing>
              <wp:inline distT="0" distB="0" distL="0" distR="0" wp14:anchorId="5116EFCF" wp14:editId="77FAC943">
                <wp:extent cx="5760085" cy="2095500"/>
                <wp:effectExtent l="0" t="0" r="31115" b="57150"/>
                <wp:docPr id="8" name="Flowchart: Alternate Process 8"/>
                <wp:cNvGraphicFramePr/>
                <a:graphic xmlns:a="http://schemas.openxmlformats.org/drawingml/2006/main">
                  <a:graphicData uri="http://schemas.microsoft.com/office/word/2010/wordprocessingShape">
                    <wps:wsp>
                      <wps:cNvSpPr/>
                      <wps:spPr>
                        <a:xfrm>
                          <a:off x="0" y="0"/>
                          <a:ext cx="5760085" cy="2095500"/>
                        </a:xfrm>
                        <a:prstGeom prst="flowChartAlternateProcess">
                          <a:avLst/>
                        </a:prstGeom>
                        <a:solidFill>
                          <a:srgbClr val="FFFFB3"/>
                        </a:solidFill>
                        <a:ln w="12700">
                          <a:solidFill>
                            <a:schemeClr val="accent4">
                              <a:lumMod val="75000"/>
                            </a:schemeClr>
                          </a:solidFill>
                          <a:round/>
                          <a:headEnd/>
                          <a:tailEnd/>
                        </a:ln>
                        <a:effectLst>
                          <a:outerShdw dist="28398" dir="3806097" algn="ctr" rotWithShape="0">
                            <a:srgbClr val="3F3151">
                              <a:alpha val="50000"/>
                            </a:srgbClr>
                          </a:outerShdw>
                        </a:effectLst>
                      </wps:spPr>
                      <wps:txbx>
                        <w:txbxContent>
                          <w:p w:rsidR="004758FC" w:rsidRDefault="004758FC" w:rsidP="004758FC">
                            <w:pPr>
                              <w:pStyle w:val="Caption"/>
                              <w:jc w:val="both"/>
                            </w:pPr>
                            <w:r>
                              <w:t xml:space="preserve">Piemērs </w:t>
                            </w:r>
                            <w:r w:rsidR="005F4C40">
                              <w:fldChar w:fldCharType="begin"/>
                            </w:r>
                            <w:r w:rsidR="005F4C40">
                              <w:instrText xml:space="preserve"> SEQ piemērs \* ARABIC </w:instrText>
                            </w:r>
                            <w:r w:rsidR="005F4C40">
                              <w:fldChar w:fldCharType="separate"/>
                            </w:r>
                            <w:r w:rsidR="00CC41E2">
                              <w:rPr>
                                <w:noProof/>
                              </w:rPr>
                              <w:t>1</w:t>
                            </w:r>
                            <w:r w:rsidR="005F4C40">
                              <w:rPr>
                                <w:noProof/>
                              </w:rPr>
                              <w:fldChar w:fldCharType="end"/>
                            </w:r>
                          </w:p>
                          <w:p w:rsidR="004758FC" w:rsidRPr="00AA33A9" w:rsidRDefault="004758FC" w:rsidP="004758FC">
                            <w:pPr>
                              <w:spacing w:before="120" w:after="120" w:line="240" w:lineRule="auto"/>
                              <w:jc w:val="both"/>
                              <w:rPr>
                                <w:color w:val="2F5496" w:themeColor="accent5" w:themeShade="BF"/>
                              </w:rPr>
                            </w:pPr>
                            <w:r w:rsidRPr="00AA33A9">
                              <w:rPr>
                                <w:rFonts w:ascii="Times New Roman" w:hAnsi="Times New Roman" w:cs="Times New Roman"/>
                                <w:color w:val="2F5496" w:themeColor="accent5" w:themeShade="BF"/>
                              </w:rPr>
                              <w:t xml:space="preserve">Pētniecības organizācijas tīmekļa vietnē tiek publicēta informācija par to, ka mēneša laikā iespējams iesniegt savu pieteikumu dalībai izsolē uz patenta izmantošanas tiesību iegūšanu, kā arī identificētajiem interesentiem </w:t>
                            </w:r>
                            <w:r w:rsidR="00130A48">
                              <w:rPr>
                                <w:rFonts w:ascii="Times New Roman" w:hAnsi="Times New Roman" w:cs="Times New Roman"/>
                                <w:color w:val="2F5496" w:themeColor="accent5" w:themeShade="BF"/>
                              </w:rPr>
                              <w:t xml:space="preserve">e-pasta sarakstes veidā </w:t>
                            </w:r>
                            <w:r w:rsidRPr="00AA33A9">
                              <w:rPr>
                                <w:rFonts w:ascii="Times New Roman" w:hAnsi="Times New Roman" w:cs="Times New Roman"/>
                                <w:color w:val="2F5496" w:themeColor="accent5" w:themeShade="BF"/>
                              </w:rPr>
                              <w:t xml:space="preserve">tiek izsūtīti informatīvi </w:t>
                            </w:r>
                            <w:r w:rsidR="00130A48">
                              <w:rPr>
                                <w:rFonts w:ascii="Times New Roman" w:hAnsi="Times New Roman" w:cs="Times New Roman"/>
                                <w:color w:val="2F5496" w:themeColor="accent5" w:themeShade="BF"/>
                              </w:rPr>
                              <w:t>materiāli</w:t>
                            </w:r>
                            <w:r w:rsidRPr="00AA33A9">
                              <w:rPr>
                                <w:rFonts w:ascii="Times New Roman" w:hAnsi="Times New Roman" w:cs="Times New Roman"/>
                                <w:color w:val="2F5496" w:themeColor="accent5" w:themeShade="BF"/>
                              </w:rPr>
                              <w:t xml:space="preserve"> . Izsoles sākuma cena noteikta 12 000 </w:t>
                            </w:r>
                            <w:r w:rsidRPr="00AA33A9">
                              <w:rPr>
                                <w:rFonts w:ascii="Times New Roman" w:hAnsi="Times New Roman" w:cs="Times New Roman"/>
                                <w:i/>
                                <w:color w:val="2F5496" w:themeColor="accent5" w:themeShade="BF"/>
                              </w:rPr>
                              <w:t>euro</w:t>
                            </w:r>
                            <w:r w:rsidRPr="00AA33A9">
                              <w:rPr>
                                <w:rFonts w:ascii="Times New Roman" w:hAnsi="Times New Roman" w:cs="Times New Roman"/>
                                <w:color w:val="2F5496" w:themeColor="accent5" w:themeShade="BF"/>
                              </w:rPr>
                              <w:t xml:space="preserve"> apmērā, balstoties uz tirgus situācijas izvērtējumu un konsultantu sniegtu viedokli, un paredzēts, ka līguma summu iespējams nomaksāt 12 mēnešu laikā, katru mēnesi samaksājot vienu divpadsmito daļu. Izsole ir ar augšupejošu soli, kas noteikts 1000 </w:t>
                            </w:r>
                            <w:r w:rsidRPr="00AA33A9">
                              <w:rPr>
                                <w:rFonts w:ascii="Times New Roman" w:hAnsi="Times New Roman" w:cs="Times New Roman"/>
                                <w:i/>
                                <w:color w:val="2F5496" w:themeColor="accent5" w:themeShade="BF"/>
                              </w:rPr>
                              <w:t>euro</w:t>
                            </w:r>
                            <w:r w:rsidRPr="00AA33A9">
                              <w:rPr>
                                <w:rFonts w:ascii="Times New Roman" w:hAnsi="Times New Roman" w:cs="Times New Roman"/>
                                <w:color w:val="2F5496" w:themeColor="accent5" w:themeShade="BF"/>
                              </w:rPr>
                              <w:t>. Tiek saņemti divi pieteikumi un līgums tiek slēgts ar to, kurš tehnoloģiju tiesību izsolē piedāvā augstāko cenu.</w:t>
                            </w:r>
                          </w:p>
                        </w:txbxContent>
                      </wps:txbx>
                      <wps:bodyPr rot="0" spcFirstLastPara="0" vertOverflow="overflow" horzOverflow="overflow" vert="horz" wrap="square" lIns="91440" tIns="90000" rIns="91440" bIns="90000" numCol="1" spcCol="0" rtlCol="0" fromWordArt="0" anchor="t" anchorCtr="0" forceAA="0" upright="1" compatLnSpc="1">
                        <a:prstTxWarp prst="textNoShape">
                          <a:avLst/>
                        </a:prstTxWarp>
                        <a:noAutofit/>
                      </wps:bodyPr>
                    </wps:wsp>
                  </a:graphicData>
                </a:graphic>
              </wp:inline>
            </w:drawing>
          </mc:Choice>
          <mc:Fallback>
            <w:pict>
              <v:shape w14:anchorId="5116EFCF" id="Flowchart: Alternate Process 8" o:spid="_x0000_s1029" type="#_x0000_t176" style="width:453.55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" fillcolor="#ffffb3" strokecolor="#bf8f00 [2407]" strokeweight="1pt">
                <v:stroke joinstyle="round"/>
                <v:shadow on="t" color="#3f3151" opacity=".5" offset="1pt"/>
                <v:textbox inset=",2.5mm,,2.5mm">
                  <w:txbxContent>
                    <w:p w:rsidR="004758FC" w:rsidRDefault="004758FC" w:rsidP="004758FC">
                      <w:pPr>
                        <w:pStyle w:val="Caption"/>
                        <w:jc w:val="both"/>
                      </w:pPr>
                      <w:r>
                        <w:t xml:space="preserve">Piemērs </w:t>
                      </w:r>
                      <w:r w:rsidR="00684EC9">
                        <w:fldChar w:fldCharType="begin"/>
                      </w:r>
                      <w:r w:rsidR="00684EC9">
                        <w:instrText xml:space="preserve"> SEQ piemērs \* ARABIC </w:instrText>
                      </w:r>
                      <w:r w:rsidR="00684EC9">
                        <w:fldChar w:fldCharType="separate"/>
                      </w:r>
                      <w:r w:rsidR="00CC41E2">
                        <w:rPr>
                          <w:noProof/>
                        </w:rPr>
                        <w:t>1</w:t>
                      </w:r>
                      <w:r w:rsidR="00684EC9">
                        <w:rPr>
                          <w:noProof/>
                        </w:rPr>
                        <w:fldChar w:fldCharType="end"/>
                      </w:r>
                    </w:p>
                    <w:p w:rsidR="004758FC" w:rsidRPr="00AA33A9" w:rsidRDefault="004758FC" w:rsidP="004758FC">
                      <w:pPr>
                        <w:spacing w:before="120" w:after="120" w:line="240" w:lineRule="auto"/>
                        <w:jc w:val="both"/>
                        <w:rPr>
                          <w:color w:val="2F5496" w:themeColor="accent5" w:themeShade="BF"/>
                        </w:rPr>
                      </w:pPr>
                      <w:r w:rsidRPr="00AA33A9">
                        <w:rPr>
                          <w:rFonts w:ascii="Times New Roman" w:hAnsi="Times New Roman" w:cs="Times New Roman"/>
                          <w:color w:val="2F5496" w:themeColor="accent5" w:themeShade="BF"/>
                        </w:rPr>
                        <w:t xml:space="preserve">Pētniecības organizācijas tīmekļa vietnē tiek publicēta informācija par to, ka mēneša laikā iespējams iesniegt savu pieteikumu dalībai izsolē uz patenta izmantošanas tiesību iegūšanu, kā arī identificētajiem interesentiem </w:t>
                      </w:r>
                      <w:r w:rsidR="00130A48">
                        <w:rPr>
                          <w:rFonts w:ascii="Times New Roman" w:hAnsi="Times New Roman" w:cs="Times New Roman"/>
                          <w:color w:val="2F5496" w:themeColor="accent5" w:themeShade="BF"/>
                        </w:rPr>
                        <w:t xml:space="preserve">e-pasta sarakstes veidā </w:t>
                      </w:r>
                      <w:r w:rsidRPr="00AA33A9">
                        <w:rPr>
                          <w:rFonts w:ascii="Times New Roman" w:hAnsi="Times New Roman" w:cs="Times New Roman"/>
                          <w:color w:val="2F5496" w:themeColor="accent5" w:themeShade="BF"/>
                        </w:rPr>
                        <w:t xml:space="preserve">tiek izsūtīti informatīvi </w:t>
                      </w:r>
                      <w:r w:rsidR="00130A48">
                        <w:rPr>
                          <w:rFonts w:ascii="Times New Roman" w:hAnsi="Times New Roman" w:cs="Times New Roman"/>
                          <w:color w:val="2F5496" w:themeColor="accent5" w:themeShade="BF"/>
                        </w:rPr>
                        <w:t>materiāli</w:t>
                      </w:r>
                      <w:r w:rsidRPr="00AA33A9">
                        <w:rPr>
                          <w:rFonts w:ascii="Times New Roman" w:hAnsi="Times New Roman" w:cs="Times New Roman"/>
                          <w:color w:val="2F5496" w:themeColor="accent5" w:themeShade="BF"/>
                        </w:rPr>
                        <w:t xml:space="preserve"> . Izsoles sākuma cena noteikta 12 000 </w:t>
                      </w:r>
                      <w:proofErr w:type="spellStart"/>
                      <w:r w:rsidRPr="00AA33A9">
                        <w:rPr>
                          <w:rFonts w:ascii="Times New Roman" w:hAnsi="Times New Roman" w:cs="Times New Roman"/>
                          <w:i/>
                          <w:color w:val="2F5496" w:themeColor="accent5" w:themeShade="BF"/>
                        </w:rPr>
                        <w:t>euro</w:t>
                      </w:r>
                      <w:proofErr w:type="spellEnd"/>
                      <w:r w:rsidRPr="00AA33A9">
                        <w:rPr>
                          <w:rFonts w:ascii="Times New Roman" w:hAnsi="Times New Roman" w:cs="Times New Roman"/>
                          <w:color w:val="2F5496" w:themeColor="accent5" w:themeShade="BF"/>
                        </w:rPr>
                        <w:t xml:space="preserve"> apmērā, balstoties uz tirgus situācijas </w:t>
                      </w:r>
                      <w:proofErr w:type="spellStart"/>
                      <w:r w:rsidRPr="00AA33A9">
                        <w:rPr>
                          <w:rFonts w:ascii="Times New Roman" w:hAnsi="Times New Roman" w:cs="Times New Roman"/>
                          <w:color w:val="2F5496" w:themeColor="accent5" w:themeShade="BF"/>
                        </w:rPr>
                        <w:t>izvērtējumu</w:t>
                      </w:r>
                      <w:proofErr w:type="spellEnd"/>
                      <w:r w:rsidRPr="00AA33A9">
                        <w:rPr>
                          <w:rFonts w:ascii="Times New Roman" w:hAnsi="Times New Roman" w:cs="Times New Roman"/>
                          <w:color w:val="2F5496" w:themeColor="accent5" w:themeShade="BF"/>
                        </w:rPr>
                        <w:t xml:space="preserve"> un konsultantu sniegtu viedokli, un paredzēts, ka līguma summu iespējams nomaksāt 12 mēnešu laikā, katru mēnesi samaksājot vienu divpadsmito daļu. Izsole ir ar augšupejošu soli, kas noteikts 1000 </w:t>
                      </w:r>
                      <w:proofErr w:type="spellStart"/>
                      <w:r w:rsidRPr="00AA33A9">
                        <w:rPr>
                          <w:rFonts w:ascii="Times New Roman" w:hAnsi="Times New Roman" w:cs="Times New Roman"/>
                          <w:i/>
                          <w:color w:val="2F5496" w:themeColor="accent5" w:themeShade="BF"/>
                        </w:rPr>
                        <w:t>euro</w:t>
                      </w:r>
                      <w:proofErr w:type="spellEnd"/>
                      <w:r w:rsidRPr="00AA33A9">
                        <w:rPr>
                          <w:rFonts w:ascii="Times New Roman" w:hAnsi="Times New Roman" w:cs="Times New Roman"/>
                          <w:color w:val="2F5496" w:themeColor="accent5" w:themeShade="BF"/>
                        </w:rPr>
                        <w:t>. Tiek saņemti divi pieteikumi un līgums tiek slēgts ar to, kurš tehnoloģiju tiesību izsolē piedāvā augstāko cenu.</w:t>
                      </w:r>
                    </w:p>
                  </w:txbxContent>
                </v:textbox>
                <w10:anchorlock/>
              </v:shape>
            </w:pict>
          </mc:Fallback>
        </mc:AlternateContent>
      </w:r>
    </w:p>
    <w:p w:rsidR="009F4F8B" w:rsidRDefault="009F4F8B" w:rsidP="009F4F8B">
      <w:pPr>
        <w:spacing w:before="120" w:after="120" w:line="240" w:lineRule="auto"/>
        <w:jc w:val="both"/>
        <w:rPr>
          <w:rFonts w:ascii="Times New Roman" w:hAnsi="Times New Roman" w:cs="Times New Roman"/>
          <w:sz w:val="26"/>
          <w:szCs w:val="26"/>
        </w:rPr>
      </w:pPr>
      <w:r w:rsidRPr="00596E1D">
        <w:rPr>
          <w:rFonts w:ascii="Times New Roman" w:hAnsi="Times New Roman" w:cs="Times New Roman"/>
          <w:sz w:val="26"/>
          <w:szCs w:val="26"/>
        </w:rPr>
        <w:t xml:space="preserve">Ja rodas situācija, kad netiek saņemts neviens pieteikums, atbilstoši pamatojot, var piemērot citus atlīdzības noteikšanas veidus, piemēram, izsoli var organizēt atkārtoti, bet ar lejupejošu soli, vai arī tirgus izpētes ceļā identificēt pretendentus </w:t>
      </w:r>
      <w:r w:rsidR="00596E1D" w:rsidRPr="00596E1D">
        <w:rPr>
          <w:rFonts w:ascii="Times New Roman" w:hAnsi="Times New Roman" w:cs="Times New Roman"/>
          <w:sz w:val="26"/>
          <w:szCs w:val="26"/>
        </w:rPr>
        <w:t>dokumentētas sarunu procedūras</w:t>
      </w:r>
      <w:r w:rsidRPr="00596E1D">
        <w:rPr>
          <w:rFonts w:ascii="Times New Roman" w:hAnsi="Times New Roman" w:cs="Times New Roman"/>
          <w:sz w:val="26"/>
          <w:szCs w:val="26"/>
        </w:rPr>
        <w:t xml:space="preserve"> organizēšanai.</w:t>
      </w:r>
    </w:p>
    <w:p w:rsidR="00596E1D" w:rsidRPr="00D92683" w:rsidRDefault="00596E1D" w:rsidP="00534CCB">
      <w:pPr>
        <w:pStyle w:val="Heading3"/>
        <w:numPr>
          <w:ilvl w:val="1"/>
          <w:numId w:val="16"/>
        </w:numPr>
      </w:pPr>
      <w:r w:rsidRPr="00D92683">
        <w:t>Neatkarīga eksperta vērtējums</w:t>
      </w:r>
    </w:p>
    <w:p w:rsidR="00596E1D" w:rsidRPr="00596E1D" w:rsidRDefault="00596E1D" w:rsidP="00596E1D">
      <w:pPr>
        <w:spacing w:before="120" w:after="120" w:line="240" w:lineRule="auto"/>
        <w:jc w:val="both"/>
        <w:rPr>
          <w:rFonts w:ascii="Times New Roman" w:hAnsi="Times New Roman" w:cs="Times New Roman"/>
          <w:sz w:val="26"/>
          <w:szCs w:val="26"/>
        </w:rPr>
      </w:pPr>
      <w:r w:rsidRPr="00596E1D">
        <w:rPr>
          <w:rFonts w:ascii="Times New Roman" w:hAnsi="Times New Roman" w:cs="Times New Roman"/>
          <w:sz w:val="26"/>
          <w:szCs w:val="26"/>
        </w:rPr>
        <w:t>1.1.1.1. pasākuma „Praktiskas ievirzes pētniecība” ietvaros tehnoloģiju tiesību vērtības noteikšanu var veikt eksperts intelektuālā īpašuma jomā, kuram ir atbilstoša profesionālā kvalifikācija un kompetentā institūcija ir piešķīrusi tiesības:</w:t>
      </w:r>
    </w:p>
    <w:p w:rsidR="00596E1D" w:rsidRPr="00596E1D" w:rsidRDefault="00596E1D" w:rsidP="00596E1D">
      <w:pPr>
        <w:pStyle w:val="ListParagraph"/>
        <w:numPr>
          <w:ilvl w:val="0"/>
          <w:numId w:val="14"/>
        </w:numPr>
        <w:spacing w:before="120" w:after="120" w:line="240" w:lineRule="auto"/>
        <w:jc w:val="both"/>
        <w:rPr>
          <w:rFonts w:ascii="Times New Roman" w:hAnsi="Times New Roman" w:cs="Times New Roman"/>
          <w:sz w:val="26"/>
          <w:szCs w:val="26"/>
        </w:rPr>
      </w:pPr>
      <w:r w:rsidRPr="00596E1D">
        <w:rPr>
          <w:rFonts w:ascii="Times New Roman" w:hAnsi="Times New Roman" w:cs="Times New Roman"/>
          <w:sz w:val="26"/>
          <w:szCs w:val="26"/>
        </w:rPr>
        <w:t>darboties par profesionālo patentpilnvarnieku</w:t>
      </w:r>
      <w:r w:rsidRPr="00596E1D">
        <w:rPr>
          <w:rStyle w:val="FootnoteReference"/>
          <w:rFonts w:ascii="Times New Roman" w:hAnsi="Times New Roman" w:cs="Times New Roman"/>
          <w:sz w:val="26"/>
          <w:szCs w:val="26"/>
        </w:rPr>
        <w:footnoteReference w:id="3"/>
      </w:r>
      <w:r w:rsidRPr="00596E1D">
        <w:rPr>
          <w:rFonts w:ascii="Times New Roman" w:hAnsi="Times New Roman" w:cs="Times New Roman"/>
          <w:sz w:val="26"/>
          <w:szCs w:val="26"/>
        </w:rPr>
        <w:t xml:space="preserve"> vai</w:t>
      </w:r>
    </w:p>
    <w:p w:rsidR="00596E1D" w:rsidRPr="00596E1D" w:rsidRDefault="00596E1D" w:rsidP="00596E1D">
      <w:pPr>
        <w:pStyle w:val="ListParagraph"/>
        <w:numPr>
          <w:ilvl w:val="0"/>
          <w:numId w:val="14"/>
        </w:numPr>
        <w:spacing w:before="120" w:after="120" w:line="240" w:lineRule="auto"/>
        <w:jc w:val="both"/>
        <w:rPr>
          <w:rFonts w:ascii="Times New Roman" w:hAnsi="Times New Roman" w:cs="Times New Roman"/>
          <w:sz w:val="26"/>
          <w:szCs w:val="26"/>
        </w:rPr>
      </w:pPr>
      <w:r w:rsidRPr="00596E1D">
        <w:rPr>
          <w:rFonts w:ascii="Times New Roman" w:hAnsi="Times New Roman" w:cs="Times New Roman"/>
          <w:sz w:val="26"/>
          <w:szCs w:val="26"/>
        </w:rPr>
        <w:t>veikt mantisko ieguldījumu intelektuālā īpašuma jomā novērtēšanu</w:t>
      </w:r>
      <w:r w:rsidRPr="00596E1D">
        <w:rPr>
          <w:rStyle w:val="FootnoteReference"/>
          <w:rFonts w:ascii="Times New Roman" w:hAnsi="Times New Roman" w:cs="Times New Roman"/>
          <w:sz w:val="26"/>
          <w:szCs w:val="26"/>
        </w:rPr>
        <w:footnoteReference w:id="4"/>
      </w:r>
      <w:r w:rsidRPr="00596E1D">
        <w:rPr>
          <w:rFonts w:ascii="Times New Roman" w:hAnsi="Times New Roman" w:cs="Times New Roman"/>
          <w:sz w:val="26"/>
          <w:szCs w:val="26"/>
        </w:rPr>
        <w:t>.</w:t>
      </w:r>
    </w:p>
    <w:p w:rsidR="00D92683" w:rsidRPr="00D92683" w:rsidRDefault="00D92683" w:rsidP="00534CCB">
      <w:pPr>
        <w:pStyle w:val="Heading3"/>
        <w:numPr>
          <w:ilvl w:val="1"/>
          <w:numId w:val="16"/>
        </w:numPr>
      </w:pPr>
      <w:r w:rsidRPr="00D92683">
        <w:t>Dokumentēta sarunu</w:t>
      </w:r>
      <w:r>
        <w:t xml:space="preserve"> </w:t>
      </w:r>
      <w:r w:rsidRPr="00D92683">
        <w:t>procedūra</w:t>
      </w:r>
    </w:p>
    <w:p w:rsidR="00D92683" w:rsidRPr="00596E1D" w:rsidRDefault="00596E1D" w:rsidP="00720B5E">
      <w:pPr>
        <w:spacing w:before="120" w:after="120" w:line="240" w:lineRule="auto"/>
        <w:jc w:val="both"/>
        <w:rPr>
          <w:rFonts w:ascii="Times New Roman" w:hAnsi="Times New Roman" w:cs="Times New Roman"/>
          <w:sz w:val="26"/>
          <w:szCs w:val="26"/>
        </w:rPr>
      </w:pPr>
      <w:r>
        <w:rPr>
          <w:rFonts w:ascii="Times New Roman" w:hAnsi="Times New Roman" w:cs="Times New Roman"/>
          <w:sz w:val="26"/>
          <w:szCs w:val="26"/>
        </w:rPr>
        <w:t>Dokumentēta sarunu procedūra</w:t>
      </w:r>
      <w:r w:rsidR="00720B5E" w:rsidRPr="00596E1D">
        <w:rPr>
          <w:rFonts w:ascii="Times New Roman" w:hAnsi="Times New Roman" w:cs="Times New Roman"/>
          <w:sz w:val="26"/>
          <w:szCs w:val="26"/>
        </w:rPr>
        <w:t xml:space="preserve"> ir piemērota metode </w:t>
      </w:r>
      <w:r w:rsidR="00D92683" w:rsidRPr="00596E1D">
        <w:rPr>
          <w:rFonts w:ascii="Times New Roman" w:hAnsi="Times New Roman" w:cs="Times New Roman"/>
          <w:sz w:val="26"/>
          <w:szCs w:val="26"/>
        </w:rPr>
        <w:t xml:space="preserve">šādos </w:t>
      </w:r>
      <w:r w:rsidR="00720B5E" w:rsidRPr="00596E1D">
        <w:rPr>
          <w:rFonts w:ascii="Times New Roman" w:hAnsi="Times New Roman" w:cs="Times New Roman"/>
          <w:sz w:val="26"/>
          <w:szCs w:val="26"/>
        </w:rPr>
        <w:t>gadījumos</w:t>
      </w:r>
      <w:r w:rsidR="00D92683" w:rsidRPr="00596E1D">
        <w:rPr>
          <w:rFonts w:ascii="Times New Roman" w:hAnsi="Times New Roman" w:cs="Times New Roman"/>
          <w:sz w:val="26"/>
          <w:szCs w:val="26"/>
        </w:rPr>
        <w:t>:</w:t>
      </w:r>
    </w:p>
    <w:p w:rsidR="00D92683" w:rsidRPr="00596E1D" w:rsidRDefault="00D92683" w:rsidP="00D92683">
      <w:pPr>
        <w:pStyle w:val="ListParagraph"/>
        <w:numPr>
          <w:ilvl w:val="0"/>
          <w:numId w:val="9"/>
        </w:numPr>
        <w:spacing w:before="120" w:after="120" w:line="240" w:lineRule="auto"/>
        <w:jc w:val="both"/>
        <w:rPr>
          <w:rFonts w:ascii="Times New Roman" w:hAnsi="Times New Roman" w:cs="Times New Roman"/>
          <w:sz w:val="26"/>
          <w:szCs w:val="26"/>
        </w:rPr>
      </w:pPr>
      <w:r w:rsidRPr="00596E1D">
        <w:rPr>
          <w:rFonts w:ascii="Times New Roman" w:hAnsi="Times New Roman" w:cs="Times New Roman"/>
          <w:sz w:val="26"/>
          <w:szCs w:val="26"/>
        </w:rPr>
        <w:t xml:space="preserve">būtiska </w:t>
      </w:r>
      <w:r w:rsidR="00AA33A9" w:rsidRPr="00596E1D">
        <w:rPr>
          <w:rFonts w:ascii="Times New Roman" w:hAnsi="Times New Roman" w:cs="Times New Roman"/>
          <w:sz w:val="26"/>
          <w:szCs w:val="26"/>
        </w:rPr>
        <w:t>konfidencialitāte</w:t>
      </w:r>
      <w:r w:rsidRPr="00596E1D">
        <w:rPr>
          <w:rFonts w:ascii="Times New Roman" w:hAnsi="Times New Roman" w:cs="Times New Roman"/>
          <w:sz w:val="26"/>
          <w:szCs w:val="26"/>
        </w:rPr>
        <w:t>;</w:t>
      </w:r>
    </w:p>
    <w:p w:rsidR="00D92683" w:rsidRPr="00596E1D" w:rsidRDefault="00720B5E" w:rsidP="00D92683">
      <w:pPr>
        <w:pStyle w:val="ListParagraph"/>
        <w:numPr>
          <w:ilvl w:val="0"/>
          <w:numId w:val="9"/>
        </w:numPr>
        <w:spacing w:before="120" w:after="120" w:line="240" w:lineRule="auto"/>
        <w:jc w:val="both"/>
        <w:rPr>
          <w:rFonts w:ascii="Times New Roman" w:hAnsi="Times New Roman" w:cs="Times New Roman"/>
          <w:sz w:val="26"/>
          <w:szCs w:val="26"/>
        </w:rPr>
      </w:pPr>
      <w:r w:rsidRPr="00596E1D">
        <w:rPr>
          <w:rFonts w:ascii="Times New Roman" w:hAnsi="Times New Roman" w:cs="Times New Roman"/>
          <w:sz w:val="26"/>
          <w:szCs w:val="26"/>
        </w:rPr>
        <w:t xml:space="preserve">iespējami dažādi komercializācijas scenāriji. </w:t>
      </w:r>
    </w:p>
    <w:p w:rsidR="00720B5E" w:rsidRPr="00596E1D" w:rsidRDefault="00720B5E" w:rsidP="00D92683">
      <w:pPr>
        <w:spacing w:before="120" w:after="120" w:line="240" w:lineRule="auto"/>
        <w:jc w:val="both"/>
        <w:rPr>
          <w:rFonts w:ascii="Times New Roman" w:hAnsi="Times New Roman" w:cs="Times New Roman"/>
          <w:sz w:val="26"/>
          <w:szCs w:val="26"/>
        </w:rPr>
      </w:pPr>
      <w:r w:rsidRPr="00596E1D">
        <w:rPr>
          <w:rFonts w:ascii="Times New Roman" w:hAnsi="Times New Roman" w:cs="Times New Roman"/>
          <w:sz w:val="26"/>
          <w:szCs w:val="26"/>
        </w:rPr>
        <w:t xml:space="preserve">Šīs metodes piemērošana </w:t>
      </w:r>
      <w:r w:rsidR="00D92683" w:rsidRPr="00596E1D">
        <w:rPr>
          <w:rFonts w:ascii="Times New Roman" w:hAnsi="Times New Roman" w:cs="Times New Roman"/>
          <w:sz w:val="26"/>
          <w:szCs w:val="26"/>
        </w:rPr>
        <w:t>dod iespēju</w:t>
      </w:r>
      <w:r w:rsidRPr="00596E1D">
        <w:rPr>
          <w:rFonts w:ascii="Times New Roman" w:hAnsi="Times New Roman" w:cs="Times New Roman"/>
          <w:sz w:val="26"/>
          <w:szCs w:val="26"/>
        </w:rPr>
        <w:t xml:space="preserve"> </w:t>
      </w:r>
      <w:r w:rsidR="00D92683" w:rsidRPr="00596E1D">
        <w:rPr>
          <w:rFonts w:ascii="Times New Roman" w:hAnsi="Times New Roman" w:cs="Times New Roman"/>
          <w:sz w:val="26"/>
          <w:szCs w:val="26"/>
        </w:rPr>
        <w:t>noteikt</w:t>
      </w:r>
      <w:r w:rsidRPr="00596E1D">
        <w:rPr>
          <w:rFonts w:ascii="Times New Roman" w:hAnsi="Times New Roman" w:cs="Times New Roman"/>
          <w:sz w:val="26"/>
          <w:szCs w:val="26"/>
        </w:rPr>
        <w:t xml:space="preserve"> to</w:t>
      </w:r>
      <w:r w:rsidR="00D92683" w:rsidRPr="00596E1D">
        <w:rPr>
          <w:rFonts w:ascii="Times New Roman" w:hAnsi="Times New Roman" w:cs="Times New Roman"/>
          <w:sz w:val="26"/>
          <w:szCs w:val="26"/>
        </w:rPr>
        <w:t xml:space="preserve"> juridisko personu</w:t>
      </w:r>
      <w:r w:rsidRPr="00596E1D">
        <w:rPr>
          <w:rFonts w:ascii="Times New Roman" w:hAnsi="Times New Roman" w:cs="Times New Roman"/>
          <w:sz w:val="26"/>
          <w:szCs w:val="26"/>
        </w:rPr>
        <w:t>, kur</w:t>
      </w:r>
      <w:r w:rsidR="00D92683" w:rsidRPr="00596E1D">
        <w:rPr>
          <w:rFonts w:ascii="Times New Roman" w:hAnsi="Times New Roman" w:cs="Times New Roman"/>
          <w:sz w:val="26"/>
          <w:szCs w:val="26"/>
        </w:rPr>
        <w:t>a</w:t>
      </w:r>
      <w:r w:rsidRPr="00596E1D">
        <w:rPr>
          <w:rFonts w:ascii="Times New Roman" w:hAnsi="Times New Roman" w:cs="Times New Roman"/>
          <w:sz w:val="26"/>
          <w:szCs w:val="26"/>
        </w:rPr>
        <w:t xml:space="preserve"> sniegs maksimālu saimniecisko labumu</w:t>
      </w:r>
      <w:r w:rsidR="00D92683" w:rsidRPr="00596E1D">
        <w:rPr>
          <w:rFonts w:ascii="Times New Roman" w:hAnsi="Times New Roman" w:cs="Times New Roman"/>
          <w:sz w:val="26"/>
          <w:szCs w:val="26"/>
        </w:rPr>
        <w:t xml:space="preserve"> par nodotajām tehnoloģiju tiesībām</w:t>
      </w:r>
      <w:r w:rsidRPr="00596E1D">
        <w:rPr>
          <w:rFonts w:ascii="Times New Roman" w:hAnsi="Times New Roman" w:cs="Times New Roman"/>
          <w:sz w:val="26"/>
          <w:szCs w:val="26"/>
        </w:rPr>
        <w:t>. Ja viena no komercializējamām tehnoloģiju tiesībām ir zinātība, efektīvas pārrunas var būt svarīgas potenciālajam pircējam vai izmantošanas tiesību ieguvējam, jo tas dod iespēju iegūt papildu informāciju, kas nozīmīga lēmuma pieņemšanai un pieteikuma sagatavošanai.</w:t>
      </w:r>
    </w:p>
    <w:p w:rsidR="00720B5E" w:rsidRPr="00596E1D" w:rsidRDefault="00720B5E" w:rsidP="00720B5E">
      <w:pPr>
        <w:spacing w:before="120" w:after="120" w:line="240" w:lineRule="auto"/>
        <w:jc w:val="both"/>
        <w:rPr>
          <w:rFonts w:ascii="Times New Roman" w:hAnsi="Times New Roman" w:cs="Times New Roman"/>
          <w:sz w:val="26"/>
          <w:szCs w:val="26"/>
        </w:rPr>
      </w:pPr>
      <w:r w:rsidRPr="00596E1D">
        <w:rPr>
          <w:rFonts w:ascii="Times New Roman" w:hAnsi="Times New Roman" w:cs="Times New Roman"/>
          <w:sz w:val="26"/>
          <w:szCs w:val="26"/>
        </w:rPr>
        <w:t>Ja tirgus cenas noteikšanai tiek izmantota šī metode, pārdevējam ir jānodrošina, ka tiek izstrādāta pārrunu veikšanas kārtība, kurā norādīta vismaz šāda informācija:</w:t>
      </w:r>
    </w:p>
    <w:p w:rsidR="00720B5E" w:rsidRPr="00596E1D" w:rsidRDefault="00720B5E" w:rsidP="00D92683">
      <w:pPr>
        <w:pStyle w:val="ListParagraph"/>
        <w:numPr>
          <w:ilvl w:val="0"/>
          <w:numId w:val="10"/>
        </w:numPr>
        <w:spacing w:before="120" w:after="120" w:line="240" w:lineRule="auto"/>
        <w:jc w:val="both"/>
        <w:rPr>
          <w:rFonts w:ascii="Times New Roman" w:hAnsi="Times New Roman" w:cs="Times New Roman"/>
          <w:sz w:val="26"/>
          <w:szCs w:val="26"/>
        </w:rPr>
      </w:pPr>
      <w:r w:rsidRPr="00596E1D">
        <w:rPr>
          <w:rFonts w:ascii="Times New Roman" w:hAnsi="Times New Roman" w:cs="Times New Roman"/>
          <w:sz w:val="26"/>
          <w:szCs w:val="26"/>
        </w:rPr>
        <w:t>piedāvājumu salīdzināšanas kritēriji;</w:t>
      </w:r>
    </w:p>
    <w:p w:rsidR="00720B5E" w:rsidRPr="00596E1D" w:rsidRDefault="00720B5E" w:rsidP="00D92683">
      <w:pPr>
        <w:pStyle w:val="ListParagraph"/>
        <w:numPr>
          <w:ilvl w:val="0"/>
          <w:numId w:val="10"/>
        </w:numPr>
        <w:spacing w:before="120" w:after="120" w:line="240" w:lineRule="auto"/>
        <w:jc w:val="both"/>
        <w:rPr>
          <w:rFonts w:ascii="Times New Roman" w:hAnsi="Times New Roman" w:cs="Times New Roman"/>
          <w:sz w:val="26"/>
          <w:szCs w:val="26"/>
        </w:rPr>
      </w:pPr>
      <w:r w:rsidRPr="00596E1D">
        <w:rPr>
          <w:rFonts w:ascii="Times New Roman" w:hAnsi="Times New Roman" w:cs="Times New Roman"/>
          <w:sz w:val="26"/>
          <w:szCs w:val="26"/>
        </w:rPr>
        <w:t>termiņi un kārtība piedāvājumu iesniegšanai.</w:t>
      </w:r>
    </w:p>
    <w:p w:rsidR="00720B5E" w:rsidRPr="00596E1D" w:rsidRDefault="00720B5E" w:rsidP="00720B5E">
      <w:pPr>
        <w:spacing w:before="120" w:after="120" w:line="240" w:lineRule="auto"/>
        <w:jc w:val="both"/>
        <w:rPr>
          <w:rFonts w:ascii="Times New Roman" w:hAnsi="Times New Roman" w:cs="Times New Roman"/>
          <w:sz w:val="26"/>
          <w:szCs w:val="26"/>
        </w:rPr>
      </w:pPr>
      <w:r w:rsidRPr="00596E1D">
        <w:rPr>
          <w:rFonts w:ascii="Times New Roman" w:hAnsi="Times New Roman" w:cs="Times New Roman"/>
          <w:sz w:val="26"/>
          <w:szCs w:val="26"/>
        </w:rPr>
        <w:t>Efektīvas pārrunas pamatojoši dokumenti:</w:t>
      </w:r>
    </w:p>
    <w:p w:rsidR="00720B5E" w:rsidRPr="00596E1D" w:rsidRDefault="00720B5E" w:rsidP="00B1088D">
      <w:pPr>
        <w:pStyle w:val="ListParagraph"/>
        <w:numPr>
          <w:ilvl w:val="0"/>
          <w:numId w:val="12"/>
        </w:numPr>
        <w:spacing w:before="120" w:after="120" w:line="240" w:lineRule="auto"/>
        <w:jc w:val="both"/>
        <w:rPr>
          <w:rFonts w:ascii="Times New Roman" w:hAnsi="Times New Roman" w:cs="Times New Roman"/>
          <w:sz w:val="26"/>
          <w:szCs w:val="26"/>
        </w:rPr>
      </w:pPr>
      <w:r w:rsidRPr="00596E1D">
        <w:rPr>
          <w:rFonts w:ascii="Times New Roman" w:hAnsi="Times New Roman" w:cs="Times New Roman"/>
          <w:sz w:val="26"/>
          <w:szCs w:val="26"/>
        </w:rPr>
        <w:t>korespondence, t.sk. komersantu piedāvājumi;</w:t>
      </w:r>
    </w:p>
    <w:p w:rsidR="00720B5E" w:rsidRPr="00596E1D" w:rsidRDefault="00720B5E" w:rsidP="00B1088D">
      <w:pPr>
        <w:pStyle w:val="ListParagraph"/>
        <w:numPr>
          <w:ilvl w:val="0"/>
          <w:numId w:val="12"/>
        </w:numPr>
        <w:spacing w:before="120" w:after="120" w:line="240" w:lineRule="auto"/>
        <w:jc w:val="both"/>
        <w:rPr>
          <w:rFonts w:ascii="Times New Roman" w:hAnsi="Times New Roman" w:cs="Times New Roman"/>
          <w:sz w:val="26"/>
          <w:szCs w:val="26"/>
        </w:rPr>
      </w:pPr>
      <w:r w:rsidRPr="00596E1D">
        <w:rPr>
          <w:rFonts w:ascii="Times New Roman" w:hAnsi="Times New Roman" w:cs="Times New Roman"/>
          <w:sz w:val="26"/>
          <w:szCs w:val="26"/>
        </w:rPr>
        <w:t>sapulču protokoli;</w:t>
      </w:r>
    </w:p>
    <w:p w:rsidR="00720B5E" w:rsidRPr="00596E1D" w:rsidRDefault="00720B5E" w:rsidP="00B1088D">
      <w:pPr>
        <w:pStyle w:val="ListParagraph"/>
        <w:numPr>
          <w:ilvl w:val="0"/>
          <w:numId w:val="12"/>
        </w:numPr>
        <w:spacing w:before="120" w:after="120" w:line="240" w:lineRule="auto"/>
        <w:jc w:val="both"/>
        <w:rPr>
          <w:rFonts w:ascii="Times New Roman" w:hAnsi="Times New Roman" w:cs="Times New Roman"/>
          <w:sz w:val="26"/>
          <w:szCs w:val="26"/>
        </w:rPr>
      </w:pPr>
      <w:r w:rsidRPr="00596E1D">
        <w:rPr>
          <w:rFonts w:ascii="Times New Roman" w:hAnsi="Times New Roman" w:cs="Times New Roman"/>
          <w:sz w:val="26"/>
          <w:szCs w:val="26"/>
        </w:rPr>
        <w:lastRenderedPageBreak/>
        <w:t>lēmumu pieņemšanas dokumenti, t.sk. aprēķini, ekonomiskie apsvērumi un cita informācija, kas ietekmējusi lēmumu.</w:t>
      </w:r>
    </w:p>
    <w:p w:rsidR="00596E1D" w:rsidRPr="00596E1D" w:rsidRDefault="00596E1D" w:rsidP="00596E1D">
      <w:pPr>
        <w:spacing w:before="120" w:after="120" w:line="240" w:lineRule="auto"/>
        <w:jc w:val="both"/>
        <w:rPr>
          <w:rFonts w:ascii="Times New Roman" w:hAnsi="Times New Roman" w:cs="Times New Roman"/>
          <w:sz w:val="24"/>
          <w:szCs w:val="24"/>
        </w:rPr>
      </w:pPr>
    </w:p>
    <w:p w:rsidR="004758FC" w:rsidRDefault="004758FC" w:rsidP="004758FC">
      <w:pPr>
        <w:spacing w:before="120" w:after="120" w:line="240" w:lineRule="auto"/>
        <w:jc w:val="both"/>
        <w:rPr>
          <w:rFonts w:ascii="Times New Roman" w:hAnsi="Times New Roman" w:cs="Times New Roman"/>
          <w:sz w:val="24"/>
          <w:szCs w:val="24"/>
        </w:rPr>
      </w:pPr>
      <w:r w:rsidRPr="009F4F8B">
        <w:rPr>
          <w:rFonts w:ascii="Times New Roman" w:hAnsi="Times New Roman" w:cs="Times New Roman"/>
          <w:noProof/>
          <w:lang w:eastAsia="lv-LV"/>
        </w:rPr>
        <mc:AlternateContent>
          <mc:Choice Requires="wps">
            <w:drawing>
              <wp:inline distT="0" distB="0" distL="0" distR="0" wp14:anchorId="0D90FED2" wp14:editId="0E8C748A">
                <wp:extent cx="5760085" cy="4810125"/>
                <wp:effectExtent l="0" t="0" r="31115" b="66675"/>
                <wp:docPr id="9" name="Flowchart: Alternate Process 9"/>
                <wp:cNvGraphicFramePr/>
                <a:graphic xmlns:a="http://schemas.openxmlformats.org/drawingml/2006/main">
                  <a:graphicData uri="http://schemas.microsoft.com/office/word/2010/wordprocessingShape">
                    <wps:wsp>
                      <wps:cNvSpPr/>
                      <wps:spPr>
                        <a:xfrm>
                          <a:off x="0" y="0"/>
                          <a:ext cx="5760085" cy="4810125"/>
                        </a:xfrm>
                        <a:prstGeom prst="flowChartAlternateProcess">
                          <a:avLst/>
                        </a:prstGeom>
                        <a:solidFill>
                          <a:srgbClr val="FFFFB3"/>
                        </a:solidFill>
                        <a:ln w="12700">
                          <a:solidFill>
                            <a:schemeClr val="accent4">
                              <a:lumMod val="75000"/>
                            </a:schemeClr>
                          </a:solidFill>
                          <a:round/>
                          <a:headEnd/>
                          <a:tailEnd/>
                        </a:ln>
                        <a:effectLst>
                          <a:outerShdw dist="28398" dir="3806097" algn="ctr" rotWithShape="0">
                            <a:srgbClr val="3F3151">
                              <a:alpha val="50000"/>
                            </a:srgbClr>
                          </a:outerShdw>
                        </a:effectLst>
                      </wps:spPr>
                      <wps:txbx>
                        <w:txbxContent>
                          <w:p w:rsidR="004758FC" w:rsidRDefault="004758FC" w:rsidP="00596E1D">
                            <w:pPr>
                              <w:pStyle w:val="Caption"/>
                              <w:spacing w:after="120"/>
                              <w:jc w:val="both"/>
                            </w:pPr>
                            <w:r>
                              <w:t xml:space="preserve">Piemērs </w:t>
                            </w:r>
                            <w:r w:rsidR="005F4C40">
                              <w:fldChar w:fldCharType="begin"/>
                            </w:r>
                            <w:r w:rsidR="005F4C40">
                              <w:instrText xml:space="preserve"> SEQ piemērs \* ARABIC </w:instrText>
                            </w:r>
                            <w:r w:rsidR="005F4C40">
                              <w:fldChar w:fldCharType="separate"/>
                            </w:r>
                            <w:r w:rsidR="00CC41E2">
                              <w:rPr>
                                <w:noProof/>
                              </w:rPr>
                              <w:t>2</w:t>
                            </w:r>
                            <w:r w:rsidR="005F4C40">
                              <w:rPr>
                                <w:noProof/>
                              </w:rPr>
                              <w:fldChar w:fldCharType="end"/>
                            </w:r>
                          </w:p>
                          <w:p w:rsidR="004758FC" w:rsidRPr="00AA33A9" w:rsidRDefault="004758FC" w:rsidP="00596E1D">
                            <w:pPr>
                              <w:spacing w:before="120" w:after="60" w:line="240" w:lineRule="auto"/>
                              <w:jc w:val="both"/>
                              <w:rPr>
                                <w:rFonts w:ascii="Times New Roman" w:hAnsi="Times New Roman" w:cs="Times New Roman"/>
                                <w:color w:val="2F5496" w:themeColor="accent5" w:themeShade="BF"/>
                              </w:rPr>
                            </w:pPr>
                            <w:r w:rsidRPr="00AA33A9">
                              <w:rPr>
                                <w:rFonts w:ascii="Times New Roman" w:hAnsi="Times New Roman" w:cs="Times New Roman"/>
                                <w:color w:val="2F5496" w:themeColor="accent5" w:themeShade="BF"/>
                              </w:rPr>
                              <w:t>Pētniecības organizācijas tīmekļa vietnē tiek publicēta informācija par to, ka mēneša laikā iespējams iesniegt savu pieteikumu tehnoloģiju tiesību (patenta) iegādei vai izmantošanas tiesību iegūšanai. Tirgus izpētes ceļā identificēti 4 komersanti, tostarp ārvalstīs, kam arī varētu būt interese iegūt savā īpašumā minētās tehnoloģiju tiesības. Šiem komersantiem informācija tiek nosūtīta pa e-pastu. Rezultātā pēc mēneša savus pieteikumus iesniedz 2 komersanti, ar kuriem tiek parakstīti informācijas neizpaušanas līgumi, un tiem tiek sniegta informācija par intelektuālo īpašumu.</w:t>
                            </w:r>
                          </w:p>
                          <w:p w:rsidR="004758FC" w:rsidRPr="00AA33A9" w:rsidRDefault="004758FC" w:rsidP="00596E1D">
                            <w:pPr>
                              <w:spacing w:before="120" w:after="60" w:line="240" w:lineRule="auto"/>
                              <w:jc w:val="both"/>
                              <w:rPr>
                                <w:rFonts w:ascii="Times New Roman" w:hAnsi="Times New Roman" w:cs="Times New Roman"/>
                                <w:color w:val="2F5496" w:themeColor="accent5" w:themeShade="BF"/>
                              </w:rPr>
                            </w:pPr>
                            <w:r w:rsidRPr="00AA33A9">
                              <w:rPr>
                                <w:rFonts w:ascii="Times New Roman" w:hAnsi="Times New Roman" w:cs="Times New Roman"/>
                                <w:color w:val="2F5496" w:themeColor="accent5" w:themeShade="BF"/>
                              </w:rPr>
                              <w:t>Abi komersanti vēlas slēgt licences līgumus, bet ar dažādiem nosacījumiem. Piedāvājumi tiek salīdzināti, izmantojot ienākumu metodi, piemērojot atbilstošu diskonta likmi (</w:t>
                            </w:r>
                            <w:r w:rsidR="002465E6">
                              <w:rPr>
                                <w:rFonts w:ascii="Times New Roman" w:hAnsi="Times New Roman" w:cs="Times New Roman"/>
                                <w:color w:val="2F5496" w:themeColor="accent5" w:themeShade="BF"/>
                              </w:rPr>
                              <w:t>P</w:t>
                            </w:r>
                            <w:r w:rsidRPr="00AA33A9">
                              <w:rPr>
                                <w:rFonts w:ascii="Times New Roman" w:hAnsi="Times New Roman" w:cs="Times New Roman"/>
                                <w:color w:val="2F5496" w:themeColor="accent5" w:themeShade="BF"/>
                              </w:rPr>
                              <w:t>ielikums ).</w:t>
                            </w:r>
                          </w:p>
                          <w:p w:rsidR="004758FC" w:rsidRPr="00AA33A9" w:rsidRDefault="004758FC" w:rsidP="00596E1D">
                            <w:pPr>
                              <w:spacing w:before="120" w:after="60" w:line="240" w:lineRule="auto"/>
                              <w:jc w:val="both"/>
                              <w:rPr>
                                <w:rFonts w:ascii="Times New Roman" w:hAnsi="Times New Roman" w:cs="Times New Roman"/>
                                <w:color w:val="2F5496" w:themeColor="accent5" w:themeShade="BF"/>
                              </w:rPr>
                            </w:pPr>
                            <w:r w:rsidRPr="00AA33A9">
                              <w:rPr>
                                <w:rFonts w:ascii="Times New Roman" w:hAnsi="Times New Roman" w:cs="Times New Roman"/>
                                <w:color w:val="2F5496" w:themeColor="accent5" w:themeShade="BF"/>
                              </w:rPr>
                              <w:t>Komersants A strādā pie jauna produkta izveides uz pētniecības organizācijas radītā intelektuālā īpašuma bāzes. Tā kā produkta izstrāde ir agrīnā stadijā un ar tā attīstību saistīti dažādi augsti riski, tiek piemērota 60% diskonta likme.</w:t>
                            </w:r>
                          </w:p>
                          <w:p w:rsidR="004758FC" w:rsidRPr="00AA33A9" w:rsidRDefault="004758FC" w:rsidP="00596E1D">
                            <w:pPr>
                              <w:spacing w:before="120" w:after="60" w:line="240" w:lineRule="auto"/>
                              <w:jc w:val="both"/>
                              <w:rPr>
                                <w:rFonts w:ascii="Times New Roman" w:hAnsi="Times New Roman" w:cs="Times New Roman"/>
                                <w:color w:val="2F5496" w:themeColor="accent5" w:themeShade="BF"/>
                              </w:rPr>
                            </w:pPr>
                            <w:r w:rsidRPr="00AA33A9">
                              <w:rPr>
                                <w:rFonts w:ascii="Times New Roman" w:hAnsi="Times New Roman" w:cs="Times New Roman"/>
                                <w:color w:val="2F5496" w:themeColor="accent5" w:themeShade="BF"/>
                              </w:rPr>
                              <w:t xml:space="preserve">Komersants B tirgū jau piedāvā produktu, kura konkurētspēja, salīdzinot ar tirgū esošiem analogiem,, izmantojot pētniecības organizācijas radītās tehnoloģiju tiesības, būtu augstāka. Riski, kas saistīti ar uzlabotā produkta ieviešanu tirgū ir nelieli. Šajā gadījumā tiek piemērota 30% diskonta likme. </w:t>
                            </w:r>
                          </w:p>
                          <w:p w:rsidR="004758FC" w:rsidRPr="00AA33A9" w:rsidRDefault="004758FC" w:rsidP="00596E1D">
                            <w:pPr>
                              <w:spacing w:before="120" w:after="60" w:line="240" w:lineRule="auto"/>
                              <w:jc w:val="both"/>
                              <w:rPr>
                                <w:rFonts w:ascii="Times New Roman" w:hAnsi="Times New Roman" w:cs="Times New Roman"/>
                                <w:color w:val="2F5496" w:themeColor="accent5" w:themeShade="BF"/>
                              </w:rPr>
                            </w:pPr>
                            <w:r w:rsidRPr="00AA33A9">
                              <w:rPr>
                                <w:rFonts w:ascii="Times New Roman" w:hAnsi="Times New Roman" w:cs="Times New Roman"/>
                                <w:color w:val="2F5496" w:themeColor="accent5" w:themeShade="BF"/>
                              </w:rPr>
                              <w:t>Izvērtējot piedāvājumus, pētniecības organizācija izvērtē katra piedāvājuma priekšrocības un trūkumus un uzsāk pārrunas ar katru no pretendentiem. Ja piedāvājumi mainās, tad tie tiek atkārtoti salīdzināti.</w:t>
                            </w:r>
                          </w:p>
                          <w:p w:rsidR="004758FC" w:rsidRPr="00AA33A9" w:rsidRDefault="004758FC" w:rsidP="00596E1D">
                            <w:pPr>
                              <w:spacing w:before="120" w:after="60" w:line="240" w:lineRule="auto"/>
                              <w:jc w:val="both"/>
                              <w:rPr>
                                <w:color w:val="2F5496" w:themeColor="accent5" w:themeShade="BF"/>
                              </w:rPr>
                            </w:pPr>
                            <w:r w:rsidRPr="00AA33A9">
                              <w:rPr>
                                <w:rFonts w:ascii="Times New Roman" w:hAnsi="Times New Roman" w:cs="Times New Roman"/>
                                <w:color w:val="2F5496" w:themeColor="accent5" w:themeShade="BF"/>
                              </w:rPr>
                              <w:t>Veicot abu piedāvājumu salīdzināšanu, efektīvas sarunu procedūras termiņa noslēgumā pētniecības organizācija izvēlas slēgt līgumu ar komersantu B.</w:t>
                            </w:r>
                          </w:p>
                        </w:txbxContent>
                      </wps:txbx>
                      <wps:bodyPr rot="0" spcFirstLastPara="0" vertOverflow="overflow" horzOverflow="overflow" vert="horz" wrap="square" lIns="91440" tIns="90000" rIns="91440" bIns="90000" numCol="1" spcCol="0" rtlCol="0" fromWordArt="0" anchor="t" anchorCtr="0" forceAA="0" upright="1" compatLnSpc="1">
                        <a:prstTxWarp prst="textNoShape">
                          <a:avLst/>
                        </a:prstTxWarp>
                        <a:noAutofit/>
                      </wps:bodyPr>
                    </wps:wsp>
                  </a:graphicData>
                </a:graphic>
              </wp:inline>
            </w:drawing>
          </mc:Choice>
          <mc:Fallback>
            <w:pict>
              <v:shape w14:anchorId="0D90FED2" id="Flowchart: Alternate Process 9" o:spid="_x0000_s1030" type="#_x0000_t176" style="width:453.55pt;height:37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" fillcolor="#ffffb3" strokecolor="#bf8f00 [2407]" strokeweight="1pt">
                <v:stroke joinstyle="round"/>
                <v:shadow on="t" color="#3f3151" opacity=".5" offset="1pt"/>
                <v:textbox inset=",2.5mm,,2.5mm">
                  <w:txbxContent>
                    <w:p w:rsidR="004758FC" w:rsidRDefault="004758FC" w:rsidP="00596E1D">
                      <w:pPr>
                        <w:pStyle w:val="Caption"/>
                        <w:spacing w:after="120"/>
                        <w:jc w:val="both"/>
                      </w:pPr>
                      <w:r>
                        <w:t xml:space="preserve">Piemērs </w:t>
                      </w:r>
                      <w:r w:rsidR="00684EC9">
                        <w:fldChar w:fldCharType="begin"/>
                      </w:r>
                      <w:r w:rsidR="00684EC9">
                        <w:instrText xml:space="preserve"> SEQ piemērs \* ARABIC </w:instrText>
                      </w:r>
                      <w:r w:rsidR="00684EC9">
                        <w:fldChar w:fldCharType="separate"/>
                      </w:r>
                      <w:r w:rsidR="00CC41E2">
                        <w:rPr>
                          <w:noProof/>
                        </w:rPr>
                        <w:t>2</w:t>
                      </w:r>
                      <w:r w:rsidR="00684EC9">
                        <w:rPr>
                          <w:noProof/>
                        </w:rPr>
                        <w:fldChar w:fldCharType="end"/>
                      </w:r>
                    </w:p>
                    <w:p w:rsidR="004758FC" w:rsidRPr="00AA33A9" w:rsidRDefault="004758FC" w:rsidP="00596E1D">
                      <w:pPr>
                        <w:spacing w:before="120" w:after="60" w:line="240" w:lineRule="auto"/>
                        <w:jc w:val="both"/>
                        <w:rPr>
                          <w:rFonts w:ascii="Times New Roman" w:hAnsi="Times New Roman" w:cs="Times New Roman"/>
                          <w:color w:val="2F5496" w:themeColor="accent5" w:themeShade="BF"/>
                        </w:rPr>
                      </w:pPr>
                      <w:r w:rsidRPr="00AA33A9">
                        <w:rPr>
                          <w:rFonts w:ascii="Times New Roman" w:hAnsi="Times New Roman" w:cs="Times New Roman"/>
                          <w:color w:val="2F5496" w:themeColor="accent5" w:themeShade="BF"/>
                        </w:rPr>
                        <w:t>Pētniecības organizācijas tīmekļa vietnē tiek publicēta informācija par to, ka mēneša laikā iespējams iesniegt savu pieteikumu tehnoloģiju tiesību (patenta) iegādei vai izmantošanas tiesību iegūšanai. Tirgus izpētes ceļā identificēti 4 komersanti, tostarp ārvalstīs, kam arī varētu būt interese iegūt savā īpašumā minētās tehnoloģiju tiesības. Šiem komersantiem informācija tiek nosūtīta pa e-pastu. Rezultātā pēc mēneša savus pieteikumus iesniedz 2 komersanti, ar kuriem tiek parakstīti informācijas neizpaušanas līgumi, un tiem tiek sniegta informācija par intelektuālo īpašumu.</w:t>
                      </w:r>
                    </w:p>
                    <w:p w:rsidR="004758FC" w:rsidRPr="00AA33A9" w:rsidRDefault="004758FC" w:rsidP="00596E1D">
                      <w:pPr>
                        <w:spacing w:before="120" w:after="60" w:line="240" w:lineRule="auto"/>
                        <w:jc w:val="both"/>
                        <w:rPr>
                          <w:rFonts w:ascii="Times New Roman" w:hAnsi="Times New Roman" w:cs="Times New Roman"/>
                          <w:color w:val="2F5496" w:themeColor="accent5" w:themeShade="BF"/>
                        </w:rPr>
                      </w:pPr>
                      <w:r w:rsidRPr="00AA33A9">
                        <w:rPr>
                          <w:rFonts w:ascii="Times New Roman" w:hAnsi="Times New Roman" w:cs="Times New Roman"/>
                          <w:color w:val="2F5496" w:themeColor="accent5" w:themeShade="BF"/>
                        </w:rPr>
                        <w:t>Abi komersanti vēlas slēgt licences līgumus, bet ar dažādiem nosacījumiem. Piedāvājumi tiek salīdzināti, izmantojot ienākumu metodi, piemērojot atbilstošu diskonta likmi (</w:t>
                      </w:r>
                      <w:r w:rsidR="002465E6">
                        <w:rPr>
                          <w:rFonts w:ascii="Times New Roman" w:hAnsi="Times New Roman" w:cs="Times New Roman"/>
                          <w:color w:val="2F5496" w:themeColor="accent5" w:themeShade="BF"/>
                        </w:rPr>
                        <w:t>P</w:t>
                      </w:r>
                      <w:r w:rsidRPr="00AA33A9">
                        <w:rPr>
                          <w:rFonts w:ascii="Times New Roman" w:hAnsi="Times New Roman" w:cs="Times New Roman"/>
                          <w:color w:val="2F5496" w:themeColor="accent5" w:themeShade="BF"/>
                        </w:rPr>
                        <w:t>ielikums ).</w:t>
                      </w:r>
                    </w:p>
                    <w:p w:rsidR="004758FC" w:rsidRPr="00AA33A9" w:rsidRDefault="004758FC" w:rsidP="00596E1D">
                      <w:pPr>
                        <w:spacing w:before="120" w:after="60" w:line="240" w:lineRule="auto"/>
                        <w:jc w:val="both"/>
                        <w:rPr>
                          <w:rFonts w:ascii="Times New Roman" w:hAnsi="Times New Roman" w:cs="Times New Roman"/>
                          <w:color w:val="2F5496" w:themeColor="accent5" w:themeShade="BF"/>
                        </w:rPr>
                      </w:pPr>
                      <w:r w:rsidRPr="00AA33A9">
                        <w:rPr>
                          <w:rFonts w:ascii="Times New Roman" w:hAnsi="Times New Roman" w:cs="Times New Roman"/>
                          <w:color w:val="2F5496" w:themeColor="accent5" w:themeShade="BF"/>
                        </w:rPr>
                        <w:t>Komersants A strādā pie jauna produkta izveides uz pētniecības organizācijas radītā intelektuālā īpašuma bāzes. Tā kā produkta izstrāde ir agrīnā stadijā un ar tā attīstību saistīti dažādi augsti riski, tiek piemērota 60% diskonta likme.</w:t>
                      </w:r>
                    </w:p>
                    <w:p w:rsidR="004758FC" w:rsidRPr="00AA33A9" w:rsidRDefault="004758FC" w:rsidP="00596E1D">
                      <w:pPr>
                        <w:spacing w:before="120" w:after="60" w:line="240" w:lineRule="auto"/>
                        <w:jc w:val="both"/>
                        <w:rPr>
                          <w:rFonts w:ascii="Times New Roman" w:hAnsi="Times New Roman" w:cs="Times New Roman"/>
                          <w:color w:val="2F5496" w:themeColor="accent5" w:themeShade="BF"/>
                        </w:rPr>
                      </w:pPr>
                      <w:r w:rsidRPr="00AA33A9">
                        <w:rPr>
                          <w:rFonts w:ascii="Times New Roman" w:hAnsi="Times New Roman" w:cs="Times New Roman"/>
                          <w:color w:val="2F5496" w:themeColor="accent5" w:themeShade="BF"/>
                        </w:rPr>
                        <w:t xml:space="preserve">Komersants B tirgū jau piedāvā produktu, kura konkurētspēja, salīdzinot ar tirgū esošiem analogiem,, izmantojot pētniecības organizācijas radītās tehnoloģiju tiesības, būtu augstāka. Riski, kas saistīti ar uzlabotā produkta ieviešanu tirgū ir nelieli. Šajā gadījumā tiek piemērota 30% diskonta likme. </w:t>
                      </w:r>
                    </w:p>
                    <w:p w:rsidR="004758FC" w:rsidRPr="00AA33A9" w:rsidRDefault="004758FC" w:rsidP="00596E1D">
                      <w:pPr>
                        <w:spacing w:before="120" w:after="60" w:line="240" w:lineRule="auto"/>
                        <w:jc w:val="both"/>
                        <w:rPr>
                          <w:rFonts w:ascii="Times New Roman" w:hAnsi="Times New Roman" w:cs="Times New Roman"/>
                          <w:color w:val="2F5496" w:themeColor="accent5" w:themeShade="BF"/>
                        </w:rPr>
                      </w:pPr>
                      <w:r w:rsidRPr="00AA33A9">
                        <w:rPr>
                          <w:rFonts w:ascii="Times New Roman" w:hAnsi="Times New Roman" w:cs="Times New Roman"/>
                          <w:color w:val="2F5496" w:themeColor="accent5" w:themeShade="BF"/>
                        </w:rPr>
                        <w:t>Izvērtējot piedāvājumus, pētniecības organizācija izvērtē katra piedāvājuma priekšrocības un trūkumus un uzsāk pārrunas ar katru no pretendentiem. Ja piedāvājumi mainās, tad tie tiek atkārtoti salīdzināti.</w:t>
                      </w:r>
                    </w:p>
                    <w:p w:rsidR="004758FC" w:rsidRPr="00AA33A9" w:rsidRDefault="004758FC" w:rsidP="00596E1D">
                      <w:pPr>
                        <w:spacing w:before="120" w:after="60" w:line="240" w:lineRule="auto"/>
                        <w:jc w:val="both"/>
                        <w:rPr>
                          <w:color w:val="2F5496" w:themeColor="accent5" w:themeShade="BF"/>
                        </w:rPr>
                      </w:pPr>
                      <w:r w:rsidRPr="00AA33A9">
                        <w:rPr>
                          <w:rFonts w:ascii="Times New Roman" w:hAnsi="Times New Roman" w:cs="Times New Roman"/>
                          <w:color w:val="2F5496" w:themeColor="accent5" w:themeShade="BF"/>
                        </w:rPr>
                        <w:t>Veicot abu piedāvājumu salīdzināšanu, efektīvas sarunu procedūras termiņa noslēgumā pētniecības organizācija izvēlas slēgt līgumu ar komersantu B.</w:t>
                      </w:r>
                    </w:p>
                  </w:txbxContent>
                </v:textbox>
                <w10:anchorlock/>
              </v:shape>
            </w:pict>
          </mc:Fallback>
        </mc:AlternateContent>
      </w:r>
    </w:p>
    <w:p w:rsidR="00534CCB" w:rsidRDefault="00534CCB" w:rsidP="00534CCB">
      <w:pPr>
        <w:pStyle w:val="Heading4"/>
        <w:numPr>
          <w:ilvl w:val="2"/>
          <w:numId w:val="10"/>
        </w:numPr>
      </w:pPr>
      <w:r>
        <w:t>Tehnoloģiju tiesību komercializācija sadarbības partnerim – komersantam</w:t>
      </w:r>
    </w:p>
    <w:p w:rsidR="00523553" w:rsidRDefault="00523553" w:rsidP="00523553"/>
    <w:p w:rsidR="004D196C" w:rsidRDefault="00534CCB" w:rsidP="00523553">
      <w:pPr>
        <w:jc w:val="both"/>
        <w:rPr>
          <w:rFonts w:ascii="Times New Roman" w:hAnsi="Times New Roman" w:cs="Times New Roman"/>
          <w:sz w:val="26"/>
          <w:szCs w:val="26"/>
        </w:rPr>
      </w:pPr>
      <w:r>
        <w:t xml:space="preserve"> </w:t>
      </w:r>
      <w:r w:rsidR="004D196C" w:rsidRPr="004D196C">
        <w:rPr>
          <w:rFonts w:ascii="Times New Roman" w:hAnsi="Times New Roman" w:cs="Times New Roman"/>
          <w:sz w:val="26"/>
          <w:szCs w:val="26"/>
        </w:rPr>
        <w:t>Ja pētniecības organizācija slēdz līgumu ar sadarbības partneri – komersantu par tehnoloģiju tiesību izmantošanu vai atsavināšanu</w:t>
      </w:r>
      <w:r w:rsidR="007D3E03">
        <w:rPr>
          <w:rFonts w:ascii="Times New Roman" w:hAnsi="Times New Roman" w:cs="Times New Roman"/>
          <w:sz w:val="26"/>
          <w:szCs w:val="26"/>
        </w:rPr>
        <w:t>,</w:t>
      </w:r>
      <w:r w:rsidR="004D196C">
        <w:rPr>
          <w:rFonts w:ascii="Times New Roman" w:hAnsi="Times New Roman" w:cs="Times New Roman"/>
          <w:sz w:val="26"/>
          <w:szCs w:val="26"/>
        </w:rPr>
        <w:t xml:space="preserve"> kompensācijas</w:t>
      </w:r>
      <w:r w:rsidR="007D3E03">
        <w:rPr>
          <w:rFonts w:ascii="Times New Roman" w:hAnsi="Times New Roman" w:cs="Times New Roman"/>
          <w:sz w:val="26"/>
          <w:szCs w:val="26"/>
        </w:rPr>
        <w:t xml:space="preserve"> apmēra</w:t>
      </w:r>
      <w:r w:rsidR="004D196C">
        <w:rPr>
          <w:rFonts w:ascii="Times New Roman" w:hAnsi="Times New Roman" w:cs="Times New Roman"/>
          <w:sz w:val="26"/>
          <w:szCs w:val="26"/>
        </w:rPr>
        <w:t xml:space="preserve"> noteikšanai var izmantot dokumentētu sarunu procedūru</w:t>
      </w:r>
      <w:r w:rsidR="004D196C" w:rsidRPr="004D196C">
        <w:rPr>
          <w:rFonts w:ascii="Times New Roman" w:hAnsi="Times New Roman" w:cs="Times New Roman"/>
          <w:sz w:val="26"/>
          <w:szCs w:val="26"/>
        </w:rPr>
        <w:t xml:space="preserve">. </w:t>
      </w:r>
    </w:p>
    <w:p w:rsidR="00523553" w:rsidRPr="004D196C" w:rsidRDefault="00523553" w:rsidP="00523553">
      <w:pPr>
        <w:rPr>
          <w:rFonts w:ascii="Times New Roman" w:hAnsi="Times New Roman" w:cs="Times New Roman"/>
          <w:sz w:val="26"/>
          <w:szCs w:val="26"/>
        </w:rPr>
      </w:pPr>
      <w:r w:rsidRPr="004D196C">
        <w:rPr>
          <w:noProof/>
          <w:lang w:eastAsia="lv-LV"/>
        </w:rPr>
        <w:lastRenderedPageBreak/>
        <mc:AlternateContent>
          <mc:Choice Requires="wps">
            <w:drawing>
              <wp:inline distT="0" distB="0" distL="0" distR="0" wp14:anchorId="4247DD02" wp14:editId="59F66F6A">
                <wp:extent cx="5743575" cy="2286000"/>
                <wp:effectExtent l="0" t="0" r="47625" b="57150"/>
                <wp:docPr id="1" name="Flowchart: Alternate Process 1"/>
                <wp:cNvGraphicFramePr/>
                <a:graphic xmlns:a="http://schemas.openxmlformats.org/drawingml/2006/main">
                  <a:graphicData uri="http://schemas.microsoft.com/office/word/2010/wordprocessingShape">
                    <wps:wsp>
                      <wps:cNvSpPr/>
                      <wps:spPr>
                        <a:xfrm>
                          <a:off x="0" y="0"/>
                          <a:ext cx="5743575" cy="2286000"/>
                        </a:xfrm>
                        <a:prstGeom prst="flowChartAlternateProcess">
                          <a:avLst/>
                        </a:prstGeom>
                        <a:solidFill>
                          <a:srgbClr val="EFEFFF"/>
                        </a:solidFill>
                        <a:ln w="12700">
                          <a:solidFill>
                            <a:srgbClr val="B2A1C7"/>
                          </a:solidFill>
                          <a:round/>
                          <a:headEnd/>
                          <a:tailEnd/>
                        </a:ln>
                        <a:effectLst>
                          <a:outerShdw dist="28398" dir="3806097" algn="ctr" rotWithShape="0">
                            <a:srgbClr val="3F3151">
                              <a:alpha val="50000"/>
                            </a:srgbClr>
                          </a:outerShdw>
                        </a:effectLst>
                      </wps:spPr>
                      <wps:txbx>
                        <w:txbxContent>
                          <w:p w:rsidR="00523553" w:rsidRPr="009F4F8B" w:rsidRDefault="00523553" w:rsidP="00523553">
                            <w:pPr>
                              <w:jc w:val="both"/>
                              <w:rPr>
                                <w:rFonts w:ascii="Times New Roman" w:eastAsia="Calibri" w:hAnsi="Times New Roman" w:cs="Times New Roman"/>
                                <w:b/>
                                <w:color w:val="2F5496" w:themeColor="accent5" w:themeShade="BF"/>
                                <w:sz w:val="24"/>
                                <w:szCs w:val="24"/>
                              </w:rPr>
                            </w:pPr>
                            <w:r w:rsidRPr="009F4F8B">
                              <w:rPr>
                                <w:rFonts w:ascii="Times New Roman" w:eastAsia="Calibri" w:hAnsi="Times New Roman" w:cs="Times New Roman"/>
                                <w:b/>
                                <w:color w:val="2F5496" w:themeColor="accent5" w:themeShade="BF"/>
                                <w:sz w:val="24"/>
                                <w:szCs w:val="24"/>
                              </w:rPr>
                              <w:t>MK N 34 23.5.2. apakšpunkts:</w:t>
                            </w:r>
                          </w:p>
                          <w:p w:rsidR="00523553" w:rsidRDefault="00523553" w:rsidP="00523553">
                            <w:pPr>
                              <w:spacing w:after="0"/>
                              <w:jc w:val="both"/>
                              <w:rPr>
                                <w:rFonts w:ascii="Times New Roman" w:eastAsia="Calibri" w:hAnsi="Times New Roman" w:cs="Times New Roman"/>
                                <w:color w:val="2F5496" w:themeColor="accent5" w:themeShade="BF"/>
                              </w:rPr>
                            </w:pPr>
                            <w:r w:rsidRPr="00523553">
                              <w:rPr>
                                <w:rFonts w:ascii="Times New Roman" w:eastAsia="Calibri" w:hAnsi="Times New Roman" w:cs="Times New Roman"/>
                                <w:b/>
                                <w:color w:val="2F5496" w:themeColor="accent5" w:themeShade="BF"/>
                              </w:rPr>
                              <w:t>pētniecības organizācija saņem no komersanta tādu atlīdzību (kompensāciju), kas ir līdzvērtīga tirgus cenai par intelektuālā īpašuma tiesībām</w:t>
                            </w:r>
                            <w:r w:rsidRPr="009F4F8B">
                              <w:rPr>
                                <w:rFonts w:ascii="Times New Roman" w:eastAsia="Calibri" w:hAnsi="Times New Roman" w:cs="Times New Roman"/>
                                <w:color w:val="2F5496" w:themeColor="accent5" w:themeShade="BF"/>
                              </w:rPr>
                              <w:t xml:space="preserve">, kuras izriet no darbības, ko šī pētniecības organizācija veica projektā, un kuras nodotas sadarbības partnerim (komersantam). Ja intelektuālā īpašuma tiesības uz pētniecības organizācijas projekta daļā radīto intelektuālo īpašumu atsavina vai sadarbības partnerim (komersantam) piešķir izņēmuma, izmantošanas vai lietošanas tiesības, intelektuālā īpašuma tirgus cenu samazina par mantisko, intelektuālā īpašuma vai cilvēkresursu ieguldījuma vērtību, kuru, pamatojoties uz faktiskajām izmaksām (izņemot peļņas daļu), sadarbības partneris (komersants) ir ieguldījis pētniecības organizācijas projekta daļas īstenošanā, radot attiecīgās intelektuālā īpašuma tiesības </w:t>
                            </w:r>
                          </w:p>
                          <w:p w:rsidR="00523553" w:rsidRPr="009F4F8B" w:rsidRDefault="00523553" w:rsidP="00523553">
                            <w:pPr>
                              <w:spacing w:after="0"/>
                              <w:jc w:val="both"/>
                              <w:rPr>
                                <w:rFonts w:ascii="Times New Roman" w:eastAsia="Calibri" w:hAnsi="Times New Roman" w:cs="Times New Roman"/>
                                <w:color w:val="2F5496" w:themeColor="accent5" w:themeShade="BF"/>
                              </w:rPr>
                            </w:pPr>
                          </w:p>
                        </w:txbxContent>
                      </wps:txbx>
                      <wps:bodyPr rot="0" spcFirstLastPara="0" vertOverflow="overflow" horzOverflow="overflow" vert="horz" wrap="square" lIns="91440" tIns="90000" rIns="91440" bIns="90000" numCol="1" spcCol="0" rtlCol="0" fromWordArt="0" anchor="t" anchorCtr="0" forceAA="0" upright="1" compatLnSpc="1">
                        <a:prstTxWarp prst="textNoShape">
                          <a:avLst/>
                        </a:prstTxWarp>
                        <a:noAutofit/>
                      </wps:bodyPr>
                    </wps:wsp>
                  </a:graphicData>
                </a:graphic>
              </wp:inline>
            </w:drawing>
          </mc:Choice>
          <mc:Fallback>
            <w:pict>
              <v:shape w14:anchorId="4247DD02" id="Flowchart: Alternate Process 1" o:spid="_x0000_s1031" type="#_x0000_t176" style="width:452.25pt;height:18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" fillcolor="#efefff" strokecolor="#b2a1c7" strokeweight="1pt">
                <v:stroke joinstyle="round"/>
                <v:shadow on="t" color="#3f3151" opacity=".5" offset="1pt"/>
                <v:textbox inset=",2.5mm,,2.5mm">
                  <w:txbxContent>
                    <w:p w:rsidR="00523553" w:rsidRPr="009F4F8B" w:rsidRDefault="00523553" w:rsidP="00523553">
                      <w:pPr>
                        <w:jc w:val="both"/>
                        <w:rPr>
                          <w:rFonts w:ascii="Times New Roman" w:eastAsia="Calibri" w:hAnsi="Times New Roman" w:cs="Times New Roman"/>
                          <w:b/>
                          <w:color w:val="2F5496" w:themeColor="accent5" w:themeShade="BF"/>
                          <w:sz w:val="24"/>
                          <w:szCs w:val="24"/>
                        </w:rPr>
                      </w:pPr>
                      <w:r w:rsidRPr="009F4F8B">
                        <w:rPr>
                          <w:rFonts w:ascii="Times New Roman" w:eastAsia="Calibri" w:hAnsi="Times New Roman" w:cs="Times New Roman"/>
                          <w:b/>
                          <w:color w:val="2F5496" w:themeColor="accent5" w:themeShade="BF"/>
                          <w:sz w:val="24"/>
                          <w:szCs w:val="24"/>
                        </w:rPr>
                        <w:t>MK N 34 23.5.2. apakšpunkts:</w:t>
                      </w:r>
                    </w:p>
                    <w:p w:rsidR="00523553" w:rsidRDefault="00523553" w:rsidP="00523553">
                      <w:pPr>
                        <w:spacing w:after="0"/>
                        <w:jc w:val="both"/>
                        <w:rPr>
                          <w:rFonts w:ascii="Times New Roman" w:eastAsia="Calibri" w:hAnsi="Times New Roman" w:cs="Times New Roman"/>
                          <w:color w:val="2F5496" w:themeColor="accent5" w:themeShade="BF"/>
                        </w:rPr>
                      </w:pPr>
                      <w:r w:rsidRPr="00523553">
                        <w:rPr>
                          <w:rFonts w:ascii="Times New Roman" w:eastAsia="Calibri" w:hAnsi="Times New Roman" w:cs="Times New Roman"/>
                          <w:b/>
                          <w:color w:val="2F5496" w:themeColor="accent5" w:themeShade="BF"/>
                        </w:rPr>
                        <w:t>pētniecības organizācija saņem no komersanta tādu atlīdzību (kompensāciju), kas ir līdzvērtīga tirgus cenai par intelektuālā īpašuma tiesībām</w:t>
                      </w:r>
                      <w:r w:rsidRPr="009F4F8B">
                        <w:rPr>
                          <w:rFonts w:ascii="Times New Roman" w:eastAsia="Calibri" w:hAnsi="Times New Roman" w:cs="Times New Roman"/>
                          <w:color w:val="2F5496" w:themeColor="accent5" w:themeShade="BF"/>
                        </w:rPr>
                        <w:t xml:space="preserve">, kuras izriet no darbības, ko šī pētniecības organizācija veica projektā, un kuras nodotas sadarbības partnerim (komersantam). Ja intelektuālā īpašuma tiesības uz pētniecības organizācijas projekta daļā radīto intelektuālo īpašumu atsavina vai sadarbības partnerim (komersantam) piešķir izņēmuma, izmantošanas vai lietošanas tiesības, intelektuālā īpašuma tirgus cenu samazina par mantisko, intelektuālā īpašuma vai cilvēkresursu ieguldījuma vērtību, kuru, pamatojoties uz faktiskajām izmaksām (izņemot peļņas daļu), sadarbības partneris (komersants) ir ieguldījis pētniecības organizācijas projekta daļas īstenošanā, radot attiecīgās intelektuālā īpašuma tiesības </w:t>
                      </w:r>
                    </w:p>
                    <w:p w:rsidR="00523553" w:rsidRPr="009F4F8B" w:rsidRDefault="00523553" w:rsidP="00523553">
                      <w:pPr>
                        <w:spacing w:after="0"/>
                        <w:jc w:val="both"/>
                        <w:rPr>
                          <w:rFonts w:ascii="Times New Roman" w:eastAsia="Calibri" w:hAnsi="Times New Roman" w:cs="Times New Roman"/>
                          <w:color w:val="2F5496" w:themeColor="accent5" w:themeShade="BF"/>
                        </w:rPr>
                      </w:pPr>
                    </w:p>
                  </w:txbxContent>
                </v:textbox>
                <w10:anchorlock/>
              </v:shape>
            </w:pict>
          </mc:Fallback>
        </mc:AlternateContent>
      </w:r>
    </w:p>
    <w:p w:rsidR="004D196C" w:rsidRDefault="00534CCB" w:rsidP="004D196C">
      <w:pPr>
        <w:spacing w:before="120" w:after="120" w:line="240" w:lineRule="auto"/>
        <w:jc w:val="both"/>
        <w:rPr>
          <w:rFonts w:ascii="Times New Roman" w:hAnsi="Times New Roman" w:cs="Times New Roman"/>
          <w:sz w:val="26"/>
          <w:szCs w:val="26"/>
        </w:rPr>
      </w:pPr>
      <w:r w:rsidRPr="004D196C">
        <w:rPr>
          <w:rFonts w:ascii="Times New Roman" w:hAnsi="Times New Roman" w:cs="Times New Roman"/>
          <w:sz w:val="26"/>
          <w:szCs w:val="26"/>
        </w:rPr>
        <w:t>Gadījumā, ja</w:t>
      </w:r>
      <w:r w:rsidR="004D196C">
        <w:rPr>
          <w:rFonts w:ascii="Times New Roman" w:hAnsi="Times New Roman" w:cs="Times New Roman"/>
          <w:sz w:val="26"/>
          <w:szCs w:val="26"/>
        </w:rPr>
        <w:t>:</w:t>
      </w:r>
    </w:p>
    <w:p w:rsidR="004D196C" w:rsidRDefault="00534CCB" w:rsidP="004D196C">
      <w:pPr>
        <w:pStyle w:val="ListParagraph"/>
        <w:numPr>
          <w:ilvl w:val="0"/>
          <w:numId w:val="21"/>
        </w:numPr>
        <w:spacing w:before="120" w:after="120" w:line="240" w:lineRule="auto"/>
        <w:jc w:val="both"/>
        <w:rPr>
          <w:rFonts w:ascii="Times New Roman" w:hAnsi="Times New Roman" w:cs="Times New Roman"/>
          <w:sz w:val="26"/>
          <w:szCs w:val="26"/>
        </w:rPr>
      </w:pPr>
      <w:r w:rsidRPr="004D196C">
        <w:rPr>
          <w:rFonts w:ascii="Times New Roman" w:hAnsi="Times New Roman" w:cs="Times New Roman"/>
          <w:sz w:val="26"/>
          <w:szCs w:val="26"/>
        </w:rPr>
        <w:t>sadarbības partneris (komersants) ir ieguldījis  pētniecības organizācijas projekta daļas īstenošanā, radot daļu no attiecīgajām tehnoloģiju tiesībām, kompensāciju par partnerim nodotajām tiesībām samazina par minētā ieguldījuma vērtību, kuru pamato faktiskās izmaksas</w:t>
      </w:r>
      <w:r w:rsidR="004D196C">
        <w:rPr>
          <w:rFonts w:ascii="Times New Roman" w:hAnsi="Times New Roman" w:cs="Times New Roman"/>
          <w:sz w:val="26"/>
          <w:szCs w:val="26"/>
        </w:rPr>
        <w:t>;</w:t>
      </w:r>
    </w:p>
    <w:p w:rsidR="00EC4655" w:rsidRPr="004D196C" w:rsidRDefault="004D196C" w:rsidP="004D196C">
      <w:pPr>
        <w:pStyle w:val="ListParagraph"/>
        <w:numPr>
          <w:ilvl w:val="0"/>
          <w:numId w:val="21"/>
        </w:numPr>
        <w:spacing w:before="120" w:after="120" w:line="240" w:lineRule="auto"/>
        <w:jc w:val="both"/>
        <w:rPr>
          <w:rFonts w:ascii="Times New Roman" w:hAnsi="Times New Roman" w:cs="Times New Roman"/>
          <w:sz w:val="26"/>
          <w:szCs w:val="26"/>
        </w:rPr>
      </w:pPr>
      <w:r>
        <w:rPr>
          <w:rFonts w:ascii="Times New Roman" w:hAnsi="Times New Roman" w:cs="Times New Roman"/>
          <w:sz w:val="26"/>
          <w:szCs w:val="26"/>
        </w:rPr>
        <w:t>sadarbības parnerim paredzētas pirmpirkuma tiesības, to norāda sadarbības līgumā pirms projekta īstenošanas uzsākšanas</w:t>
      </w:r>
      <w:r w:rsidR="00534CCB" w:rsidRPr="004D196C">
        <w:rPr>
          <w:rFonts w:ascii="Times New Roman" w:hAnsi="Times New Roman" w:cs="Times New Roman"/>
          <w:sz w:val="26"/>
          <w:szCs w:val="26"/>
        </w:rPr>
        <w:t>.</w:t>
      </w:r>
    </w:p>
    <w:p w:rsidR="00534CCB" w:rsidRDefault="004D196C" w:rsidP="00534CCB">
      <w:r w:rsidRPr="004D196C">
        <w:rPr>
          <w:noProof/>
          <w:lang w:eastAsia="lv-LV"/>
        </w:rPr>
        <mc:AlternateContent>
          <mc:Choice Requires="wps">
            <w:drawing>
              <wp:inline distT="0" distB="0" distL="0" distR="0" wp14:anchorId="7EC2408D" wp14:editId="7D3369E3">
                <wp:extent cx="5743575" cy="1209675"/>
                <wp:effectExtent l="0" t="0" r="47625" b="66675"/>
                <wp:docPr id="12" name="Flowchart: Alternate Process 12"/>
                <wp:cNvGraphicFramePr/>
                <a:graphic xmlns:a="http://schemas.openxmlformats.org/drawingml/2006/main">
                  <a:graphicData uri="http://schemas.microsoft.com/office/word/2010/wordprocessingShape">
                    <wps:wsp>
                      <wps:cNvSpPr/>
                      <wps:spPr>
                        <a:xfrm>
                          <a:off x="0" y="0"/>
                          <a:ext cx="5743575" cy="1209675"/>
                        </a:xfrm>
                        <a:prstGeom prst="flowChartAlternateProcess">
                          <a:avLst/>
                        </a:prstGeom>
                        <a:solidFill>
                          <a:srgbClr val="EFEFFF"/>
                        </a:solidFill>
                        <a:ln w="12700">
                          <a:solidFill>
                            <a:srgbClr val="B2A1C7"/>
                          </a:solidFill>
                          <a:round/>
                          <a:headEnd/>
                          <a:tailEnd/>
                        </a:ln>
                        <a:effectLst>
                          <a:outerShdw dist="28398" dir="3806097" algn="ctr" rotWithShape="0">
                            <a:srgbClr val="3F3151">
                              <a:alpha val="50000"/>
                            </a:srgbClr>
                          </a:outerShdw>
                        </a:effectLst>
                      </wps:spPr>
                      <wps:txbx>
                        <w:txbxContent>
                          <w:p w:rsidR="004D196C" w:rsidRPr="00523553" w:rsidRDefault="004D196C" w:rsidP="004D196C">
                            <w:pPr>
                              <w:spacing w:after="0"/>
                              <w:jc w:val="both"/>
                              <w:rPr>
                                <w:rFonts w:ascii="Times New Roman" w:eastAsia="Calibri" w:hAnsi="Times New Roman" w:cs="Times New Roman"/>
                                <w:b/>
                                <w:color w:val="2F5496" w:themeColor="accent5" w:themeShade="BF"/>
                              </w:rPr>
                            </w:pPr>
                            <w:r w:rsidRPr="00523553">
                              <w:rPr>
                                <w:rFonts w:ascii="Times New Roman" w:eastAsia="Calibri" w:hAnsi="Times New Roman" w:cs="Times New Roman"/>
                                <w:b/>
                                <w:color w:val="2F5496" w:themeColor="accent5" w:themeShade="BF"/>
                              </w:rPr>
                              <w:t>sadarbības projekta noteikumus</w:t>
                            </w:r>
                            <w:r w:rsidRPr="004758FC">
                              <w:rPr>
                                <w:rFonts w:ascii="Times New Roman" w:eastAsia="Calibri" w:hAnsi="Times New Roman" w:cs="Times New Roman"/>
                                <w:color w:val="2F5496" w:themeColor="accent5" w:themeShade="BF"/>
                              </w:rPr>
                              <w:t xml:space="preserve"> attiecībā uz ieguldījumu, risku un rezultātu sadali, rezultātu izplatīšanu, piekļuvi intelektuālā īpašuma tiesībām un noteikumiem par šo tiesību piešķiršanu, atsavināšanu vai pirmpirkuma tiesību piešķiršanu </w:t>
                            </w:r>
                            <w:r w:rsidRPr="00523553">
                              <w:rPr>
                                <w:rFonts w:ascii="Times New Roman" w:eastAsia="Calibri" w:hAnsi="Times New Roman" w:cs="Times New Roman"/>
                                <w:b/>
                                <w:color w:val="2F5496" w:themeColor="accent5" w:themeShade="BF"/>
                              </w:rPr>
                              <w:t xml:space="preserve">ietver </w:t>
                            </w:r>
                            <w:r w:rsidR="00523553" w:rsidRPr="00523553">
                              <w:rPr>
                                <w:rFonts w:ascii="Times New Roman" w:eastAsia="Calibri" w:hAnsi="Times New Roman" w:cs="Times New Roman"/>
                                <w:b/>
                                <w:color w:val="2F5496" w:themeColor="accent5" w:themeShade="BF"/>
                              </w:rPr>
                              <w:t>…</w:t>
                            </w:r>
                            <w:r w:rsidRPr="00523553">
                              <w:rPr>
                                <w:rFonts w:ascii="Times New Roman" w:eastAsia="Calibri" w:hAnsi="Times New Roman" w:cs="Times New Roman"/>
                                <w:b/>
                                <w:color w:val="2F5496" w:themeColor="accent5" w:themeShade="BF"/>
                              </w:rPr>
                              <w:t xml:space="preserve"> sadarbības līgumā, kuru noslēdz pirms projekta īstenošanas uzsākšanas</w:t>
                            </w:r>
                          </w:p>
                          <w:p w:rsidR="00523553" w:rsidRDefault="00523553" w:rsidP="00523553">
                            <w:pPr>
                              <w:jc w:val="right"/>
                              <w:rPr>
                                <w:rFonts w:ascii="Times New Roman" w:eastAsia="Calibri" w:hAnsi="Times New Roman" w:cs="Times New Roman"/>
                                <w:b/>
                                <w:color w:val="2F5496" w:themeColor="accent5" w:themeShade="BF"/>
                                <w:sz w:val="24"/>
                                <w:szCs w:val="24"/>
                              </w:rPr>
                            </w:pPr>
                            <w:r w:rsidRPr="009F4F8B">
                              <w:rPr>
                                <w:rFonts w:ascii="Times New Roman" w:eastAsia="Calibri" w:hAnsi="Times New Roman" w:cs="Times New Roman"/>
                                <w:b/>
                                <w:color w:val="2F5496" w:themeColor="accent5" w:themeShade="BF"/>
                                <w:sz w:val="24"/>
                                <w:szCs w:val="24"/>
                              </w:rPr>
                              <w:t>MK N 34 2</w:t>
                            </w:r>
                            <w:r>
                              <w:rPr>
                                <w:rFonts w:ascii="Times New Roman" w:eastAsia="Calibri" w:hAnsi="Times New Roman" w:cs="Times New Roman"/>
                                <w:b/>
                                <w:color w:val="2F5496" w:themeColor="accent5" w:themeShade="BF"/>
                                <w:sz w:val="24"/>
                                <w:szCs w:val="24"/>
                              </w:rPr>
                              <w:t>1</w:t>
                            </w:r>
                            <w:r w:rsidRPr="009F4F8B">
                              <w:rPr>
                                <w:rFonts w:ascii="Times New Roman" w:eastAsia="Calibri" w:hAnsi="Times New Roman" w:cs="Times New Roman"/>
                                <w:b/>
                                <w:color w:val="2F5496" w:themeColor="accent5" w:themeShade="BF"/>
                                <w:sz w:val="24"/>
                                <w:szCs w:val="24"/>
                              </w:rPr>
                              <w:t>.</w:t>
                            </w:r>
                            <w:r>
                              <w:rPr>
                                <w:rFonts w:ascii="Times New Roman" w:eastAsia="Calibri" w:hAnsi="Times New Roman" w:cs="Times New Roman"/>
                                <w:b/>
                                <w:color w:val="2F5496" w:themeColor="accent5" w:themeShade="BF"/>
                                <w:sz w:val="24"/>
                                <w:szCs w:val="24"/>
                              </w:rPr>
                              <w:t>2</w:t>
                            </w:r>
                            <w:r w:rsidRPr="009F4F8B">
                              <w:rPr>
                                <w:rFonts w:ascii="Times New Roman" w:eastAsia="Calibri" w:hAnsi="Times New Roman" w:cs="Times New Roman"/>
                                <w:b/>
                                <w:color w:val="2F5496" w:themeColor="accent5" w:themeShade="BF"/>
                                <w:sz w:val="24"/>
                                <w:szCs w:val="24"/>
                              </w:rPr>
                              <w:t>.</w:t>
                            </w:r>
                            <w:r>
                              <w:rPr>
                                <w:rFonts w:ascii="Times New Roman" w:eastAsia="Calibri" w:hAnsi="Times New Roman" w:cs="Times New Roman"/>
                                <w:b/>
                                <w:color w:val="2F5496" w:themeColor="accent5" w:themeShade="BF"/>
                                <w:sz w:val="24"/>
                                <w:szCs w:val="24"/>
                              </w:rPr>
                              <w:t xml:space="preserve">3. apakšpunkts </w:t>
                            </w:r>
                          </w:p>
                          <w:p w:rsidR="00523553" w:rsidRPr="004758FC" w:rsidRDefault="00523553" w:rsidP="00523553">
                            <w:pPr>
                              <w:spacing w:after="0"/>
                              <w:jc w:val="right"/>
                              <w:rPr>
                                <w:rFonts w:ascii="Times New Roman" w:eastAsia="Calibri" w:hAnsi="Times New Roman" w:cs="Times New Roman"/>
                                <w:color w:val="2F5496" w:themeColor="accent5" w:themeShade="BF"/>
                              </w:rPr>
                            </w:pPr>
                          </w:p>
                        </w:txbxContent>
                      </wps:txbx>
                      <wps:bodyPr rot="0" spcFirstLastPara="0" vertOverflow="overflow" horzOverflow="overflow" vert="horz" wrap="square" lIns="91440" tIns="90000" rIns="91440" bIns="90000" numCol="1" spcCol="0" rtlCol="0" fromWordArt="0" anchor="t" anchorCtr="0" forceAA="0" upright="1" compatLnSpc="1">
                        <a:prstTxWarp prst="textNoShape">
                          <a:avLst/>
                        </a:prstTxWarp>
                        <a:noAutofit/>
                      </wps:bodyPr>
                    </wps:wsp>
                  </a:graphicData>
                </a:graphic>
              </wp:inline>
            </w:drawing>
          </mc:Choice>
          <mc:Fallback>
            <w:pict>
              <v:shape w14:anchorId="7EC2408D" id="Flowchart: Alternate Process 12" o:spid="_x0000_s1032" type="#_x0000_t176" style="width:452.25pt;height:9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" fillcolor="#efefff" strokecolor="#b2a1c7" strokeweight="1pt">
                <v:stroke joinstyle="round"/>
                <v:shadow on="t" color="#3f3151" opacity=".5" offset="1pt"/>
                <v:textbox inset=",2.5mm,,2.5mm">
                  <w:txbxContent>
                    <w:p w:rsidR="004D196C" w:rsidRPr="00523553" w:rsidRDefault="004D196C" w:rsidP="004D196C">
                      <w:pPr>
                        <w:spacing w:after="0"/>
                        <w:jc w:val="both"/>
                        <w:rPr>
                          <w:rFonts w:ascii="Times New Roman" w:eastAsia="Calibri" w:hAnsi="Times New Roman" w:cs="Times New Roman"/>
                          <w:b/>
                          <w:color w:val="2F5496" w:themeColor="accent5" w:themeShade="BF"/>
                        </w:rPr>
                      </w:pPr>
                      <w:r w:rsidRPr="00523553">
                        <w:rPr>
                          <w:rFonts w:ascii="Times New Roman" w:eastAsia="Calibri" w:hAnsi="Times New Roman" w:cs="Times New Roman"/>
                          <w:b/>
                          <w:color w:val="2F5496" w:themeColor="accent5" w:themeShade="BF"/>
                        </w:rPr>
                        <w:t>sadarbības projekta noteikumus</w:t>
                      </w:r>
                      <w:r w:rsidRPr="004758FC">
                        <w:rPr>
                          <w:rFonts w:ascii="Times New Roman" w:eastAsia="Calibri" w:hAnsi="Times New Roman" w:cs="Times New Roman"/>
                          <w:color w:val="2F5496" w:themeColor="accent5" w:themeShade="BF"/>
                        </w:rPr>
                        <w:t xml:space="preserve"> attiecībā uz ieguldījumu, risku un rezultātu sadali, rezultātu izplatīšanu, piekļuvi intelektuālā īpašuma tiesībām un noteikumiem par šo tiesību piešķiršanu, atsavināšanu vai pirmpirkuma tiesību piešķiršanu </w:t>
                      </w:r>
                      <w:r w:rsidRPr="00523553">
                        <w:rPr>
                          <w:rFonts w:ascii="Times New Roman" w:eastAsia="Calibri" w:hAnsi="Times New Roman" w:cs="Times New Roman"/>
                          <w:b/>
                          <w:color w:val="2F5496" w:themeColor="accent5" w:themeShade="BF"/>
                        </w:rPr>
                        <w:t xml:space="preserve">ietver </w:t>
                      </w:r>
                      <w:r w:rsidR="00523553" w:rsidRPr="00523553">
                        <w:rPr>
                          <w:rFonts w:ascii="Times New Roman" w:eastAsia="Calibri" w:hAnsi="Times New Roman" w:cs="Times New Roman"/>
                          <w:b/>
                          <w:color w:val="2F5496" w:themeColor="accent5" w:themeShade="BF"/>
                        </w:rPr>
                        <w:t>…</w:t>
                      </w:r>
                      <w:r w:rsidRPr="00523553">
                        <w:rPr>
                          <w:rFonts w:ascii="Times New Roman" w:eastAsia="Calibri" w:hAnsi="Times New Roman" w:cs="Times New Roman"/>
                          <w:b/>
                          <w:color w:val="2F5496" w:themeColor="accent5" w:themeShade="BF"/>
                        </w:rPr>
                        <w:t xml:space="preserve"> sadarbības līgumā, kuru noslēdz pirms projekta īstenošanas uzsākšanas</w:t>
                      </w:r>
                    </w:p>
                    <w:p w:rsidR="00523553" w:rsidRDefault="00523553" w:rsidP="00523553">
                      <w:pPr>
                        <w:jc w:val="right"/>
                        <w:rPr>
                          <w:rFonts w:ascii="Times New Roman" w:eastAsia="Calibri" w:hAnsi="Times New Roman" w:cs="Times New Roman"/>
                          <w:b/>
                          <w:color w:val="2F5496" w:themeColor="accent5" w:themeShade="BF"/>
                          <w:sz w:val="24"/>
                          <w:szCs w:val="24"/>
                        </w:rPr>
                      </w:pPr>
                      <w:r w:rsidRPr="009F4F8B">
                        <w:rPr>
                          <w:rFonts w:ascii="Times New Roman" w:eastAsia="Calibri" w:hAnsi="Times New Roman" w:cs="Times New Roman"/>
                          <w:b/>
                          <w:color w:val="2F5496" w:themeColor="accent5" w:themeShade="BF"/>
                          <w:sz w:val="24"/>
                          <w:szCs w:val="24"/>
                        </w:rPr>
                        <w:t>MK N 34 2</w:t>
                      </w:r>
                      <w:r>
                        <w:rPr>
                          <w:rFonts w:ascii="Times New Roman" w:eastAsia="Calibri" w:hAnsi="Times New Roman" w:cs="Times New Roman"/>
                          <w:b/>
                          <w:color w:val="2F5496" w:themeColor="accent5" w:themeShade="BF"/>
                          <w:sz w:val="24"/>
                          <w:szCs w:val="24"/>
                        </w:rPr>
                        <w:t>1</w:t>
                      </w:r>
                      <w:r w:rsidRPr="009F4F8B">
                        <w:rPr>
                          <w:rFonts w:ascii="Times New Roman" w:eastAsia="Calibri" w:hAnsi="Times New Roman" w:cs="Times New Roman"/>
                          <w:b/>
                          <w:color w:val="2F5496" w:themeColor="accent5" w:themeShade="BF"/>
                          <w:sz w:val="24"/>
                          <w:szCs w:val="24"/>
                        </w:rPr>
                        <w:t>.</w:t>
                      </w:r>
                      <w:r>
                        <w:rPr>
                          <w:rFonts w:ascii="Times New Roman" w:eastAsia="Calibri" w:hAnsi="Times New Roman" w:cs="Times New Roman"/>
                          <w:b/>
                          <w:color w:val="2F5496" w:themeColor="accent5" w:themeShade="BF"/>
                          <w:sz w:val="24"/>
                          <w:szCs w:val="24"/>
                        </w:rPr>
                        <w:t>2</w:t>
                      </w:r>
                      <w:r w:rsidRPr="009F4F8B">
                        <w:rPr>
                          <w:rFonts w:ascii="Times New Roman" w:eastAsia="Calibri" w:hAnsi="Times New Roman" w:cs="Times New Roman"/>
                          <w:b/>
                          <w:color w:val="2F5496" w:themeColor="accent5" w:themeShade="BF"/>
                          <w:sz w:val="24"/>
                          <w:szCs w:val="24"/>
                        </w:rPr>
                        <w:t>.</w:t>
                      </w:r>
                      <w:r>
                        <w:rPr>
                          <w:rFonts w:ascii="Times New Roman" w:eastAsia="Calibri" w:hAnsi="Times New Roman" w:cs="Times New Roman"/>
                          <w:b/>
                          <w:color w:val="2F5496" w:themeColor="accent5" w:themeShade="BF"/>
                          <w:sz w:val="24"/>
                          <w:szCs w:val="24"/>
                        </w:rPr>
                        <w:t xml:space="preserve">3. apakšpunkts </w:t>
                      </w:r>
                    </w:p>
                    <w:p w:rsidR="00523553" w:rsidRPr="004758FC" w:rsidRDefault="00523553" w:rsidP="00523553">
                      <w:pPr>
                        <w:spacing w:after="0"/>
                        <w:jc w:val="right"/>
                        <w:rPr>
                          <w:rFonts w:ascii="Times New Roman" w:eastAsia="Calibri" w:hAnsi="Times New Roman" w:cs="Times New Roman"/>
                          <w:color w:val="2F5496" w:themeColor="accent5" w:themeShade="BF"/>
                        </w:rPr>
                      </w:pPr>
                    </w:p>
                  </w:txbxContent>
                </v:textbox>
                <w10:anchorlock/>
              </v:shape>
            </w:pict>
          </mc:Fallback>
        </mc:AlternateContent>
      </w:r>
    </w:p>
    <w:p w:rsidR="004D196C" w:rsidRDefault="004D196C" w:rsidP="004D196C">
      <w:pPr>
        <w:pStyle w:val="Heading4"/>
        <w:numPr>
          <w:ilvl w:val="2"/>
          <w:numId w:val="10"/>
        </w:numPr>
      </w:pPr>
      <w:r>
        <w:t>Tehnoloģiju tiesību komercializācija – jaunuzņēmuma dibināšana</w:t>
      </w:r>
    </w:p>
    <w:p w:rsidR="00990B71" w:rsidRPr="00990B71" w:rsidRDefault="00990B71" w:rsidP="00990B71">
      <w:pPr>
        <w:spacing w:before="120" w:after="120" w:line="240" w:lineRule="auto"/>
        <w:jc w:val="both"/>
        <w:rPr>
          <w:rFonts w:ascii="Times New Roman" w:hAnsi="Times New Roman" w:cs="Times New Roman"/>
          <w:sz w:val="26"/>
          <w:szCs w:val="26"/>
        </w:rPr>
      </w:pPr>
      <w:r w:rsidRPr="00990B71">
        <w:rPr>
          <w:rFonts w:ascii="Times New Roman" w:hAnsi="Times New Roman" w:cs="Times New Roman"/>
          <w:sz w:val="26"/>
          <w:szCs w:val="26"/>
        </w:rPr>
        <w:t>Ja pētniecības organizācija dibina jaunuzņēmumu</w:t>
      </w:r>
      <w:r>
        <w:rPr>
          <w:rFonts w:ascii="Times New Roman" w:hAnsi="Times New Roman" w:cs="Times New Roman"/>
          <w:sz w:val="26"/>
          <w:szCs w:val="26"/>
        </w:rPr>
        <w:t xml:space="preserve"> un tam komercializē tehnoloģiju tiesības</w:t>
      </w:r>
      <w:r w:rsidRPr="00990B71">
        <w:rPr>
          <w:rFonts w:ascii="Times New Roman" w:hAnsi="Times New Roman" w:cs="Times New Roman"/>
          <w:sz w:val="26"/>
          <w:szCs w:val="26"/>
        </w:rPr>
        <w:t>, tā nodrošina šādu nosacījumu izpildi:</w:t>
      </w:r>
    </w:p>
    <w:p w:rsidR="00990B71" w:rsidRPr="00990B71" w:rsidRDefault="00990B71" w:rsidP="00990B71">
      <w:pPr>
        <w:spacing w:before="120" w:after="120" w:line="240" w:lineRule="auto"/>
        <w:jc w:val="both"/>
        <w:rPr>
          <w:rFonts w:ascii="Times New Roman" w:hAnsi="Times New Roman" w:cs="Times New Roman"/>
          <w:sz w:val="26"/>
          <w:szCs w:val="26"/>
        </w:rPr>
      </w:pPr>
      <w:r w:rsidRPr="00990B71">
        <w:rPr>
          <w:rFonts w:ascii="Times New Roman" w:hAnsi="Times New Roman" w:cs="Times New Roman"/>
          <w:sz w:val="26"/>
          <w:szCs w:val="26"/>
        </w:rPr>
        <w:t xml:space="preserve">1. pētniecības organizācija par jaunuzņēmumam nodotajām ekonomiskajām priekšrocībām </w:t>
      </w:r>
      <w:r>
        <w:rPr>
          <w:rFonts w:ascii="Times New Roman" w:hAnsi="Times New Roman" w:cs="Times New Roman"/>
          <w:sz w:val="26"/>
          <w:szCs w:val="26"/>
        </w:rPr>
        <w:t xml:space="preserve">var </w:t>
      </w:r>
      <w:r w:rsidRPr="00990B71">
        <w:rPr>
          <w:rFonts w:ascii="Times New Roman" w:hAnsi="Times New Roman" w:cs="Times New Roman"/>
          <w:sz w:val="26"/>
          <w:szCs w:val="26"/>
        </w:rPr>
        <w:t>saņem atlīdzību</w:t>
      </w:r>
      <w:r>
        <w:rPr>
          <w:rFonts w:ascii="Times New Roman" w:hAnsi="Times New Roman" w:cs="Times New Roman"/>
          <w:sz w:val="26"/>
          <w:szCs w:val="26"/>
        </w:rPr>
        <w:t>, kuru nosaka, piemērojot sarunu procedūru</w:t>
      </w:r>
      <w:r w:rsidR="007D3E03">
        <w:rPr>
          <w:rFonts w:ascii="Times New Roman" w:hAnsi="Times New Roman" w:cs="Times New Roman"/>
          <w:sz w:val="26"/>
          <w:szCs w:val="26"/>
        </w:rPr>
        <w:t xml:space="preserve">. </w:t>
      </w:r>
      <w:r w:rsidRPr="00990B71">
        <w:rPr>
          <w:rFonts w:ascii="Times New Roman" w:hAnsi="Times New Roman" w:cs="Times New Roman"/>
          <w:sz w:val="26"/>
          <w:szCs w:val="26"/>
        </w:rPr>
        <w:t xml:space="preserve"> </w:t>
      </w:r>
      <w:r w:rsidR="007D3E03">
        <w:rPr>
          <w:rFonts w:ascii="Times New Roman" w:hAnsi="Times New Roman" w:cs="Times New Roman"/>
          <w:sz w:val="26"/>
          <w:szCs w:val="26"/>
        </w:rPr>
        <w:t>V</w:t>
      </w:r>
      <w:r w:rsidRPr="00990B71">
        <w:rPr>
          <w:rFonts w:ascii="Times New Roman" w:hAnsi="Times New Roman" w:cs="Times New Roman"/>
          <w:sz w:val="26"/>
          <w:szCs w:val="26"/>
        </w:rPr>
        <w:t>isu peļņu no tehnoloģiju tiesību komercializācijas atkal iegulda pētniecības organizācijas pamatdarbībās;</w:t>
      </w:r>
    </w:p>
    <w:p w:rsidR="00990B71" w:rsidRPr="00990B71" w:rsidRDefault="00990B71" w:rsidP="00990B71">
      <w:pPr>
        <w:spacing w:before="120" w:after="120" w:line="240" w:lineRule="auto"/>
        <w:jc w:val="both"/>
        <w:rPr>
          <w:rFonts w:ascii="Times New Roman" w:hAnsi="Times New Roman" w:cs="Times New Roman"/>
          <w:sz w:val="26"/>
          <w:szCs w:val="26"/>
        </w:rPr>
      </w:pPr>
      <w:r w:rsidRPr="00990B71">
        <w:rPr>
          <w:rFonts w:ascii="Times New Roman" w:hAnsi="Times New Roman" w:cs="Times New Roman"/>
          <w:sz w:val="26"/>
          <w:szCs w:val="26"/>
        </w:rPr>
        <w:t>2. jaunuzņēmuma dibināšanai nepieciešamos finanšu resursus nodrošina no tādiem dibinātāju rīcībā esošiem līdzekļiem, kredītresursiem vai citiem finanšu resursiem, par kuriem nav s</w:t>
      </w:r>
      <w:r>
        <w:rPr>
          <w:rFonts w:ascii="Times New Roman" w:hAnsi="Times New Roman" w:cs="Times New Roman"/>
          <w:sz w:val="26"/>
          <w:szCs w:val="26"/>
        </w:rPr>
        <w:t>aņemts nekāds publisks atbalsts</w:t>
      </w:r>
      <w:r>
        <w:rPr>
          <w:rStyle w:val="FootnoteReference"/>
          <w:rFonts w:ascii="Times New Roman" w:hAnsi="Times New Roman" w:cs="Times New Roman"/>
          <w:sz w:val="26"/>
          <w:szCs w:val="26"/>
        </w:rPr>
        <w:footnoteReference w:id="5"/>
      </w:r>
      <w:r w:rsidRPr="00990B71">
        <w:rPr>
          <w:rFonts w:ascii="Times New Roman" w:hAnsi="Times New Roman" w:cs="Times New Roman"/>
          <w:sz w:val="26"/>
          <w:szCs w:val="26"/>
        </w:rPr>
        <w:t>;</w:t>
      </w:r>
    </w:p>
    <w:p w:rsidR="00990B71" w:rsidRDefault="00990B71" w:rsidP="00990B71">
      <w:pPr>
        <w:spacing w:before="120" w:after="120" w:line="240" w:lineRule="auto"/>
        <w:jc w:val="both"/>
        <w:rPr>
          <w:rFonts w:ascii="Times New Roman" w:hAnsi="Times New Roman" w:cs="Times New Roman"/>
          <w:sz w:val="26"/>
          <w:szCs w:val="26"/>
        </w:rPr>
      </w:pPr>
      <w:r w:rsidRPr="00990B71">
        <w:rPr>
          <w:rFonts w:ascii="Times New Roman" w:hAnsi="Times New Roman" w:cs="Times New Roman"/>
          <w:sz w:val="26"/>
          <w:szCs w:val="26"/>
        </w:rPr>
        <w:t>3. pētniecības organizācijas tīmekļvietnē publisko jaunuzņēmuma intelektuālā īpašuma pārvaldības politikas aprakstu, kurā pamato, ka jaunuzņēmuma dibināšanas procesā veiktajai zināšanu un tehnoloģiju pār</w:t>
      </w:r>
      <w:r>
        <w:rPr>
          <w:rFonts w:ascii="Times New Roman" w:hAnsi="Times New Roman" w:cs="Times New Roman"/>
          <w:sz w:val="26"/>
          <w:szCs w:val="26"/>
        </w:rPr>
        <w:t>nesei nav saimnieciska rakstura</w:t>
      </w:r>
      <w:r>
        <w:rPr>
          <w:rStyle w:val="FootnoteReference"/>
          <w:rFonts w:ascii="Times New Roman" w:hAnsi="Times New Roman" w:cs="Times New Roman"/>
          <w:sz w:val="26"/>
          <w:szCs w:val="26"/>
        </w:rPr>
        <w:footnoteReference w:id="6"/>
      </w:r>
      <w:r w:rsidRPr="00990B71">
        <w:rPr>
          <w:rFonts w:ascii="Times New Roman" w:hAnsi="Times New Roman" w:cs="Times New Roman"/>
          <w:sz w:val="26"/>
          <w:szCs w:val="26"/>
        </w:rPr>
        <w:t>.</w:t>
      </w:r>
    </w:p>
    <w:p w:rsidR="00CA17A7" w:rsidRPr="00990B71" w:rsidRDefault="00CA17A7" w:rsidP="00990B71">
      <w:pPr>
        <w:spacing w:before="120" w:after="120" w:line="240" w:lineRule="auto"/>
        <w:jc w:val="both"/>
        <w:rPr>
          <w:rFonts w:ascii="Times New Roman" w:hAnsi="Times New Roman" w:cs="Times New Roman"/>
          <w:sz w:val="26"/>
          <w:szCs w:val="26"/>
        </w:rPr>
      </w:pPr>
      <w:r w:rsidRPr="00CA17A7">
        <w:rPr>
          <w:rFonts w:ascii="Times New Roman" w:hAnsi="Times New Roman" w:cs="Times New Roman"/>
          <w:sz w:val="26"/>
          <w:szCs w:val="26"/>
        </w:rPr>
        <w:lastRenderedPageBreak/>
        <w:t>Nav pieļaujama situācija, kad pētniecības organizācija jau pētniecības projekta laikā ir izvēlējusies jaunas kapitālsabiedrības dibināšanu un intelektuālā īpašuma ieguldīšanu jaundibinātās kapitālsabiedrības pamatkapitālā kā vienīgo iespējamo komercializācijas veidu, jo tādā gadījumā pētniecības projekts vairs nevar tikt uzskatīts par neatkarīgu pētniecību - pētījums tiek veikts kāda konkrēta uzņēmuma interesēs.</w:t>
      </w:r>
      <w:r w:rsidR="007D3E03">
        <w:rPr>
          <w:rFonts w:ascii="Times New Roman" w:hAnsi="Times New Roman" w:cs="Times New Roman"/>
          <w:sz w:val="26"/>
          <w:szCs w:val="26"/>
        </w:rPr>
        <w:t xml:space="preserve"> Minētajā gadījumā projektam ir saimniecisks raksturs un tam nav piemērojami ne-saimnieciska projekta nosacījumi.</w:t>
      </w:r>
    </w:p>
    <w:p w:rsidR="004D196C" w:rsidRPr="004D196C" w:rsidRDefault="00990B71" w:rsidP="004D196C">
      <w:r w:rsidRPr="00990B71">
        <w:rPr>
          <w:rFonts w:ascii="Times New Roman" w:hAnsi="Times New Roman" w:cs="Times New Roman"/>
          <w:noProof/>
          <w:lang w:eastAsia="lv-LV"/>
        </w:rPr>
        <mc:AlternateContent>
          <mc:Choice Requires="wps">
            <w:drawing>
              <wp:inline distT="0" distB="0" distL="0" distR="0" wp14:anchorId="5F8273D4" wp14:editId="2AA28819">
                <wp:extent cx="5760085" cy="2266950"/>
                <wp:effectExtent l="0" t="0" r="31115" b="57150"/>
                <wp:docPr id="2" name="Flowchart: Alternate Process 2"/>
                <wp:cNvGraphicFramePr/>
                <a:graphic xmlns:a="http://schemas.openxmlformats.org/drawingml/2006/main">
                  <a:graphicData uri="http://schemas.microsoft.com/office/word/2010/wordprocessingShape">
                    <wps:wsp>
                      <wps:cNvSpPr/>
                      <wps:spPr>
                        <a:xfrm>
                          <a:off x="0" y="0"/>
                          <a:ext cx="5760085" cy="2266950"/>
                        </a:xfrm>
                        <a:prstGeom prst="flowChartAlternateProcess">
                          <a:avLst/>
                        </a:prstGeom>
                        <a:solidFill>
                          <a:srgbClr val="FFFFB3"/>
                        </a:solidFill>
                        <a:ln w="12700">
                          <a:solidFill>
                            <a:srgbClr val="FFC000">
                              <a:lumMod val="75000"/>
                            </a:srgbClr>
                          </a:solidFill>
                          <a:round/>
                          <a:headEnd/>
                          <a:tailEnd/>
                        </a:ln>
                        <a:effectLst>
                          <a:outerShdw dist="28398" dir="3806097" algn="ctr" rotWithShape="0">
                            <a:srgbClr val="3F3151">
                              <a:alpha val="50000"/>
                            </a:srgbClr>
                          </a:outerShdw>
                        </a:effectLst>
                      </wps:spPr>
                      <wps:txbx>
                        <w:txbxContent>
                          <w:p w:rsidR="00990B71" w:rsidRDefault="00990B71" w:rsidP="00990B71">
                            <w:pPr>
                              <w:pStyle w:val="Caption"/>
                              <w:spacing w:after="120"/>
                              <w:jc w:val="both"/>
                            </w:pPr>
                            <w:r>
                              <w:t xml:space="preserve">Piemērs </w:t>
                            </w:r>
                            <w:r w:rsidR="005F4C40">
                              <w:fldChar w:fldCharType="begin"/>
                            </w:r>
                            <w:r w:rsidR="005F4C40">
                              <w:instrText xml:space="preserve"> SEQ piemērs \* ARABIC </w:instrText>
                            </w:r>
                            <w:r w:rsidR="005F4C40">
                              <w:fldChar w:fldCharType="separate"/>
                            </w:r>
                            <w:r w:rsidR="00CC41E2">
                              <w:rPr>
                                <w:noProof/>
                              </w:rPr>
                              <w:t>3</w:t>
                            </w:r>
                            <w:r w:rsidR="005F4C40">
                              <w:rPr>
                                <w:noProof/>
                              </w:rPr>
                              <w:fldChar w:fldCharType="end"/>
                            </w:r>
                          </w:p>
                          <w:p w:rsidR="00990B71" w:rsidRPr="00990B71" w:rsidRDefault="00990B71" w:rsidP="00990B71">
                            <w:pPr>
                              <w:spacing w:before="120" w:after="60" w:line="240" w:lineRule="auto"/>
                              <w:jc w:val="both"/>
                              <w:rPr>
                                <w:rFonts w:ascii="Times New Roman" w:hAnsi="Times New Roman" w:cs="Times New Roman"/>
                                <w:color w:val="2F5496" w:themeColor="accent5" w:themeShade="BF"/>
                              </w:rPr>
                            </w:pPr>
                            <w:r w:rsidRPr="00990B71">
                              <w:rPr>
                                <w:rFonts w:ascii="Times New Roman" w:hAnsi="Times New Roman" w:cs="Times New Roman"/>
                                <w:color w:val="2F5496" w:themeColor="accent5" w:themeShade="BF"/>
                              </w:rPr>
                              <w:t xml:space="preserve">Pētniecības organizācija </w:t>
                            </w:r>
                            <w:r>
                              <w:rPr>
                                <w:rFonts w:ascii="Times New Roman" w:hAnsi="Times New Roman" w:cs="Times New Roman"/>
                                <w:color w:val="2F5496" w:themeColor="accent5" w:themeShade="BF"/>
                              </w:rPr>
                              <w:t>piemēro šādus</w:t>
                            </w:r>
                            <w:r w:rsidRPr="00990B71">
                              <w:rPr>
                                <w:rFonts w:ascii="Times New Roman" w:hAnsi="Times New Roman" w:cs="Times New Roman"/>
                                <w:color w:val="2F5496" w:themeColor="accent5" w:themeShade="BF"/>
                              </w:rPr>
                              <w:t xml:space="preserve"> tehnoloģiju tiesību komercializācijas variantus:</w:t>
                            </w:r>
                          </w:p>
                          <w:p w:rsidR="00990B71" w:rsidRPr="00990B71" w:rsidRDefault="00990B71" w:rsidP="00990B71">
                            <w:pPr>
                              <w:spacing w:before="120" w:after="60" w:line="240" w:lineRule="auto"/>
                              <w:jc w:val="both"/>
                              <w:rPr>
                                <w:rFonts w:ascii="Times New Roman" w:hAnsi="Times New Roman" w:cs="Times New Roman"/>
                                <w:color w:val="2F5496" w:themeColor="accent5" w:themeShade="BF"/>
                              </w:rPr>
                            </w:pPr>
                            <w:r w:rsidRPr="00990B71">
                              <w:rPr>
                                <w:rFonts w:ascii="Times New Roman" w:hAnsi="Times New Roman" w:cs="Times New Roman"/>
                                <w:color w:val="2F5496" w:themeColor="accent5" w:themeShade="BF"/>
                              </w:rPr>
                              <w:t>1)</w:t>
                            </w:r>
                            <w:r w:rsidRPr="00990B71">
                              <w:rPr>
                                <w:rFonts w:ascii="Times New Roman" w:hAnsi="Times New Roman" w:cs="Times New Roman"/>
                                <w:color w:val="2F5496" w:themeColor="accent5" w:themeShade="BF"/>
                              </w:rPr>
                              <w:tab/>
                              <w:t xml:space="preserve">organizēt </w:t>
                            </w:r>
                            <w:r>
                              <w:rPr>
                                <w:rFonts w:ascii="Times New Roman" w:hAnsi="Times New Roman" w:cs="Times New Roman"/>
                                <w:color w:val="2F5496" w:themeColor="accent5" w:themeShade="BF"/>
                              </w:rPr>
                              <w:t>sarunu procedūru</w:t>
                            </w:r>
                            <w:r w:rsidRPr="00990B71">
                              <w:rPr>
                                <w:rFonts w:ascii="Times New Roman" w:hAnsi="Times New Roman" w:cs="Times New Roman"/>
                                <w:color w:val="2F5496" w:themeColor="accent5" w:themeShade="BF"/>
                              </w:rPr>
                              <w:t xml:space="preserve"> un meklēt potenciālo pircēju vai licenciātu;</w:t>
                            </w:r>
                          </w:p>
                          <w:p w:rsidR="00990B71" w:rsidRPr="00990B71" w:rsidRDefault="00990B71" w:rsidP="00990B71">
                            <w:pPr>
                              <w:spacing w:before="120" w:after="60" w:line="240" w:lineRule="auto"/>
                              <w:jc w:val="both"/>
                              <w:rPr>
                                <w:rFonts w:ascii="Times New Roman" w:hAnsi="Times New Roman" w:cs="Times New Roman"/>
                                <w:color w:val="2F5496" w:themeColor="accent5" w:themeShade="BF"/>
                              </w:rPr>
                            </w:pPr>
                            <w:r w:rsidRPr="00990B71">
                              <w:rPr>
                                <w:rFonts w:ascii="Times New Roman" w:hAnsi="Times New Roman" w:cs="Times New Roman"/>
                                <w:color w:val="2F5496" w:themeColor="accent5" w:themeShade="BF"/>
                              </w:rPr>
                              <w:t>2)</w:t>
                            </w:r>
                            <w:r w:rsidRPr="00990B71">
                              <w:rPr>
                                <w:rFonts w:ascii="Times New Roman" w:hAnsi="Times New Roman" w:cs="Times New Roman"/>
                                <w:color w:val="2F5496" w:themeColor="accent5" w:themeShade="BF"/>
                              </w:rPr>
                              <w:tab/>
                              <w:t xml:space="preserve">dibināt </w:t>
                            </w:r>
                            <w:r>
                              <w:rPr>
                                <w:rFonts w:ascii="Times New Roman" w:hAnsi="Times New Roman" w:cs="Times New Roman"/>
                                <w:color w:val="2F5496" w:themeColor="accent5" w:themeShade="BF"/>
                              </w:rPr>
                              <w:t>jaunuzņēmumu</w:t>
                            </w:r>
                            <w:r w:rsidRPr="00990B71">
                              <w:rPr>
                                <w:rFonts w:ascii="Times New Roman" w:hAnsi="Times New Roman" w:cs="Times New Roman"/>
                                <w:color w:val="2F5496" w:themeColor="accent5" w:themeShade="BF"/>
                              </w:rPr>
                              <w:t xml:space="preserve"> ar mērķi turpināt pētniecīb</w:t>
                            </w:r>
                            <w:r>
                              <w:rPr>
                                <w:rFonts w:ascii="Times New Roman" w:hAnsi="Times New Roman" w:cs="Times New Roman"/>
                                <w:color w:val="2F5496" w:themeColor="accent5" w:themeShade="BF"/>
                              </w:rPr>
                              <w:t>u</w:t>
                            </w:r>
                            <w:r w:rsidRPr="00990B71">
                              <w:rPr>
                                <w:rFonts w:ascii="Times New Roman" w:hAnsi="Times New Roman" w:cs="Times New Roman"/>
                                <w:color w:val="2F5496" w:themeColor="accent5" w:themeShade="BF"/>
                              </w:rPr>
                              <w:t xml:space="preserve"> un </w:t>
                            </w:r>
                            <w:r w:rsidR="00CA17A7">
                              <w:rPr>
                                <w:rFonts w:ascii="Times New Roman" w:hAnsi="Times New Roman" w:cs="Times New Roman"/>
                                <w:color w:val="2F5496" w:themeColor="accent5" w:themeShade="BF"/>
                              </w:rPr>
                              <w:t>attīstīt prototipu</w:t>
                            </w:r>
                            <w:r w:rsidRPr="00990B71">
                              <w:rPr>
                                <w:rFonts w:ascii="Times New Roman" w:hAnsi="Times New Roman" w:cs="Times New Roman"/>
                                <w:color w:val="2F5496" w:themeColor="accent5" w:themeShade="BF"/>
                              </w:rPr>
                              <w:t xml:space="preserve">, </w:t>
                            </w:r>
                            <w:r w:rsidR="00CA17A7">
                              <w:rPr>
                                <w:rFonts w:ascii="Times New Roman" w:hAnsi="Times New Roman" w:cs="Times New Roman"/>
                                <w:color w:val="2F5496" w:themeColor="accent5" w:themeShade="BF"/>
                              </w:rPr>
                              <w:t>lai to ieviestu pakalpojumu sniegšanā. Plānots piesaistīt papildu finansējumu</w:t>
                            </w:r>
                            <w:r w:rsidRPr="00990B71">
                              <w:rPr>
                                <w:rFonts w:ascii="Times New Roman" w:hAnsi="Times New Roman" w:cs="Times New Roman"/>
                                <w:color w:val="2F5496" w:themeColor="accent5" w:themeShade="BF"/>
                              </w:rPr>
                              <w:t xml:space="preserve">. </w:t>
                            </w:r>
                          </w:p>
                          <w:p w:rsidR="00990B71" w:rsidRPr="00AA33A9" w:rsidRDefault="00990B71" w:rsidP="00990B71">
                            <w:pPr>
                              <w:spacing w:before="120" w:after="60" w:line="240" w:lineRule="auto"/>
                              <w:jc w:val="both"/>
                              <w:rPr>
                                <w:color w:val="2F5496" w:themeColor="accent5" w:themeShade="BF"/>
                              </w:rPr>
                            </w:pPr>
                            <w:r w:rsidRPr="00990B71">
                              <w:rPr>
                                <w:rFonts w:ascii="Times New Roman" w:hAnsi="Times New Roman" w:cs="Times New Roman"/>
                                <w:color w:val="2F5496" w:themeColor="accent5" w:themeShade="BF"/>
                              </w:rPr>
                              <w:t xml:space="preserve">Pētniecības organizācijas veiktie aprēķini </w:t>
                            </w:r>
                            <w:r w:rsidR="00CA17A7">
                              <w:rPr>
                                <w:rFonts w:ascii="Times New Roman" w:hAnsi="Times New Roman" w:cs="Times New Roman"/>
                                <w:color w:val="2F5496" w:themeColor="accent5" w:themeShade="BF"/>
                              </w:rPr>
                              <w:t>pierāda</w:t>
                            </w:r>
                            <w:r w:rsidRPr="00990B71">
                              <w:rPr>
                                <w:rFonts w:ascii="Times New Roman" w:hAnsi="Times New Roman" w:cs="Times New Roman"/>
                                <w:color w:val="2F5496" w:themeColor="accent5" w:themeShade="BF"/>
                              </w:rPr>
                              <w:t xml:space="preserve">, ka maksimālu labumu </w:t>
                            </w:r>
                            <w:r w:rsidR="00CA17A7">
                              <w:rPr>
                                <w:rFonts w:ascii="Times New Roman" w:hAnsi="Times New Roman" w:cs="Times New Roman"/>
                                <w:color w:val="2F5496" w:themeColor="accent5" w:themeShade="BF"/>
                              </w:rPr>
                              <w:t xml:space="preserve">tā gūst, dibinot juanuzņēmumu, tai skaitā iespēja </w:t>
                            </w:r>
                            <w:r w:rsidRPr="00990B71">
                              <w:rPr>
                                <w:rFonts w:ascii="Times New Roman" w:hAnsi="Times New Roman" w:cs="Times New Roman"/>
                                <w:color w:val="2F5496" w:themeColor="accent5" w:themeShade="BF"/>
                              </w:rPr>
                              <w:t xml:space="preserve">kapitālsabiedrības vērtību palielināt </w:t>
                            </w:r>
                            <w:r w:rsidR="00CA17A7">
                              <w:rPr>
                                <w:rFonts w:ascii="Times New Roman" w:hAnsi="Times New Roman" w:cs="Times New Roman"/>
                                <w:color w:val="2F5496" w:themeColor="accent5" w:themeShade="BF"/>
                              </w:rPr>
                              <w:t>vairākas  reizes</w:t>
                            </w:r>
                            <w:r w:rsidRPr="00990B71">
                              <w:rPr>
                                <w:rFonts w:ascii="Times New Roman" w:hAnsi="Times New Roman" w:cs="Times New Roman"/>
                                <w:color w:val="2F5496" w:themeColor="accent5" w:themeShade="BF"/>
                              </w:rPr>
                              <w:t xml:space="preserve"> reizes, kā arī </w:t>
                            </w:r>
                            <w:r w:rsidR="00CA17A7">
                              <w:rPr>
                                <w:rFonts w:ascii="Times New Roman" w:hAnsi="Times New Roman" w:cs="Times New Roman"/>
                                <w:color w:val="2F5496" w:themeColor="accent5" w:themeShade="BF"/>
                              </w:rPr>
                              <w:t>iespējama</w:t>
                            </w:r>
                            <w:r w:rsidRPr="00990B71">
                              <w:rPr>
                                <w:rFonts w:ascii="Times New Roman" w:hAnsi="Times New Roman" w:cs="Times New Roman"/>
                                <w:color w:val="2F5496" w:themeColor="accent5" w:themeShade="BF"/>
                              </w:rPr>
                              <w:t xml:space="preserve"> investīciju atgūšan</w:t>
                            </w:r>
                            <w:r w:rsidR="00CA17A7">
                              <w:rPr>
                                <w:rFonts w:ascii="Times New Roman" w:hAnsi="Times New Roman" w:cs="Times New Roman"/>
                                <w:color w:val="2F5496" w:themeColor="accent5" w:themeShade="BF"/>
                              </w:rPr>
                              <w:t>a</w:t>
                            </w:r>
                            <w:r w:rsidRPr="00990B71">
                              <w:rPr>
                                <w:rFonts w:ascii="Times New Roman" w:hAnsi="Times New Roman" w:cs="Times New Roman"/>
                                <w:color w:val="2F5496" w:themeColor="accent5" w:themeShade="BF"/>
                              </w:rPr>
                              <w:t xml:space="preserve"> </w:t>
                            </w:r>
                            <w:r w:rsidR="00CA17A7">
                              <w:rPr>
                                <w:rFonts w:ascii="Times New Roman" w:hAnsi="Times New Roman" w:cs="Times New Roman"/>
                                <w:color w:val="2F5496" w:themeColor="accent5" w:themeShade="BF"/>
                              </w:rPr>
                              <w:t>trīs</w:t>
                            </w:r>
                            <w:r w:rsidRPr="00990B71">
                              <w:rPr>
                                <w:rFonts w:ascii="Times New Roman" w:hAnsi="Times New Roman" w:cs="Times New Roman"/>
                                <w:color w:val="2F5496" w:themeColor="accent5" w:themeShade="BF"/>
                              </w:rPr>
                              <w:t xml:space="preserve"> gadu </w:t>
                            </w:r>
                            <w:r w:rsidR="00CA17A7">
                              <w:rPr>
                                <w:rFonts w:ascii="Times New Roman" w:hAnsi="Times New Roman" w:cs="Times New Roman"/>
                                <w:color w:val="2F5496" w:themeColor="accent5" w:themeShade="BF"/>
                              </w:rPr>
                              <w:t>periodā</w:t>
                            </w:r>
                            <w:r w:rsidRPr="00990B71">
                              <w:rPr>
                                <w:rFonts w:ascii="Times New Roman" w:hAnsi="Times New Roman" w:cs="Times New Roman"/>
                                <w:color w:val="2F5496" w:themeColor="accent5" w:themeShade="BF"/>
                              </w:rPr>
                              <w:t>. Pamatojoties uz aprēķiniem, pētniecības organizācija nolemj dibināt kapitālsabiedrību</w:t>
                            </w:r>
                            <w:r w:rsidR="00CA17A7">
                              <w:rPr>
                                <w:rFonts w:ascii="Times New Roman" w:hAnsi="Times New Roman" w:cs="Times New Roman"/>
                                <w:color w:val="2F5496" w:themeColor="accent5" w:themeShade="BF"/>
                              </w:rPr>
                              <w:t xml:space="preserve"> un</w:t>
                            </w:r>
                            <w:r w:rsidRPr="00990B71">
                              <w:rPr>
                                <w:rFonts w:ascii="Times New Roman" w:hAnsi="Times New Roman" w:cs="Times New Roman"/>
                                <w:color w:val="2F5496" w:themeColor="accent5" w:themeShade="BF"/>
                              </w:rPr>
                              <w:t xml:space="preserve"> ar licences līgumu tai piešķirt tehnoloģiju tiesību izmantošanas </w:t>
                            </w:r>
                            <w:r w:rsidR="00CA17A7">
                              <w:rPr>
                                <w:rFonts w:ascii="Times New Roman" w:hAnsi="Times New Roman" w:cs="Times New Roman"/>
                                <w:color w:val="2F5496" w:themeColor="accent5" w:themeShade="BF"/>
                              </w:rPr>
                              <w:t>.</w:t>
                            </w:r>
                            <w:r w:rsidRPr="00990B71">
                              <w:rPr>
                                <w:rFonts w:ascii="Times New Roman" w:hAnsi="Times New Roman" w:cs="Times New Roman"/>
                                <w:color w:val="2F5496" w:themeColor="accent5" w:themeShade="BF"/>
                              </w:rPr>
                              <w:t xml:space="preserve"> </w:t>
                            </w:r>
                            <w:r w:rsidR="00CA17A7">
                              <w:rPr>
                                <w:rFonts w:ascii="Times New Roman" w:hAnsi="Times New Roman" w:cs="Times New Roman"/>
                                <w:color w:val="2F5496" w:themeColor="accent5" w:themeShade="BF"/>
                              </w:rPr>
                              <w:t>V</w:t>
                            </w:r>
                            <w:r w:rsidRPr="00990B71">
                              <w:rPr>
                                <w:rFonts w:ascii="Times New Roman" w:hAnsi="Times New Roman" w:cs="Times New Roman"/>
                                <w:color w:val="2F5496" w:themeColor="accent5" w:themeShade="BF"/>
                              </w:rPr>
                              <w:t xml:space="preserve">isus gūtos ienākumus reinvestē </w:t>
                            </w:r>
                            <w:r w:rsidR="00CA17A7">
                              <w:rPr>
                                <w:rFonts w:ascii="Times New Roman" w:hAnsi="Times New Roman" w:cs="Times New Roman"/>
                                <w:color w:val="2F5496" w:themeColor="accent5" w:themeShade="BF"/>
                              </w:rPr>
                              <w:t xml:space="preserve">PO </w:t>
                            </w:r>
                            <w:r w:rsidRPr="00990B71">
                              <w:rPr>
                                <w:rFonts w:ascii="Times New Roman" w:hAnsi="Times New Roman" w:cs="Times New Roman"/>
                                <w:color w:val="2F5496" w:themeColor="accent5" w:themeShade="BF"/>
                              </w:rPr>
                              <w:t>pamatdarbībā.</w:t>
                            </w:r>
                          </w:p>
                        </w:txbxContent>
                      </wps:txbx>
                      <wps:bodyPr rot="0" spcFirstLastPara="0" vertOverflow="overflow" horzOverflow="overflow" vert="horz" wrap="square" lIns="91440" tIns="90000" rIns="91440" bIns="90000" numCol="1" spcCol="0" rtlCol="0" fromWordArt="0" anchor="t" anchorCtr="0" forceAA="0" upright="1" compatLnSpc="1">
                        <a:prstTxWarp prst="textNoShape">
                          <a:avLst/>
                        </a:prstTxWarp>
                        <a:noAutofit/>
                      </wps:bodyPr>
                    </wps:wsp>
                  </a:graphicData>
                </a:graphic>
              </wp:inline>
            </w:drawing>
          </mc:Choice>
          <mc:Fallback>
            <w:pict>
              <v:shape w14:anchorId="5F8273D4" id="Flowchart: Alternate Process 2" o:spid="_x0000_s1033" type="#_x0000_t176" style="width:453.55pt;height:1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" fillcolor="#ffffb3" strokecolor="#bf9000" strokeweight="1pt">
                <v:stroke joinstyle="round"/>
                <v:shadow on="t" color="#3f3151" opacity=".5" offset="1pt"/>
                <v:textbox inset=",2.5mm,,2.5mm">
                  <w:txbxContent>
                    <w:p w:rsidR="00990B71" w:rsidRDefault="00990B71" w:rsidP="00990B71">
                      <w:pPr>
                        <w:pStyle w:val="Caption"/>
                        <w:spacing w:after="120"/>
                        <w:jc w:val="both"/>
                      </w:pPr>
                      <w:r>
                        <w:t xml:space="preserve">Piemērs </w:t>
                      </w:r>
                      <w:r>
                        <w:fldChar w:fldCharType="begin"/>
                      </w:r>
                      <w:r>
                        <w:instrText xml:space="preserve"> SEQ piemērs \* ARABIC </w:instrText>
                      </w:r>
                      <w:r>
                        <w:fldChar w:fldCharType="separate"/>
                      </w:r>
                      <w:r w:rsidR="00CC41E2">
                        <w:rPr>
                          <w:noProof/>
                        </w:rPr>
                        <w:t>3</w:t>
                      </w:r>
                      <w:r>
                        <w:rPr>
                          <w:noProof/>
                        </w:rPr>
                        <w:fldChar w:fldCharType="end"/>
                      </w:r>
                    </w:p>
                    <w:p w:rsidR="00990B71" w:rsidRPr="00990B71" w:rsidRDefault="00990B71" w:rsidP="00990B71">
                      <w:pPr>
                        <w:spacing w:before="120" w:after="60" w:line="240" w:lineRule="auto"/>
                        <w:jc w:val="both"/>
                        <w:rPr>
                          <w:rFonts w:ascii="Times New Roman" w:hAnsi="Times New Roman" w:cs="Times New Roman"/>
                          <w:color w:val="2F5496" w:themeColor="accent5" w:themeShade="BF"/>
                        </w:rPr>
                      </w:pPr>
                      <w:r w:rsidRPr="00990B71">
                        <w:rPr>
                          <w:rFonts w:ascii="Times New Roman" w:hAnsi="Times New Roman" w:cs="Times New Roman"/>
                          <w:color w:val="2F5496" w:themeColor="accent5" w:themeShade="BF"/>
                        </w:rPr>
                        <w:t xml:space="preserve">Pētniecības organizācija </w:t>
                      </w:r>
                      <w:r>
                        <w:rPr>
                          <w:rFonts w:ascii="Times New Roman" w:hAnsi="Times New Roman" w:cs="Times New Roman"/>
                          <w:color w:val="2F5496" w:themeColor="accent5" w:themeShade="BF"/>
                        </w:rPr>
                        <w:t>piemēro šādus</w:t>
                      </w:r>
                      <w:r w:rsidRPr="00990B71">
                        <w:rPr>
                          <w:rFonts w:ascii="Times New Roman" w:hAnsi="Times New Roman" w:cs="Times New Roman"/>
                          <w:color w:val="2F5496" w:themeColor="accent5" w:themeShade="BF"/>
                        </w:rPr>
                        <w:t xml:space="preserve"> tehnoloģiju tiesību </w:t>
                      </w:r>
                      <w:proofErr w:type="spellStart"/>
                      <w:r w:rsidRPr="00990B71">
                        <w:rPr>
                          <w:rFonts w:ascii="Times New Roman" w:hAnsi="Times New Roman" w:cs="Times New Roman"/>
                          <w:color w:val="2F5496" w:themeColor="accent5" w:themeShade="BF"/>
                        </w:rPr>
                        <w:t>komercializācijas</w:t>
                      </w:r>
                      <w:proofErr w:type="spellEnd"/>
                      <w:r w:rsidRPr="00990B71">
                        <w:rPr>
                          <w:rFonts w:ascii="Times New Roman" w:hAnsi="Times New Roman" w:cs="Times New Roman"/>
                          <w:color w:val="2F5496" w:themeColor="accent5" w:themeShade="BF"/>
                        </w:rPr>
                        <w:t xml:space="preserve"> variantus:</w:t>
                      </w:r>
                    </w:p>
                    <w:p w:rsidR="00990B71" w:rsidRPr="00990B71" w:rsidRDefault="00990B71" w:rsidP="00990B71">
                      <w:pPr>
                        <w:spacing w:before="120" w:after="60" w:line="240" w:lineRule="auto"/>
                        <w:jc w:val="both"/>
                        <w:rPr>
                          <w:rFonts w:ascii="Times New Roman" w:hAnsi="Times New Roman" w:cs="Times New Roman"/>
                          <w:color w:val="2F5496" w:themeColor="accent5" w:themeShade="BF"/>
                        </w:rPr>
                      </w:pPr>
                      <w:r w:rsidRPr="00990B71">
                        <w:rPr>
                          <w:rFonts w:ascii="Times New Roman" w:hAnsi="Times New Roman" w:cs="Times New Roman"/>
                          <w:color w:val="2F5496" w:themeColor="accent5" w:themeShade="BF"/>
                        </w:rPr>
                        <w:t>1)</w:t>
                      </w:r>
                      <w:r w:rsidRPr="00990B71">
                        <w:rPr>
                          <w:rFonts w:ascii="Times New Roman" w:hAnsi="Times New Roman" w:cs="Times New Roman"/>
                          <w:color w:val="2F5496" w:themeColor="accent5" w:themeShade="BF"/>
                        </w:rPr>
                        <w:tab/>
                        <w:t xml:space="preserve">organizēt </w:t>
                      </w:r>
                      <w:r>
                        <w:rPr>
                          <w:rFonts w:ascii="Times New Roman" w:hAnsi="Times New Roman" w:cs="Times New Roman"/>
                          <w:color w:val="2F5496" w:themeColor="accent5" w:themeShade="BF"/>
                        </w:rPr>
                        <w:t>sarunu procedūru</w:t>
                      </w:r>
                      <w:r w:rsidRPr="00990B71">
                        <w:rPr>
                          <w:rFonts w:ascii="Times New Roman" w:hAnsi="Times New Roman" w:cs="Times New Roman"/>
                          <w:color w:val="2F5496" w:themeColor="accent5" w:themeShade="BF"/>
                        </w:rPr>
                        <w:t xml:space="preserve"> un meklēt potenciālo pircēju vai licenciātu;</w:t>
                      </w:r>
                    </w:p>
                    <w:p w:rsidR="00990B71" w:rsidRPr="00990B71" w:rsidRDefault="00990B71" w:rsidP="00990B71">
                      <w:pPr>
                        <w:spacing w:before="120" w:after="60" w:line="240" w:lineRule="auto"/>
                        <w:jc w:val="both"/>
                        <w:rPr>
                          <w:rFonts w:ascii="Times New Roman" w:hAnsi="Times New Roman" w:cs="Times New Roman"/>
                          <w:color w:val="2F5496" w:themeColor="accent5" w:themeShade="BF"/>
                        </w:rPr>
                      </w:pPr>
                      <w:r w:rsidRPr="00990B71">
                        <w:rPr>
                          <w:rFonts w:ascii="Times New Roman" w:hAnsi="Times New Roman" w:cs="Times New Roman"/>
                          <w:color w:val="2F5496" w:themeColor="accent5" w:themeShade="BF"/>
                        </w:rPr>
                        <w:t>2)</w:t>
                      </w:r>
                      <w:r w:rsidRPr="00990B71">
                        <w:rPr>
                          <w:rFonts w:ascii="Times New Roman" w:hAnsi="Times New Roman" w:cs="Times New Roman"/>
                          <w:color w:val="2F5496" w:themeColor="accent5" w:themeShade="BF"/>
                        </w:rPr>
                        <w:tab/>
                        <w:t xml:space="preserve">dibināt </w:t>
                      </w:r>
                      <w:proofErr w:type="spellStart"/>
                      <w:r>
                        <w:rPr>
                          <w:rFonts w:ascii="Times New Roman" w:hAnsi="Times New Roman" w:cs="Times New Roman"/>
                          <w:color w:val="2F5496" w:themeColor="accent5" w:themeShade="BF"/>
                        </w:rPr>
                        <w:t>jaunuzņēmumu</w:t>
                      </w:r>
                      <w:proofErr w:type="spellEnd"/>
                      <w:r w:rsidRPr="00990B71">
                        <w:rPr>
                          <w:rFonts w:ascii="Times New Roman" w:hAnsi="Times New Roman" w:cs="Times New Roman"/>
                          <w:color w:val="2F5496" w:themeColor="accent5" w:themeShade="BF"/>
                        </w:rPr>
                        <w:t xml:space="preserve"> ar mērķi turpināt pētniecīb</w:t>
                      </w:r>
                      <w:r>
                        <w:rPr>
                          <w:rFonts w:ascii="Times New Roman" w:hAnsi="Times New Roman" w:cs="Times New Roman"/>
                          <w:color w:val="2F5496" w:themeColor="accent5" w:themeShade="BF"/>
                        </w:rPr>
                        <w:t>u</w:t>
                      </w:r>
                      <w:r w:rsidRPr="00990B71">
                        <w:rPr>
                          <w:rFonts w:ascii="Times New Roman" w:hAnsi="Times New Roman" w:cs="Times New Roman"/>
                          <w:color w:val="2F5496" w:themeColor="accent5" w:themeShade="BF"/>
                        </w:rPr>
                        <w:t xml:space="preserve"> un </w:t>
                      </w:r>
                      <w:r w:rsidR="00CA17A7">
                        <w:rPr>
                          <w:rFonts w:ascii="Times New Roman" w:hAnsi="Times New Roman" w:cs="Times New Roman"/>
                          <w:color w:val="2F5496" w:themeColor="accent5" w:themeShade="BF"/>
                        </w:rPr>
                        <w:t>attīstīt prototipu</w:t>
                      </w:r>
                      <w:r w:rsidRPr="00990B71">
                        <w:rPr>
                          <w:rFonts w:ascii="Times New Roman" w:hAnsi="Times New Roman" w:cs="Times New Roman"/>
                          <w:color w:val="2F5496" w:themeColor="accent5" w:themeShade="BF"/>
                        </w:rPr>
                        <w:t xml:space="preserve">, </w:t>
                      </w:r>
                      <w:r w:rsidR="00CA17A7">
                        <w:rPr>
                          <w:rFonts w:ascii="Times New Roman" w:hAnsi="Times New Roman" w:cs="Times New Roman"/>
                          <w:color w:val="2F5496" w:themeColor="accent5" w:themeShade="BF"/>
                        </w:rPr>
                        <w:t>lai to ieviestu pakalpojumu sniegšanā. Plānots piesaistīt papildu finansējumu</w:t>
                      </w:r>
                      <w:r w:rsidRPr="00990B71">
                        <w:rPr>
                          <w:rFonts w:ascii="Times New Roman" w:hAnsi="Times New Roman" w:cs="Times New Roman"/>
                          <w:color w:val="2F5496" w:themeColor="accent5" w:themeShade="BF"/>
                        </w:rPr>
                        <w:t xml:space="preserve">. </w:t>
                      </w:r>
                    </w:p>
                    <w:p w:rsidR="00990B71" w:rsidRPr="00AA33A9" w:rsidRDefault="00990B71" w:rsidP="00990B71">
                      <w:pPr>
                        <w:spacing w:before="120" w:after="60" w:line="240" w:lineRule="auto"/>
                        <w:jc w:val="both"/>
                        <w:rPr>
                          <w:color w:val="2F5496" w:themeColor="accent5" w:themeShade="BF"/>
                        </w:rPr>
                      </w:pPr>
                      <w:r w:rsidRPr="00990B71">
                        <w:rPr>
                          <w:rFonts w:ascii="Times New Roman" w:hAnsi="Times New Roman" w:cs="Times New Roman"/>
                          <w:color w:val="2F5496" w:themeColor="accent5" w:themeShade="BF"/>
                        </w:rPr>
                        <w:t xml:space="preserve">Pētniecības organizācijas veiktie aprēķini </w:t>
                      </w:r>
                      <w:r w:rsidR="00CA17A7">
                        <w:rPr>
                          <w:rFonts w:ascii="Times New Roman" w:hAnsi="Times New Roman" w:cs="Times New Roman"/>
                          <w:color w:val="2F5496" w:themeColor="accent5" w:themeShade="BF"/>
                        </w:rPr>
                        <w:t>pierāda</w:t>
                      </w:r>
                      <w:r w:rsidRPr="00990B71">
                        <w:rPr>
                          <w:rFonts w:ascii="Times New Roman" w:hAnsi="Times New Roman" w:cs="Times New Roman"/>
                          <w:color w:val="2F5496" w:themeColor="accent5" w:themeShade="BF"/>
                        </w:rPr>
                        <w:t xml:space="preserve">, ka maksimālu labumu </w:t>
                      </w:r>
                      <w:r w:rsidR="00CA17A7">
                        <w:rPr>
                          <w:rFonts w:ascii="Times New Roman" w:hAnsi="Times New Roman" w:cs="Times New Roman"/>
                          <w:color w:val="2F5496" w:themeColor="accent5" w:themeShade="BF"/>
                        </w:rPr>
                        <w:t xml:space="preserve">tā gūst, dibinot </w:t>
                      </w:r>
                      <w:proofErr w:type="spellStart"/>
                      <w:r w:rsidR="00CA17A7">
                        <w:rPr>
                          <w:rFonts w:ascii="Times New Roman" w:hAnsi="Times New Roman" w:cs="Times New Roman"/>
                          <w:color w:val="2F5496" w:themeColor="accent5" w:themeShade="BF"/>
                        </w:rPr>
                        <w:t>juanuzņēmumu</w:t>
                      </w:r>
                      <w:proofErr w:type="spellEnd"/>
                      <w:r w:rsidR="00CA17A7">
                        <w:rPr>
                          <w:rFonts w:ascii="Times New Roman" w:hAnsi="Times New Roman" w:cs="Times New Roman"/>
                          <w:color w:val="2F5496" w:themeColor="accent5" w:themeShade="BF"/>
                        </w:rPr>
                        <w:t xml:space="preserve">, tai skaitā iespēja </w:t>
                      </w:r>
                      <w:r w:rsidRPr="00990B71">
                        <w:rPr>
                          <w:rFonts w:ascii="Times New Roman" w:hAnsi="Times New Roman" w:cs="Times New Roman"/>
                          <w:color w:val="2F5496" w:themeColor="accent5" w:themeShade="BF"/>
                        </w:rPr>
                        <w:t xml:space="preserve">kapitālsabiedrības vērtību palielināt </w:t>
                      </w:r>
                      <w:r w:rsidR="00CA17A7">
                        <w:rPr>
                          <w:rFonts w:ascii="Times New Roman" w:hAnsi="Times New Roman" w:cs="Times New Roman"/>
                          <w:color w:val="2F5496" w:themeColor="accent5" w:themeShade="BF"/>
                        </w:rPr>
                        <w:t>vairākas  reizes</w:t>
                      </w:r>
                      <w:r w:rsidRPr="00990B71">
                        <w:rPr>
                          <w:rFonts w:ascii="Times New Roman" w:hAnsi="Times New Roman" w:cs="Times New Roman"/>
                          <w:color w:val="2F5496" w:themeColor="accent5" w:themeShade="BF"/>
                        </w:rPr>
                        <w:t xml:space="preserve"> </w:t>
                      </w:r>
                      <w:proofErr w:type="spellStart"/>
                      <w:r w:rsidRPr="00990B71">
                        <w:rPr>
                          <w:rFonts w:ascii="Times New Roman" w:hAnsi="Times New Roman" w:cs="Times New Roman"/>
                          <w:color w:val="2F5496" w:themeColor="accent5" w:themeShade="BF"/>
                        </w:rPr>
                        <w:t>reizes</w:t>
                      </w:r>
                      <w:proofErr w:type="spellEnd"/>
                      <w:r w:rsidRPr="00990B71">
                        <w:rPr>
                          <w:rFonts w:ascii="Times New Roman" w:hAnsi="Times New Roman" w:cs="Times New Roman"/>
                          <w:color w:val="2F5496" w:themeColor="accent5" w:themeShade="BF"/>
                        </w:rPr>
                        <w:t xml:space="preserve">, kā arī </w:t>
                      </w:r>
                      <w:r w:rsidR="00CA17A7">
                        <w:rPr>
                          <w:rFonts w:ascii="Times New Roman" w:hAnsi="Times New Roman" w:cs="Times New Roman"/>
                          <w:color w:val="2F5496" w:themeColor="accent5" w:themeShade="BF"/>
                        </w:rPr>
                        <w:t>iespējama</w:t>
                      </w:r>
                      <w:r w:rsidRPr="00990B71">
                        <w:rPr>
                          <w:rFonts w:ascii="Times New Roman" w:hAnsi="Times New Roman" w:cs="Times New Roman"/>
                          <w:color w:val="2F5496" w:themeColor="accent5" w:themeShade="BF"/>
                        </w:rPr>
                        <w:t xml:space="preserve"> investīciju atgūšan</w:t>
                      </w:r>
                      <w:r w:rsidR="00CA17A7">
                        <w:rPr>
                          <w:rFonts w:ascii="Times New Roman" w:hAnsi="Times New Roman" w:cs="Times New Roman"/>
                          <w:color w:val="2F5496" w:themeColor="accent5" w:themeShade="BF"/>
                        </w:rPr>
                        <w:t>a</w:t>
                      </w:r>
                      <w:r w:rsidRPr="00990B71">
                        <w:rPr>
                          <w:rFonts w:ascii="Times New Roman" w:hAnsi="Times New Roman" w:cs="Times New Roman"/>
                          <w:color w:val="2F5496" w:themeColor="accent5" w:themeShade="BF"/>
                        </w:rPr>
                        <w:t xml:space="preserve"> </w:t>
                      </w:r>
                      <w:r w:rsidR="00CA17A7">
                        <w:rPr>
                          <w:rFonts w:ascii="Times New Roman" w:hAnsi="Times New Roman" w:cs="Times New Roman"/>
                          <w:color w:val="2F5496" w:themeColor="accent5" w:themeShade="BF"/>
                        </w:rPr>
                        <w:t>trīs</w:t>
                      </w:r>
                      <w:r w:rsidRPr="00990B71">
                        <w:rPr>
                          <w:rFonts w:ascii="Times New Roman" w:hAnsi="Times New Roman" w:cs="Times New Roman"/>
                          <w:color w:val="2F5496" w:themeColor="accent5" w:themeShade="BF"/>
                        </w:rPr>
                        <w:t xml:space="preserve"> gadu </w:t>
                      </w:r>
                      <w:r w:rsidR="00CA17A7">
                        <w:rPr>
                          <w:rFonts w:ascii="Times New Roman" w:hAnsi="Times New Roman" w:cs="Times New Roman"/>
                          <w:color w:val="2F5496" w:themeColor="accent5" w:themeShade="BF"/>
                        </w:rPr>
                        <w:t>periodā</w:t>
                      </w:r>
                      <w:r w:rsidRPr="00990B71">
                        <w:rPr>
                          <w:rFonts w:ascii="Times New Roman" w:hAnsi="Times New Roman" w:cs="Times New Roman"/>
                          <w:color w:val="2F5496" w:themeColor="accent5" w:themeShade="BF"/>
                        </w:rPr>
                        <w:t>. Pamatojoties uz aprēķiniem, pētniecības organizācija nolemj dibināt kapitālsabiedrību</w:t>
                      </w:r>
                      <w:r w:rsidR="00CA17A7">
                        <w:rPr>
                          <w:rFonts w:ascii="Times New Roman" w:hAnsi="Times New Roman" w:cs="Times New Roman"/>
                          <w:color w:val="2F5496" w:themeColor="accent5" w:themeShade="BF"/>
                        </w:rPr>
                        <w:t xml:space="preserve"> un</w:t>
                      </w:r>
                      <w:r w:rsidRPr="00990B71">
                        <w:rPr>
                          <w:rFonts w:ascii="Times New Roman" w:hAnsi="Times New Roman" w:cs="Times New Roman"/>
                          <w:color w:val="2F5496" w:themeColor="accent5" w:themeShade="BF"/>
                        </w:rPr>
                        <w:t xml:space="preserve"> ar licences līgumu tai piešķirt tehnoloģiju tiesību izmantošanas </w:t>
                      </w:r>
                      <w:r w:rsidR="00CA17A7">
                        <w:rPr>
                          <w:rFonts w:ascii="Times New Roman" w:hAnsi="Times New Roman" w:cs="Times New Roman"/>
                          <w:color w:val="2F5496" w:themeColor="accent5" w:themeShade="BF"/>
                        </w:rPr>
                        <w:t>.</w:t>
                      </w:r>
                      <w:r w:rsidRPr="00990B71">
                        <w:rPr>
                          <w:rFonts w:ascii="Times New Roman" w:hAnsi="Times New Roman" w:cs="Times New Roman"/>
                          <w:color w:val="2F5496" w:themeColor="accent5" w:themeShade="BF"/>
                        </w:rPr>
                        <w:t xml:space="preserve"> </w:t>
                      </w:r>
                      <w:r w:rsidR="00CA17A7">
                        <w:rPr>
                          <w:rFonts w:ascii="Times New Roman" w:hAnsi="Times New Roman" w:cs="Times New Roman"/>
                          <w:color w:val="2F5496" w:themeColor="accent5" w:themeShade="BF"/>
                        </w:rPr>
                        <w:t>V</w:t>
                      </w:r>
                      <w:r w:rsidRPr="00990B71">
                        <w:rPr>
                          <w:rFonts w:ascii="Times New Roman" w:hAnsi="Times New Roman" w:cs="Times New Roman"/>
                          <w:color w:val="2F5496" w:themeColor="accent5" w:themeShade="BF"/>
                        </w:rPr>
                        <w:t xml:space="preserve">isus gūtos ienākumus </w:t>
                      </w:r>
                      <w:proofErr w:type="spellStart"/>
                      <w:r w:rsidRPr="00990B71">
                        <w:rPr>
                          <w:rFonts w:ascii="Times New Roman" w:hAnsi="Times New Roman" w:cs="Times New Roman"/>
                          <w:color w:val="2F5496" w:themeColor="accent5" w:themeShade="BF"/>
                        </w:rPr>
                        <w:t>reinvestē</w:t>
                      </w:r>
                      <w:proofErr w:type="spellEnd"/>
                      <w:r w:rsidRPr="00990B71">
                        <w:rPr>
                          <w:rFonts w:ascii="Times New Roman" w:hAnsi="Times New Roman" w:cs="Times New Roman"/>
                          <w:color w:val="2F5496" w:themeColor="accent5" w:themeShade="BF"/>
                        </w:rPr>
                        <w:t xml:space="preserve"> </w:t>
                      </w:r>
                      <w:r w:rsidR="00CA17A7">
                        <w:rPr>
                          <w:rFonts w:ascii="Times New Roman" w:hAnsi="Times New Roman" w:cs="Times New Roman"/>
                          <w:color w:val="2F5496" w:themeColor="accent5" w:themeShade="BF"/>
                        </w:rPr>
                        <w:t xml:space="preserve">PO </w:t>
                      </w:r>
                      <w:r w:rsidRPr="00990B71">
                        <w:rPr>
                          <w:rFonts w:ascii="Times New Roman" w:hAnsi="Times New Roman" w:cs="Times New Roman"/>
                          <w:color w:val="2F5496" w:themeColor="accent5" w:themeShade="BF"/>
                        </w:rPr>
                        <w:t>pamatdarbībā.</w:t>
                      </w:r>
                    </w:p>
                  </w:txbxContent>
                </v:textbox>
                <w10:anchorlock/>
              </v:shape>
            </w:pict>
          </mc:Fallback>
        </mc:AlternateContent>
      </w:r>
    </w:p>
    <w:p w:rsidR="002465E6" w:rsidRDefault="002465E6" w:rsidP="00534CCB">
      <w:pPr>
        <w:pStyle w:val="Heading2"/>
        <w:numPr>
          <w:ilvl w:val="0"/>
          <w:numId w:val="10"/>
        </w:numPr>
      </w:pPr>
      <w:r>
        <w:t>Tehnoloģiju tiesību sākumcenas noteikšanas metodes</w:t>
      </w:r>
    </w:p>
    <w:p w:rsidR="007D3E03" w:rsidRPr="007D3E03" w:rsidRDefault="007D3E03" w:rsidP="007D3E03">
      <w:pPr>
        <w:spacing w:before="120" w:after="120" w:line="240" w:lineRule="auto"/>
        <w:ind w:left="360"/>
        <w:jc w:val="both"/>
        <w:rPr>
          <w:rFonts w:ascii="Times New Roman" w:hAnsi="Times New Roman" w:cs="Times New Roman"/>
          <w:sz w:val="26"/>
          <w:szCs w:val="26"/>
        </w:rPr>
      </w:pPr>
      <w:r w:rsidRPr="007D3E03">
        <w:rPr>
          <w:rFonts w:ascii="Times New Roman" w:hAnsi="Times New Roman" w:cs="Times New Roman"/>
          <w:sz w:val="26"/>
          <w:szCs w:val="26"/>
        </w:rPr>
        <w:t>Tehnoloģiju tiesību sākumcenas noteikšana</w:t>
      </w:r>
      <w:r>
        <w:rPr>
          <w:rFonts w:ascii="Times New Roman" w:hAnsi="Times New Roman" w:cs="Times New Roman"/>
          <w:sz w:val="26"/>
          <w:szCs w:val="26"/>
        </w:rPr>
        <w:t>i var izmantot šādas metodes vai to kombinācijas</w:t>
      </w:r>
      <w:r w:rsidR="00CC41E2">
        <w:rPr>
          <w:rStyle w:val="FootnoteReference"/>
          <w:rFonts w:ascii="Times New Roman" w:hAnsi="Times New Roman" w:cs="Times New Roman"/>
          <w:sz w:val="26"/>
          <w:szCs w:val="26"/>
        </w:rPr>
        <w:footnoteReference w:id="7"/>
      </w:r>
      <w:r w:rsidR="004462AD">
        <w:rPr>
          <w:rFonts w:ascii="Times New Roman" w:hAnsi="Times New Roman" w:cs="Times New Roman"/>
          <w:sz w:val="26"/>
          <w:szCs w:val="26"/>
        </w:rPr>
        <w:t>:</w:t>
      </w:r>
    </w:p>
    <w:p w:rsidR="002465E6" w:rsidRDefault="002465E6" w:rsidP="002465E6">
      <w:pPr>
        <w:pStyle w:val="Heading3"/>
      </w:pPr>
      <w:r w:rsidRPr="002465E6">
        <w:t>izmaksu metode (</w:t>
      </w:r>
      <w:r w:rsidRPr="002465E6">
        <w:rPr>
          <w:i/>
        </w:rPr>
        <w:t>cost method</w:t>
      </w:r>
      <w:r w:rsidRPr="002465E6">
        <w:t xml:space="preserve">). </w:t>
      </w:r>
    </w:p>
    <w:p w:rsidR="002465E6" w:rsidRPr="002465E6" w:rsidRDefault="002465E6" w:rsidP="002465E6">
      <w:pPr>
        <w:spacing w:before="120" w:after="120" w:line="240" w:lineRule="auto"/>
        <w:ind w:left="360"/>
        <w:jc w:val="both"/>
        <w:rPr>
          <w:rFonts w:ascii="Times New Roman" w:hAnsi="Times New Roman" w:cs="Times New Roman"/>
          <w:sz w:val="26"/>
          <w:szCs w:val="26"/>
        </w:rPr>
      </w:pPr>
      <w:r w:rsidRPr="002465E6">
        <w:rPr>
          <w:rFonts w:ascii="Times New Roman" w:hAnsi="Times New Roman" w:cs="Times New Roman"/>
          <w:sz w:val="26"/>
          <w:szCs w:val="26"/>
        </w:rPr>
        <w:t>Izmaksu metodes gadījumā var izmantot šādu informāciju:</w:t>
      </w:r>
    </w:p>
    <w:p w:rsidR="002465E6" w:rsidRPr="00596E1D" w:rsidRDefault="002465E6" w:rsidP="002465E6">
      <w:pPr>
        <w:pStyle w:val="ListParagraph"/>
        <w:numPr>
          <w:ilvl w:val="2"/>
          <w:numId w:val="2"/>
        </w:numPr>
        <w:spacing w:before="120" w:after="120" w:line="240" w:lineRule="auto"/>
        <w:jc w:val="both"/>
        <w:rPr>
          <w:rFonts w:ascii="Times New Roman" w:hAnsi="Times New Roman" w:cs="Times New Roman"/>
          <w:sz w:val="26"/>
          <w:szCs w:val="26"/>
        </w:rPr>
      </w:pPr>
      <w:r w:rsidRPr="00596E1D">
        <w:rPr>
          <w:rFonts w:ascii="Times New Roman" w:hAnsi="Times New Roman" w:cs="Times New Roman"/>
          <w:sz w:val="26"/>
          <w:szCs w:val="26"/>
        </w:rPr>
        <w:t>izmaksu apmērs, kas patērēts, iegūstot konkrētās tehnoloģiju tiesības;</w:t>
      </w:r>
    </w:p>
    <w:p w:rsidR="002465E6" w:rsidRPr="00596E1D" w:rsidRDefault="002465E6" w:rsidP="002465E6">
      <w:pPr>
        <w:pStyle w:val="ListParagraph"/>
        <w:numPr>
          <w:ilvl w:val="2"/>
          <w:numId w:val="2"/>
        </w:numPr>
        <w:spacing w:before="120" w:after="120" w:line="240" w:lineRule="auto"/>
        <w:jc w:val="both"/>
        <w:rPr>
          <w:rFonts w:ascii="Times New Roman" w:hAnsi="Times New Roman" w:cs="Times New Roman"/>
          <w:sz w:val="26"/>
          <w:szCs w:val="26"/>
        </w:rPr>
      </w:pPr>
      <w:r w:rsidRPr="00596E1D">
        <w:rPr>
          <w:rFonts w:ascii="Times New Roman" w:hAnsi="Times New Roman" w:cs="Times New Roman"/>
          <w:sz w:val="26"/>
          <w:szCs w:val="26"/>
        </w:rPr>
        <w:t>aprēķini, kas pamato, kādi ieguldījumi būtu nepieciešami līdzīga risinājuma izstrādē. Izmaksu metodi var izmantot gadījumos, kad tehnoloģija ir agrīnā attīstības stadijā un ir iespējams objektīvi noteikt faktiskās izmaksas. Izmaksu metode ir vienkārša, taču tā neatspoguļo nākotnes iespējamos ienākumus Tomēr aprēķinus, kas veikti, piemērojot minēto metodi, var izmantot pārrunās, lai pamatotu pieprasīto kompensāciju par nodotajām tehnoloģiju tiesībām;</w:t>
      </w:r>
    </w:p>
    <w:p w:rsidR="002465E6" w:rsidRDefault="002465E6" w:rsidP="002465E6">
      <w:pPr>
        <w:pStyle w:val="Heading3"/>
        <w:rPr>
          <w:rFonts w:ascii="Times New Roman" w:hAnsi="Times New Roman" w:cs="Times New Roman"/>
          <w:sz w:val="26"/>
          <w:szCs w:val="26"/>
        </w:rPr>
      </w:pPr>
      <w:r w:rsidRPr="002465E6">
        <w:rPr>
          <w:rFonts w:ascii="Times New Roman" w:hAnsi="Times New Roman" w:cs="Times New Roman"/>
          <w:sz w:val="26"/>
          <w:szCs w:val="26"/>
        </w:rPr>
        <w:t>ienākumu metode (</w:t>
      </w:r>
      <w:r w:rsidRPr="002465E6">
        <w:rPr>
          <w:rFonts w:ascii="Times New Roman" w:hAnsi="Times New Roman" w:cs="Times New Roman"/>
          <w:i/>
          <w:sz w:val="26"/>
          <w:szCs w:val="26"/>
        </w:rPr>
        <w:t>income method</w:t>
      </w:r>
      <w:r w:rsidRPr="002465E6">
        <w:rPr>
          <w:rFonts w:ascii="Times New Roman" w:hAnsi="Times New Roman" w:cs="Times New Roman"/>
          <w:sz w:val="26"/>
          <w:szCs w:val="26"/>
        </w:rPr>
        <w:t xml:space="preserve">). </w:t>
      </w:r>
    </w:p>
    <w:p w:rsidR="002465E6" w:rsidRPr="002465E6" w:rsidRDefault="002465E6" w:rsidP="002465E6">
      <w:pPr>
        <w:spacing w:before="120" w:after="120" w:line="240" w:lineRule="auto"/>
        <w:ind w:left="360"/>
        <w:jc w:val="both"/>
        <w:rPr>
          <w:rFonts w:ascii="Times New Roman" w:hAnsi="Times New Roman" w:cs="Times New Roman"/>
          <w:sz w:val="26"/>
          <w:szCs w:val="26"/>
        </w:rPr>
      </w:pPr>
      <w:r w:rsidRPr="002465E6">
        <w:rPr>
          <w:rFonts w:ascii="Times New Roman" w:hAnsi="Times New Roman" w:cs="Times New Roman"/>
          <w:sz w:val="26"/>
          <w:szCs w:val="26"/>
        </w:rPr>
        <w:t>Ienākumu metodes gadījumā:</w:t>
      </w:r>
    </w:p>
    <w:p w:rsidR="002465E6" w:rsidRPr="00596E1D" w:rsidRDefault="002465E6" w:rsidP="002465E6">
      <w:pPr>
        <w:pStyle w:val="ListParagraph"/>
        <w:numPr>
          <w:ilvl w:val="2"/>
          <w:numId w:val="2"/>
        </w:numPr>
        <w:spacing w:before="120" w:after="120" w:line="240" w:lineRule="auto"/>
        <w:jc w:val="both"/>
        <w:rPr>
          <w:rFonts w:ascii="Times New Roman" w:hAnsi="Times New Roman" w:cs="Times New Roman"/>
          <w:sz w:val="26"/>
          <w:szCs w:val="26"/>
        </w:rPr>
      </w:pPr>
      <w:r w:rsidRPr="00596E1D">
        <w:rPr>
          <w:rFonts w:ascii="Times New Roman" w:hAnsi="Times New Roman" w:cs="Times New Roman"/>
          <w:sz w:val="26"/>
          <w:szCs w:val="26"/>
        </w:rPr>
        <w:t xml:space="preserve"> tiek prognozēti (aprēķināti) potenciālie ienākumi no jauna produkta vai tehnoloģijas ieviešanas;</w:t>
      </w:r>
    </w:p>
    <w:p w:rsidR="002465E6" w:rsidRPr="00596E1D" w:rsidRDefault="002465E6" w:rsidP="002465E6">
      <w:pPr>
        <w:pStyle w:val="ListParagraph"/>
        <w:numPr>
          <w:ilvl w:val="2"/>
          <w:numId w:val="2"/>
        </w:numPr>
        <w:spacing w:before="120" w:after="120" w:line="240" w:lineRule="auto"/>
        <w:jc w:val="both"/>
        <w:rPr>
          <w:rFonts w:ascii="Times New Roman" w:hAnsi="Times New Roman" w:cs="Times New Roman"/>
          <w:sz w:val="26"/>
          <w:szCs w:val="26"/>
        </w:rPr>
      </w:pPr>
      <w:r w:rsidRPr="00596E1D">
        <w:rPr>
          <w:rFonts w:ascii="Times New Roman" w:hAnsi="Times New Roman" w:cs="Times New Roman"/>
          <w:sz w:val="26"/>
          <w:szCs w:val="26"/>
        </w:rPr>
        <w:t>pamatojoties uz minētajiem aprēķiniem, vienojas par to, kādu atlīdzību saņems pētniecības organizācija</w:t>
      </w:r>
      <w:r>
        <w:rPr>
          <w:rFonts w:ascii="Times New Roman" w:hAnsi="Times New Roman" w:cs="Times New Roman"/>
          <w:sz w:val="26"/>
          <w:szCs w:val="26"/>
        </w:rPr>
        <w:t xml:space="preserve"> (skat. skaidrojuma pielikumu „</w:t>
      </w:r>
      <w:r w:rsidRPr="00D91588">
        <w:rPr>
          <w:rFonts w:ascii="Times New Roman" w:hAnsi="Times New Roman" w:cs="Times New Roman"/>
          <w:sz w:val="26"/>
          <w:szCs w:val="26"/>
        </w:rPr>
        <w:t>Matrica tehnoloģiju tiesību vērtības noteikšanai, izmantojot ieņēmumu metodi</w:t>
      </w:r>
      <w:r>
        <w:rPr>
          <w:rFonts w:ascii="Times New Roman" w:hAnsi="Times New Roman" w:cs="Times New Roman"/>
          <w:sz w:val="26"/>
          <w:szCs w:val="26"/>
        </w:rPr>
        <w:t>”)</w:t>
      </w:r>
      <w:r w:rsidRPr="00596E1D">
        <w:rPr>
          <w:rFonts w:ascii="Times New Roman" w:hAnsi="Times New Roman" w:cs="Times New Roman"/>
          <w:sz w:val="26"/>
          <w:szCs w:val="26"/>
        </w:rPr>
        <w:t>;</w:t>
      </w:r>
    </w:p>
    <w:p w:rsidR="002465E6" w:rsidRDefault="002465E6" w:rsidP="002465E6">
      <w:pPr>
        <w:pStyle w:val="Heading3"/>
      </w:pPr>
      <w:r w:rsidRPr="002465E6">
        <w:lastRenderedPageBreak/>
        <w:t>tirgus metode (</w:t>
      </w:r>
      <w:r w:rsidRPr="002465E6">
        <w:rPr>
          <w:i/>
        </w:rPr>
        <w:t>market method</w:t>
      </w:r>
      <w:r w:rsidRPr="002465E6">
        <w:t xml:space="preserve">). </w:t>
      </w:r>
    </w:p>
    <w:p w:rsidR="002465E6" w:rsidRPr="002465E6" w:rsidRDefault="002465E6" w:rsidP="002465E6">
      <w:pPr>
        <w:spacing w:before="120" w:after="120" w:line="240" w:lineRule="auto"/>
        <w:ind w:left="360"/>
        <w:jc w:val="both"/>
        <w:rPr>
          <w:rFonts w:ascii="Times New Roman" w:hAnsi="Times New Roman" w:cs="Times New Roman"/>
          <w:sz w:val="26"/>
          <w:szCs w:val="26"/>
        </w:rPr>
      </w:pPr>
      <w:r w:rsidRPr="002465E6">
        <w:rPr>
          <w:rFonts w:ascii="Times New Roman" w:hAnsi="Times New Roman" w:cs="Times New Roman"/>
          <w:sz w:val="26"/>
          <w:szCs w:val="26"/>
        </w:rPr>
        <w:t>Tirgus metodes gadījumā izmanto tirgus datus par līdzīgiem darījumiem, informāciju par tipisko procentmaksājumu apmēru konkrētās tautsaimniecības nozarēs u.c. Jāņem vērā, ka pētījums var būt unikāls, līdz ar var būt situācija, konkrētām tehnoloģiju tiesībām tirgus cena nav nosakāma;</w:t>
      </w:r>
    </w:p>
    <w:p w:rsidR="002465E6" w:rsidRPr="002465E6" w:rsidRDefault="002465E6" w:rsidP="002465E6">
      <w:pPr>
        <w:pStyle w:val="Heading3"/>
      </w:pPr>
      <w:r w:rsidRPr="002465E6">
        <w:t>neatkarīga eksperta piesaiste.</w:t>
      </w:r>
    </w:p>
    <w:p w:rsidR="00523553" w:rsidRPr="00523553" w:rsidRDefault="00523553" w:rsidP="00523553">
      <w:pPr>
        <w:spacing w:before="120" w:after="120" w:line="240" w:lineRule="auto"/>
        <w:jc w:val="both"/>
        <w:rPr>
          <w:rFonts w:ascii="Times New Roman" w:hAnsi="Times New Roman" w:cs="Times New Roman"/>
          <w:sz w:val="24"/>
          <w:szCs w:val="24"/>
        </w:rPr>
      </w:pPr>
    </w:p>
    <w:p w:rsidR="00523553" w:rsidRPr="00523553" w:rsidRDefault="00897C3C" w:rsidP="00523553">
      <w:pPr>
        <w:spacing w:before="120" w:after="120" w:line="240" w:lineRule="auto"/>
        <w:jc w:val="both"/>
        <w:rPr>
          <w:rFonts w:ascii="Times New Roman" w:hAnsi="Times New Roman" w:cs="Times New Roman"/>
          <w:sz w:val="24"/>
          <w:szCs w:val="24"/>
        </w:rPr>
      </w:pPr>
      <w:r>
        <w:rPr>
          <w:rFonts w:ascii="Times New Roman" w:hAnsi="Times New Roman" w:cs="Times New Roman"/>
          <w:noProof/>
          <w:sz w:val="24"/>
          <w:szCs w:val="24"/>
          <w:lang w:eastAsia="lv-LV"/>
        </w:rPr>
        <mc:AlternateContent>
          <mc:Choice Requires="wps">
            <w:drawing>
              <wp:anchor distT="0" distB="0" distL="114300" distR="114300" simplePos="0" relativeHeight="251660288" behindDoc="0" locked="0" layoutInCell="1" allowOverlap="1" wp14:anchorId="18C2A7C3" wp14:editId="7EAAA626">
                <wp:simplePos x="0" y="0"/>
                <wp:positionH relativeFrom="column">
                  <wp:posOffset>5425440</wp:posOffset>
                </wp:positionH>
                <wp:positionV relativeFrom="paragraph">
                  <wp:posOffset>2026285</wp:posOffset>
                </wp:positionV>
                <wp:extent cx="0" cy="695325"/>
                <wp:effectExtent l="0" t="0" r="19050" b="28575"/>
                <wp:wrapNone/>
                <wp:docPr id="28" name="Straight Connector 28"/>
                <wp:cNvGraphicFramePr/>
                <a:graphic xmlns:a="http://schemas.openxmlformats.org/drawingml/2006/main">
                  <a:graphicData uri="http://schemas.microsoft.com/office/word/2010/wordprocessingShape">
                    <wps:wsp>
                      <wps:cNvCnPr/>
                      <wps:spPr>
                        <a:xfrm>
                          <a:off x="0" y="0"/>
                          <a:ext cx="0" cy="6953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4EEB67" id="Straight Connector 2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7.2pt,159.55pt" to="427.2pt,2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" strokecolor="black [3200]" strokeweight=".5pt">
                <v:stroke joinstyle="miter"/>
              </v:line>
            </w:pict>
          </mc:Fallback>
        </mc:AlternateContent>
      </w:r>
      <w:r>
        <w:rPr>
          <w:rFonts w:ascii="Times New Roman" w:hAnsi="Times New Roman" w:cs="Times New Roman"/>
          <w:noProof/>
          <w:sz w:val="24"/>
          <w:szCs w:val="24"/>
          <w:lang w:eastAsia="lv-LV"/>
        </w:rPr>
        <mc:AlternateContent>
          <mc:Choice Requires="wps">
            <w:drawing>
              <wp:anchor distT="0" distB="0" distL="114300" distR="114300" simplePos="0" relativeHeight="251661312" behindDoc="0" locked="0" layoutInCell="1" allowOverlap="1" wp14:anchorId="0343DED5" wp14:editId="5DC83C3D">
                <wp:simplePos x="0" y="0"/>
                <wp:positionH relativeFrom="column">
                  <wp:posOffset>5139690</wp:posOffset>
                </wp:positionH>
                <wp:positionV relativeFrom="paragraph">
                  <wp:posOffset>2721611</wp:posOffset>
                </wp:positionV>
                <wp:extent cx="285750" cy="0"/>
                <wp:effectExtent l="0" t="0" r="19050" b="19050"/>
                <wp:wrapNone/>
                <wp:docPr id="29" name="Straight Connector 29"/>
                <wp:cNvGraphicFramePr/>
                <a:graphic xmlns:a="http://schemas.openxmlformats.org/drawingml/2006/main">
                  <a:graphicData uri="http://schemas.microsoft.com/office/word/2010/wordprocessingShape">
                    <wps:wsp>
                      <wps:cNvCnPr/>
                      <wps:spPr>
                        <a:xfrm>
                          <a:off x="0" y="0"/>
                          <a:ext cx="2857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37D3566" id="Straight Connector 29"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04.7pt,214.3pt" to="427.2pt,2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" strokecolor="#5b9bd5 [3204]" strokeweight=".5pt">
                <v:stroke joinstyle="miter"/>
              </v:line>
            </w:pict>
          </mc:Fallback>
        </mc:AlternateContent>
      </w:r>
      <w:r>
        <w:rPr>
          <w:rFonts w:ascii="Times New Roman" w:hAnsi="Times New Roman" w:cs="Times New Roman"/>
          <w:noProof/>
          <w:sz w:val="24"/>
          <w:szCs w:val="24"/>
          <w:lang w:eastAsia="lv-LV"/>
        </w:rPr>
        <mc:AlternateContent>
          <mc:Choice Requires="wps">
            <w:drawing>
              <wp:anchor distT="0" distB="0" distL="114300" distR="114300" simplePos="0" relativeHeight="251659264" behindDoc="0" locked="0" layoutInCell="1" allowOverlap="1">
                <wp:simplePos x="0" y="0"/>
                <wp:positionH relativeFrom="column">
                  <wp:posOffset>2777490</wp:posOffset>
                </wp:positionH>
                <wp:positionV relativeFrom="paragraph">
                  <wp:posOffset>2026285</wp:posOffset>
                </wp:positionV>
                <wp:extent cx="0" cy="304800"/>
                <wp:effectExtent l="0" t="0" r="19050" b="19050"/>
                <wp:wrapNone/>
                <wp:docPr id="27" name="Straight Connector 27"/>
                <wp:cNvGraphicFramePr/>
                <a:graphic xmlns:a="http://schemas.openxmlformats.org/drawingml/2006/main">
                  <a:graphicData uri="http://schemas.microsoft.com/office/word/2010/wordprocessingShape">
                    <wps:wsp>
                      <wps:cNvCnPr/>
                      <wps:spPr>
                        <a:xfrm>
                          <a:off x="0" y="0"/>
                          <a:ext cx="0" cy="3048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0D1AB31" id="Straight Connector 27"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8.7pt,159.55pt" to="218.7pt,18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" strokecolor="black [3200]" strokeweight=".5pt">
                <v:stroke joinstyle="miter"/>
              </v:line>
            </w:pict>
          </mc:Fallback>
        </mc:AlternateContent>
      </w:r>
      <w:r w:rsidR="00523553">
        <w:rPr>
          <w:rFonts w:ascii="Times New Roman" w:hAnsi="Times New Roman" w:cs="Times New Roman"/>
          <w:noProof/>
          <w:sz w:val="24"/>
          <w:szCs w:val="24"/>
          <w:lang w:eastAsia="lv-LV"/>
        </w:rPr>
        <w:drawing>
          <wp:inline distT="0" distB="0" distL="0" distR="0">
            <wp:extent cx="5486400" cy="3200400"/>
            <wp:effectExtent l="38100" t="0" r="57150" b="0"/>
            <wp:docPr id="25" name="Diagram 2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523553" w:rsidRPr="00897C3C" w:rsidRDefault="00897C3C" w:rsidP="00897C3C">
      <w:pPr>
        <w:pStyle w:val="ListParagraph"/>
        <w:numPr>
          <w:ilvl w:val="0"/>
          <w:numId w:val="23"/>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attēls. Tehnoloģiju tiesību komercializācijas organizēšana un sākumcenas noteikšanas metodes</w:t>
      </w:r>
    </w:p>
    <w:p w:rsidR="00523553" w:rsidRPr="00523553" w:rsidRDefault="00523553" w:rsidP="00523553">
      <w:pPr>
        <w:spacing w:after="240" w:line="240" w:lineRule="auto"/>
        <w:jc w:val="center"/>
        <w:rPr>
          <w:rFonts w:ascii="Times New Roman" w:eastAsia="Times New Roman" w:hAnsi="Times New Roman" w:cs="Times New Roman"/>
          <w:bCs/>
          <w:noProof/>
          <w:sz w:val="24"/>
          <w:szCs w:val="24"/>
          <w:lang w:eastAsia="lv-LV"/>
        </w:rPr>
      </w:pPr>
    </w:p>
    <w:p w:rsidR="002465E6" w:rsidRDefault="00B54C0A" w:rsidP="004758FC">
      <w:pPr>
        <w:spacing w:before="120" w:after="120" w:line="240" w:lineRule="auto"/>
        <w:jc w:val="both"/>
        <w:rPr>
          <w:rFonts w:ascii="Times New Roman" w:hAnsi="Times New Roman" w:cs="Times New Roman"/>
          <w:sz w:val="24"/>
          <w:szCs w:val="24"/>
        </w:rPr>
      </w:pPr>
      <w:r w:rsidRPr="00B54C0A">
        <w:rPr>
          <w:rFonts w:ascii="Times New Roman" w:hAnsi="Times New Roman" w:cs="Times New Roman"/>
          <w:noProof/>
          <w:sz w:val="24"/>
          <w:szCs w:val="24"/>
          <w:lang w:eastAsia="lv-LV"/>
        </w:rPr>
        <w:drawing>
          <wp:inline distT="0" distB="0" distL="0" distR="0" wp14:anchorId="26BF330E" wp14:editId="79D213AC">
            <wp:extent cx="5760085" cy="2533650"/>
            <wp:effectExtent l="38100" t="57150" r="50165" b="3810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B54C0A" w:rsidRPr="004758FC" w:rsidRDefault="00B54C0A" w:rsidP="00B54C0A">
      <w:pPr>
        <w:pStyle w:val="ListParagraph"/>
        <w:numPr>
          <w:ilvl w:val="0"/>
          <w:numId w:val="23"/>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attēls. Tehnoloģiju tiesību komercializācija pētniecības organizācijas dibinātam jaundibinātam </w:t>
      </w:r>
    </w:p>
    <w:sectPr w:rsidR="00B54C0A" w:rsidRPr="004758FC" w:rsidSect="007E65DB">
      <w:headerReference w:type="default" r:id="rId18"/>
      <w:pgSz w:w="11906" w:h="16838"/>
      <w:pgMar w:top="1440" w:right="1134" w:bottom="144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53E0" w:rsidRDefault="00A553E0" w:rsidP="0050592F">
      <w:pPr>
        <w:spacing w:after="0" w:line="240" w:lineRule="auto"/>
      </w:pPr>
      <w:r>
        <w:separator/>
      </w:r>
    </w:p>
  </w:endnote>
  <w:endnote w:type="continuationSeparator" w:id="0">
    <w:p w:rsidR="00A553E0" w:rsidRDefault="00A553E0" w:rsidP="005059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53E0" w:rsidRDefault="00A553E0" w:rsidP="0050592F">
      <w:pPr>
        <w:spacing w:after="0" w:line="240" w:lineRule="auto"/>
      </w:pPr>
      <w:r>
        <w:separator/>
      </w:r>
    </w:p>
  </w:footnote>
  <w:footnote w:type="continuationSeparator" w:id="0">
    <w:p w:rsidR="00A553E0" w:rsidRDefault="00A553E0" w:rsidP="0050592F">
      <w:pPr>
        <w:spacing w:after="0" w:line="240" w:lineRule="auto"/>
      </w:pPr>
      <w:r>
        <w:continuationSeparator/>
      </w:r>
    </w:p>
  </w:footnote>
  <w:footnote w:id="1">
    <w:p w:rsidR="00AC0A34" w:rsidRPr="00AC0A34" w:rsidRDefault="00AC0A34">
      <w:pPr>
        <w:pStyle w:val="FootnoteText"/>
        <w:rPr>
          <w:rFonts w:ascii="Times New Roman" w:hAnsi="Times New Roman" w:cs="Times New Roman"/>
        </w:rPr>
      </w:pPr>
      <w:r>
        <w:rPr>
          <w:rStyle w:val="FootnoteReference"/>
        </w:rPr>
        <w:footnoteRef/>
      </w:r>
      <w:r>
        <w:t xml:space="preserve"> </w:t>
      </w:r>
      <w:hyperlink r:id="rId1" w:history="1">
        <w:r>
          <w:rPr>
            <w:rStyle w:val="Hyperlink"/>
          </w:rPr>
          <w:t>https://likumi.lv/ta/id/68490-publiskas-personas-mantas-atsavinasanas-likums</w:t>
        </w:r>
      </w:hyperlink>
    </w:p>
  </w:footnote>
  <w:footnote w:id="2">
    <w:p w:rsidR="00B53ABA" w:rsidRPr="00AE7C00" w:rsidRDefault="00B53ABA" w:rsidP="00B53ABA">
      <w:pPr>
        <w:pStyle w:val="FootnoteText"/>
      </w:pPr>
      <w:r>
        <w:rPr>
          <w:rStyle w:val="FootnoteReference"/>
        </w:rPr>
        <w:footnoteRef/>
      </w:r>
      <w:r>
        <w:t xml:space="preserve"> </w:t>
      </w:r>
      <w:r w:rsidRPr="00B53ABA">
        <w:rPr>
          <w:rFonts w:ascii="Times New Roman" w:hAnsi="Times New Roman" w:cs="Times New Roman"/>
        </w:rPr>
        <w:t>Pasaules Intelektuālā īpašuma organizācija, Starptautiskās tirdzniecības centrs (2005) “Exchanging Value – Negotiating Technology Licenses, A Training Manual”</w:t>
      </w:r>
      <w:r>
        <w:t xml:space="preserve"> </w:t>
      </w:r>
    </w:p>
  </w:footnote>
  <w:footnote w:id="3">
    <w:p w:rsidR="00596E1D" w:rsidRDefault="00596E1D" w:rsidP="00596E1D">
      <w:pPr>
        <w:pStyle w:val="FootnoteText"/>
      </w:pPr>
      <w:r>
        <w:rPr>
          <w:rStyle w:val="FootnoteReference"/>
        </w:rPr>
        <w:footnoteRef/>
      </w:r>
      <w:r>
        <w:t xml:space="preserve"> </w:t>
      </w:r>
      <w:r w:rsidRPr="00F34BA1">
        <w:rPr>
          <w:rFonts w:ascii="Times New Roman" w:hAnsi="Times New Roman" w:cs="Times New Roman"/>
        </w:rPr>
        <w:t>Patentpilnvarnieku saraksts</w:t>
      </w:r>
      <w:r>
        <w:t xml:space="preserve">: </w:t>
      </w:r>
      <w:hyperlink r:id="rId2" w:history="1">
        <w:r>
          <w:rPr>
            <w:rStyle w:val="Hyperlink"/>
          </w:rPr>
          <w:t>https://www.lrpv.gov.lv/lv/node/6556</w:t>
        </w:r>
      </w:hyperlink>
    </w:p>
  </w:footnote>
  <w:footnote w:id="4">
    <w:p w:rsidR="00596E1D" w:rsidRDefault="00596E1D" w:rsidP="00596E1D">
      <w:pPr>
        <w:pStyle w:val="FootnoteText"/>
        <w:jc w:val="both"/>
      </w:pPr>
      <w:r>
        <w:rPr>
          <w:rStyle w:val="FootnoteReference"/>
        </w:rPr>
        <w:footnoteRef/>
      </w:r>
      <w:hyperlink r:id="rId3" w:history="1">
        <w:r w:rsidRPr="00D66DE6">
          <w:rPr>
            <w:rStyle w:val="Hyperlink"/>
            <w:rFonts w:ascii="Times New Roman" w:hAnsi="Times New Roman" w:cs="Times New Roman"/>
          </w:rPr>
          <w:t>https://www.ur.gov.lv/lv/specializeta-informacija/registre-mantiska-ieguldijuma-vertetaju/mantiska-ieguldijuma-vertetaju-saraksts/</w:t>
        </w:r>
      </w:hyperlink>
    </w:p>
  </w:footnote>
  <w:footnote w:id="5">
    <w:p w:rsidR="00990B71" w:rsidRDefault="00990B71">
      <w:pPr>
        <w:pStyle w:val="FootnoteText"/>
      </w:pPr>
      <w:r>
        <w:rPr>
          <w:rStyle w:val="FootnoteReference"/>
        </w:rPr>
        <w:footnoteRef/>
      </w:r>
      <w:r>
        <w:t xml:space="preserve"> </w:t>
      </w:r>
      <w:r w:rsidRPr="00990B71">
        <w:rPr>
          <w:rFonts w:ascii="Times New Roman" w:hAnsi="Times New Roman" w:cs="Times New Roman"/>
        </w:rPr>
        <w:t>tai skaitā finansējums, par kuru nav saņemts nekāds valsts vai pašvaldības galvojums, vai valsts vai pašvaldības kredīts uz atvieglotiem nosacījumiem</w:t>
      </w:r>
    </w:p>
  </w:footnote>
  <w:footnote w:id="6">
    <w:p w:rsidR="00990B71" w:rsidRDefault="00990B71" w:rsidP="00990B71">
      <w:pPr>
        <w:pStyle w:val="FootnoteText"/>
        <w:jc w:val="both"/>
      </w:pPr>
      <w:r>
        <w:rPr>
          <w:rStyle w:val="FootnoteReference"/>
        </w:rPr>
        <w:footnoteRef/>
      </w:r>
      <w:r>
        <w:t xml:space="preserve"> </w:t>
      </w:r>
      <w:r w:rsidRPr="00990B71">
        <w:rPr>
          <w:rFonts w:ascii="Times New Roman" w:hAnsi="Times New Roman" w:cs="Times New Roman"/>
        </w:rPr>
        <w:t>Ievēro ievērojot MK N 34 noteikumu </w:t>
      </w:r>
      <w:hyperlink r:id="rId4" w:anchor="p2.1" w:history="1">
        <w:r w:rsidRPr="00990B71">
          <w:rPr>
            <w:rFonts w:ascii="Times New Roman" w:hAnsi="Times New Roman" w:cs="Times New Roman"/>
          </w:rPr>
          <w:t>2.1</w:t>
        </w:r>
      </w:hyperlink>
      <w:r w:rsidRPr="00990B71">
        <w:rPr>
          <w:rFonts w:ascii="Times New Roman" w:hAnsi="Times New Roman" w:cs="Times New Roman"/>
        </w:rPr>
        <w:t>. un </w:t>
      </w:r>
      <w:hyperlink r:id="rId5" w:anchor="p2.4" w:history="1">
        <w:r w:rsidRPr="00990B71">
          <w:rPr>
            <w:rFonts w:ascii="Times New Roman" w:hAnsi="Times New Roman" w:cs="Times New Roman"/>
          </w:rPr>
          <w:t>2.4</w:t>
        </w:r>
      </w:hyperlink>
      <w:r w:rsidRPr="00990B71">
        <w:rPr>
          <w:rFonts w:ascii="Times New Roman" w:hAnsi="Times New Roman" w:cs="Times New Roman"/>
        </w:rPr>
        <w:t>.</w:t>
      </w:r>
      <w:hyperlink r:id="rId6" w:anchor="p4" w:history="1">
        <w:r w:rsidRPr="00990B71">
          <w:rPr>
            <w:rFonts w:ascii="Times New Roman" w:hAnsi="Times New Roman" w:cs="Times New Roman"/>
          </w:rPr>
          <w:t>4. </w:t>
        </w:r>
      </w:hyperlink>
      <w:r w:rsidRPr="00990B71">
        <w:rPr>
          <w:rFonts w:ascii="Times New Roman" w:hAnsi="Times New Roman" w:cs="Times New Roman"/>
        </w:rPr>
        <w:t>apakšpunkta un </w:t>
      </w:r>
      <w:hyperlink r:id="rId7" w:anchor="p50.2" w:history="1">
        <w:r w:rsidRPr="00990B71">
          <w:rPr>
            <w:rFonts w:ascii="Times New Roman" w:hAnsi="Times New Roman" w:cs="Times New Roman"/>
          </w:rPr>
          <w:t>50.</w:t>
        </w:r>
        <w:r w:rsidRPr="00990B71">
          <w:rPr>
            <w:rFonts w:ascii="Times New Roman" w:hAnsi="Times New Roman" w:cs="Times New Roman"/>
            <w:vertAlign w:val="superscript"/>
          </w:rPr>
          <w:t>2</w:t>
        </w:r>
        <w:r w:rsidRPr="00990B71">
          <w:rPr>
            <w:rFonts w:ascii="Times New Roman" w:hAnsi="Times New Roman" w:cs="Times New Roman"/>
          </w:rPr>
          <w:t> punkta</w:t>
        </w:r>
      </w:hyperlink>
      <w:r w:rsidRPr="00990B71">
        <w:rPr>
          <w:rFonts w:ascii="Times New Roman" w:hAnsi="Times New Roman" w:cs="Times New Roman"/>
        </w:rPr>
        <w:t> nosacījumus</w:t>
      </w:r>
    </w:p>
  </w:footnote>
  <w:footnote w:id="7">
    <w:p w:rsidR="00CC41E2" w:rsidRPr="00CC41E2" w:rsidRDefault="00CC41E2" w:rsidP="00CC41E2">
      <w:pPr>
        <w:pStyle w:val="FootnoteText"/>
        <w:rPr>
          <w:lang w:val="en-US"/>
        </w:rPr>
      </w:pPr>
      <w:r>
        <w:rPr>
          <w:rStyle w:val="FootnoteReference"/>
        </w:rPr>
        <w:footnoteRef/>
      </w:r>
      <w:r>
        <w:t xml:space="preserve"> </w:t>
      </w:r>
      <w:r w:rsidRPr="00CC41E2">
        <w:rPr>
          <w:vertAlign w:val="superscript"/>
          <w:lang w:val="en-US"/>
        </w:rPr>
        <w:t xml:space="preserve">Pasaules Intelektuālā īpašuma organizācija, Starptautiskās tirdzniecības centrs (2005) “Exchanging Value – Negotiating Technology Licenses, A Training Manual” </w:t>
      </w:r>
    </w:p>
    <w:p w:rsidR="00CC41E2" w:rsidRDefault="00CC41E2">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4676659"/>
      <w:docPartObj>
        <w:docPartGallery w:val="Page Numbers (Top of Page)"/>
        <w:docPartUnique/>
      </w:docPartObj>
    </w:sdtPr>
    <w:sdtEndPr>
      <w:rPr>
        <w:noProof/>
      </w:rPr>
    </w:sdtEndPr>
    <w:sdtContent>
      <w:p w:rsidR="00596934" w:rsidRDefault="00596934">
        <w:pPr>
          <w:pStyle w:val="Header"/>
          <w:jc w:val="center"/>
        </w:pPr>
        <w:r>
          <w:fldChar w:fldCharType="begin"/>
        </w:r>
        <w:r>
          <w:instrText xml:space="preserve"> PAGE   \* MERGEFORMAT </w:instrText>
        </w:r>
        <w:r>
          <w:fldChar w:fldCharType="separate"/>
        </w:r>
        <w:r w:rsidR="00CB115B">
          <w:rPr>
            <w:noProof/>
          </w:rPr>
          <w:t>7</w:t>
        </w:r>
        <w:r>
          <w:rPr>
            <w:noProof/>
          </w:rPr>
          <w:fldChar w:fldCharType="end"/>
        </w:r>
      </w:p>
    </w:sdtContent>
  </w:sdt>
  <w:p w:rsidR="00182637" w:rsidRDefault="001826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C49DC"/>
    <w:multiLevelType w:val="hybridMultilevel"/>
    <w:tmpl w:val="2B501858"/>
    <w:lvl w:ilvl="0" w:tplc="FFD07E98">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6E001B7"/>
    <w:multiLevelType w:val="multilevel"/>
    <w:tmpl w:val="720E16AE"/>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22839B0"/>
    <w:multiLevelType w:val="hybridMultilevel"/>
    <w:tmpl w:val="CE147CCA"/>
    <w:lvl w:ilvl="0" w:tplc="0426000F">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5B56290"/>
    <w:multiLevelType w:val="hybridMultilevel"/>
    <w:tmpl w:val="074C5616"/>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4" w15:restartNumberingAfterBreak="0">
    <w:nsid w:val="195C10D1"/>
    <w:multiLevelType w:val="hybridMultilevel"/>
    <w:tmpl w:val="C01EFA34"/>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5" w15:restartNumberingAfterBreak="0">
    <w:nsid w:val="1BB9331B"/>
    <w:multiLevelType w:val="hybridMultilevel"/>
    <w:tmpl w:val="83B6414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7D67BA5"/>
    <w:multiLevelType w:val="multilevel"/>
    <w:tmpl w:val="A84E307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C211DD4"/>
    <w:multiLevelType w:val="multilevel"/>
    <w:tmpl w:val="6F6CE1E6"/>
    <w:lvl w:ilvl="0">
      <w:start w:val="1"/>
      <w:numFmt w:val="decimal"/>
      <w:lvlText w:val="%1."/>
      <w:lvlJc w:val="left"/>
      <w:pPr>
        <w:ind w:left="720" w:hanging="360"/>
      </w:pPr>
    </w:lvl>
    <w:lvl w:ilvl="1">
      <w:start w:val="3"/>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56B05FE"/>
    <w:multiLevelType w:val="hybridMultilevel"/>
    <w:tmpl w:val="FE92BDA0"/>
    <w:lvl w:ilvl="0" w:tplc="D1D8FFD4">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8D92C1F"/>
    <w:multiLevelType w:val="hybridMultilevel"/>
    <w:tmpl w:val="C680BC2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3A202575"/>
    <w:multiLevelType w:val="hybridMultilevel"/>
    <w:tmpl w:val="7A849AF8"/>
    <w:lvl w:ilvl="0" w:tplc="EBC80AB0">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0391AB9"/>
    <w:multiLevelType w:val="hybridMultilevel"/>
    <w:tmpl w:val="8348EC1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09A0F4A"/>
    <w:multiLevelType w:val="hybridMultilevel"/>
    <w:tmpl w:val="5A7E08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95B7504"/>
    <w:multiLevelType w:val="multilevel"/>
    <w:tmpl w:val="720E16AE"/>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A6C506B"/>
    <w:multiLevelType w:val="hybridMultilevel"/>
    <w:tmpl w:val="CC7ADEE0"/>
    <w:lvl w:ilvl="0" w:tplc="0426000D">
      <w:start w:val="1"/>
      <w:numFmt w:val="bullet"/>
      <w:lvlText w:val=""/>
      <w:lvlJc w:val="left"/>
      <w:pPr>
        <w:ind w:left="540" w:hanging="360"/>
      </w:pPr>
      <w:rPr>
        <w:rFonts w:ascii="Wingdings" w:hAnsi="Wingdings" w:hint="default"/>
      </w:rPr>
    </w:lvl>
    <w:lvl w:ilvl="1" w:tplc="04260003">
      <w:start w:val="1"/>
      <w:numFmt w:val="bullet"/>
      <w:lvlText w:val="o"/>
      <w:lvlJc w:val="left"/>
      <w:pPr>
        <w:ind w:left="1533" w:hanging="360"/>
      </w:pPr>
      <w:rPr>
        <w:rFonts w:ascii="Courier New" w:hAnsi="Courier New" w:cs="Courier New" w:hint="default"/>
      </w:rPr>
    </w:lvl>
    <w:lvl w:ilvl="2" w:tplc="04260005">
      <w:start w:val="1"/>
      <w:numFmt w:val="bullet"/>
      <w:lvlText w:val=""/>
      <w:lvlJc w:val="left"/>
      <w:pPr>
        <w:ind w:left="2340" w:hanging="360"/>
      </w:pPr>
      <w:rPr>
        <w:rFonts w:ascii="Wingdings" w:hAnsi="Wingdings" w:hint="default"/>
      </w:rPr>
    </w:lvl>
    <w:lvl w:ilvl="3" w:tplc="04260001" w:tentative="1">
      <w:start w:val="1"/>
      <w:numFmt w:val="bullet"/>
      <w:lvlText w:val=""/>
      <w:lvlJc w:val="left"/>
      <w:pPr>
        <w:ind w:left="3060" w:hanging="360"/>
      </w:pPr>
      <w:rPr>
        <w:rFonts w:ascii="Symbol" w:hAnsi="Symbol" w:hint="default"/>
      </w:rPr>
    </w:lvl>
    <w:lvl w:ilvl="4" w:tplc="04260003" w:tentative="1">
      <w:start w:val="1"/>
      <w:numFmt w:val="bullet"/>
      <w:lvlText w:val="o"/>
      <w:lvlJc w:val="left"/>
      <w:pPr>
        <w:ind w:left="3780" w:hanging="360"/>
      </w:pPr>
      <w:rPr>
        <w:rFonts w:ascii="Courier New" w:hAnsi="Courier New" w:cs="Courier New" w:hint="default"/>
      </w:rPr>
    </w:lvl>
    <w:lvl w:ilvl="5" w:tplc="04260005" w:tentative="1">
      <w:start w:val="1"/>
      <w:numFmt w:val="bullet"/>
      <w:lvlText w:val=""/>
      <w:lvlJc w:val="left"/>
      <w:pPr>
        <w:ind w:left="4500" w:hanging="360"/>
      </w:pPr>
      <w:rPr>
        <w:rFonts w:ascii="Wingdings" w:hAnsi="Wingdings" w:hint="default"/>
      </w:rPr>
    </w:lvl>
    <w:lvl w:ilvl="6" w:tplc="04260001" w:tentative="1">
      <w:start w:val="1"/>
      <w:numFmt w:val="bullet"/>
      <w:lvlText w:val=""/>
      <w:lvlJc w:val="left"/>
      <w:pPr>
        <w:ind w:left="5220" w:hanging="360"/>
      </w:pPr>
      <w:rPr>
        <w:rFonts w:ascii="Symbol" w:hAnsi="Symbol" w:hint="default"/>
      </w:rPr>
    </w:lvl>
    <w:lvl w:ilvl="7" w:tplc="04260003" w:tentative="1">
      <w:start w:val="1"/>
      <w:numFmt w:val="bullet"/>
      <w:lvlText w:val="o"/>
      <w:lvlJc w:val="left"/>
      <w:pPr>
        <w:ind w:left="5940" w:hanging="360"/>
      </w:pPr>
      <w:rPr>
        <w:rFonts w:ascii="Courier New" w:hAnsi="Courier New" w:cs="Courier New" w:hint="default"/>
      </w:rPr>
    </w:lvl>
    <w:lvl w:ilvl="8" w:tplc="04260005" w:tentative="1">
      <w:start w:val="1"/>
      <w:numFmt w:val="bullet"/>
      <w:lvlText w:val=""/>
      <w:lvlJc w:val="left"/>
      <w:pPr>
        <w:ind w:left="6660" w:hanging="360"/>
      </w:pPr>
      <w:rPr>
        <w:rFonts w:ascii="Wingdings" w:hAnsi="Wingdings" w:hint="default"/>
      </w:rPr>
    </w:lvl>
  </w:abstractNum>
  <w:abstractNum w:abstractNumId="15" w15:restartNumberingAfterBreak="0">
    <w:nsid w:val="56E01D6A"/>
    <w:multiLevelType w:val="multilevel"/>
    <w:tmpl w:val="720E16AE"/>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A553DA4"/>
    <w:multiLevelType w:val="hybridMultilevel"/>
    <w:tmpl w:val="BB461708"/>
    <w:lvl w:ilvl="0" w:tplc="4C7ED58A">
      <w:start w:val="4"/>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5C487EE1"/>
    <w:multiLevelType w:val="hybridMultilevel"/>
    <w:tmpl w:val="823C9EBE"/>
    <w:lvl w:ilvl="0" w:tplc="9F6C6E44">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2855F7A"/>
    <w:multiLevelType w:val="multilevel"/>
    <w:tmpl w:val="A84E307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7E16330"/>
    <w:multiLevelType w:val="hybridMultilevel"/>
    <w:tmpl w:val="F41A4DC2"/>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20" w15:restartNumberingAfterBreak="0">
    <w:nsid w:val="682C2FDA"/>
    <w:multiLevelType w:val="multilevel"/>
    <w:tmpl w:val="2DA2F3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7A6B38B9"/>
    <w:multiLevelType w:val="multilevel"/>
    <w:tmpl w:val="836E718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EE90C7D"/>
    <w:multiLevelType w:val="hybridMultilevel"/>
    <w:tmpl w:val="A1E68D0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4"/>
  </w:num>
  <w:num w:numId="2">
    <w:abstractNumId w:val="15"/>
  </w:num>
  <w:num w:numId="3">
    <w:abstractNumId w:val="1"/>
  </w:num>
  <w:num w:numId="4">
    <w:abstractNumId w:val="13"/>
  </w:num>
  <w:num w:numId="5">
    <w:abstractNumId w:val="6"/>
  </w:num>
  <w:num w:numId="6">
    <w:abstractNumId w:val="12"/>
  </w:num>
  <w:num w:numId="7">
    <w:abstractNumId w:val="10"/>
  </w:num>
  <w:num w:numId="8">
    <w:abstractNumId w:val="2"/>
  </w:num>
  <w:num w:numId="9">
    <w:abstractNumId w:val="18"/>
  </w:num>
  <w:num w:numId="10">
    <w:abstractNumId w:val="7"/>
  </w:num>
  <w:num w:numId="11">
    <w:abstractNumId w:val="8"/>
  </w:num>
  <w:num w:numId="12">
    <w:abstractNumId w:val="9"/>
  </w:num>
  <w:num w:numId="13">
    <w:abstractNumId w:val="17"/>
  </w:num>
  <w:num w:numId="14">
    <w:abstractNumId w:val="4"/>
  </w:num>
  <w:num w:numId="15">
    <w:abstractNumId w:val="21"/>
  </w:num>
  <w:num w:numId="16">
    <w:abstractNumId w:val="20"/>
  </w:num>
  <w:num w:numId="17">
    <w:abstractNumId w:val="22"/>
  </w:num>
  <w:num w:numId="18">
    <w:abstractNumId w:val="3"/>
  </w:num>
  <w:num w:numId="19">
    <w:abstractNumId w:val="5"/>
  </w:num>
  <w:num w:numId="20">
    <w:abstractNumId w:val="0"/>
  </w:num>
  <w:num w:numId="21">
    <w:abstractNumId w:val="19"/>
  </w:num>
  <w:num w:numId="22">
    <w:abstractNumId w:val="16"/>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1E3"/>
    <w:rsid w:val="000E0BBC"/>
    <w:rsid w:val="000F118B"/>
    <w:rsid w:val="00130A48"/>
    <w:rsid w:val="00182637"/>
    <w:rsid w:val="00190AC5"/>
    <w:rsid w:val="002465E6"/>
    <w:rsid w:val="0027315A"/>
    <w:rsid w:val="002F6E66"/>
    <w:rsid w:val="00313FD0"/>
    <w:rsid w:val="003248E4"/>
    <w:rsid w:val="003C49DF"/>
    <w:rsid w:val="003F63BE"/>
    <w:rsid w:val="004052A4"/>
    <w:rsid w:val="004462AD"/>
    <w:rsid w:val="004758FC"/>
    <w:rsid w:val="004D196C"/>
    <w:rsid w:val="0050592F"/>
    <w:rsid w:val="00523553"/>
    <w:rsid w:val="00526DFE"/>
    <w:rsid w:val="00534CCB"/>
    <w:rsid w:val="00596934"/>
    <w:rsid w:val="00596E1D"/>
    <w:rsid w:val="005A5CE5"/>
    <w:rsid w:val="005F4C40"/>
    <w:rsid w:val="00684EC9"/>
    <w:rsid w:val="00720B5E"/>
    <w:rsid w:val="007C3BCA"/>
    <w:rsid w:val="007D01E3"/>
    <w:rsid w:val="007D3E03"/>
    <w:rsid w:val="007E65DB"/>
    <w:rsid w:val="007F17F0"/>
    <w:rsid w:val="00802122"/>
    <w:rsid w:val="00887208"/>
    <w:rsid w:val="00897C3C"/>
    <w:rsid w:val="008A0DCF"/>
    <w:rsid w:val="00990B71"/>
    <w:rsid w:val="009C5359"/>
    <w:rsid w:val="009F4F8B"/>
    <w:rsid w:val="00A553E0"/>
    <w:rsid w:val="00A75896"/>
    <w:rsid w:val="00A845B2"/>
    <w:rsid w:val="00AA33A9"/>
    <w:rsid w:val="00AC0A34"/>
    <w:rsid w:val="00B1088D"/>
    <w:rsid w:val="00B53ABA"/>
    <w:rsid w:val="00B54C0A"/>
    <w:rsid w:val="00B56F55"/>
    <w:rsid w:val="00B71BAA"/>
    <w:rsid w:val="00BD2C05"/>
    <w:rsid w:val="00BE4E38"/>
    <w:rsid w:val="00CA17A7"/>
    <w:rsid w:val="00CB115B"/>
    <w:rsid w:val="00CC41E2"/>
    <w:rsid w:val="00D66DE6"/>
    <w:rsid w:val="00D91588"/>
    <w:rsid w:val="00D92683"/>
    <w:rsid w:val="00DA460C"/>
    <w:rsid w:val="00DF07DF"/>
    <w:rsid w:val="00EC4655"/>
    <w:rsid w:val="00F34BA1"/>
    <w:rsid w:val="00F873CF"/>
    <w:rsid w:val="00FB169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A71871-AD0B-4083-8450-1843E58CC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3BC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C3BC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34BA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534CC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C3BCA"/>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7C3BCA"/>
    <w:rPr>
      <w:rFonts w:asciiTheme="majorHAnsi" w:eastAsiaTheme="majorEastAsia" w:hAnsiTheme="majorHAnsi" w:cstheme="majorBidi"/>
      <w:color w:val="2E74B5" w:themeColor="accent1" w:themeShade="BF"/>
      <w:sz w:val="32"/>
      <w:szCs w:val="32"/>
    </w:rPr>
  </w:style>
  <w:style w:type="paragraph" w:customStyle="1" w:styleId="naiskr">
    <w:name w:val="naiskr"/>
    <w:basedOn w:val="Normal"/>
    <w:rsid w:val="00DF07DF"/>
    <w:pPr>
      <w:spacing w:before="75" w:after="75" w:line="240" w:lineRule="auto"/>
    </w:pPr>
    <w:rPr>
      <w:rFonts w:ascii="Times New Roman" w:eastAsia="Times New Roman" w:hAnsi="Times New Roman" w:cs="Times New Roman"/>
      <w:sz w:val="24"/>
      <w:szCs w:val="24"/>
      <w:lang w:eastAsia="lv-LV"/>
    </w:rPr>
  </w:style>
  <w:style w:type="paragraph" w:styleId="ListParagraph">
    <w:name w:val="List Paragraph"/>
    <w:basedOn w:val="Normal"/>
    <w:uiPriority w:val="34"/>
    <w:qFormat/>
    <w:rsid w:val="00DF07DF"/>
    <w:pPr>
      <w:ind w:left="720"/>
      <w:contextualSpacing/>
    </w:pPr>
  </w:style>
  <w:style w:type="paragraph" w:customStyle="1" w:styleId="tv213">
    <w:name w:val="tv213"/>
    <w:basedOn w:val="Normal"/>
    <w:rsid w:val="0027315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FootnoteText">
    <w:name w:val="footnote text"/>
    <w:basedOn w:val="Normal"/>
    <w:link w:val="FootnoteTextChar"/>
    <w:uiPriority w:val="99"/>
    <w:semiHidden/>
    <w:unhideWhenUsed/>
    <w:rsid w:val="0050592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0592F"/>
    <w:rPr>
      <w:sz w:val="20"/>
      <w:szCs w:val="20"/>
    </w:rPr>
  </w:style>
  <w:style w:type="character" w:styleId="FootnoteReference">
    <w:name w:val="footnote reference"/>
    <w:basedOn w:val="DefaultParagraphFont"/>
    <w:uiPriority w:val="99"/>
    <w:semiHidden/>
    <w:unhideWhenUsed/>
    <w:rsid w:val="0050592F"/>
    <w:rPr>
      <w:vertAlign w:val="superscript"/>
    </w:rPr>
  </w:style>
  <w:style w:type="character" w:styleId="Hyperlink">
    <w:name w:val="Hyperlink"/>
    <w:basedOn w:val="DefaultParagraphFont"/>
    <w:uiPriority w:val="99"/>
    <w:semiHidden/>
    <w:unhideWhenUsed/>
    <w:rsid w:val="00AC0A34"/>
    <w:rPr>
      <w:color w:val="0000FF"/>
      <w:u w:val="single"/>
    </w:rPr>
  </w:style>
  <w:style w:type="paragraph" w:styleId="Caption">
    <w:name w:val="caption"/>
    <w:basedOn w:val="Normal"/>
    <w:next w:val="Normal"/>
    <w:uiPriority w:val="35"/>
    <w:semiHidden/>
    <w:unhideWhenUsed/>
    <w:qFormat/>
    <w:rsid w:val="00A845B2"/>
    <w:pPr>
      <w:spacing w:after="200" w:line="240" w:lineRule="auto"/>
    </w:pPr>
    <w:rPr>
      <w:i/>
      <w:iCs/>
      <w:color w:val="44546A" w:themeColor="text2"/>
      <w:sz w:val="18"/>
      <w:szCs w:val="18"/>
    </w:rPr>
  </w:style>
  <w:style w:type="character" w:customStyle="1" w:styleId="Heading3Char">
    <w:name w:val="Heading 3 Char"/>
    <w:basedOn w:val="DefaultParagraphFont"/>
    <w:link w:val="Heading3"/>
    <w:uiPriority w:val="9"/>
    <w:rsid w:val="00F34BA1"/>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130A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0A48"/>
    <w:rPr>
      <w:rFonts w:ascii="Segoe UI" w:hAnsi="Segoe UI" w:cs="Segoe UI"/>
      <w:sz w:val="18"/>
      <w:szCs w:val="18"/>
    </w:rPr>
  </w:style>
  <w:style w:type="paragraph" w:styleId="Header">
    <w:name w:val="header"/>
    <w:basedOn w:val="Normal"/>
    <w:link w:val="HeaderChar"/>
    <w:uiPriority w:val="99"/>
    <w:unhideWhenUsed/>
    <w:rsid w:val="00182637"/>
    <w:pPr>
      <w:tabs>
        <w:tab w:val="center" w:pos="4153"/>
        <w:tab w:val="right" w:pos="8306"/>
      </w:tabs>
      <w:spacing w:after="0" w:line="240" w:lineRule="auto"/>
    </w:pPr>
  </w:style>
  <w:style w:type="character" w:customStyle="1" w:styleId="HeaderChar">
    <w:name w:val="Header Char"/>
    <w:basedOn w:val="DefaultParagraphFont"/>
    <w:link w:val="Header"/>
    <w:uiPriority w:val="99"/>
    <w:rsid w:val="00182637"/>
  </w:style>
  <w:style w:type="paragraph" w:styleId="Footer">
    <w:name w:val="footer"/>
    <w:basedOn w:val="Normal"/>
    <w:link w:val="FooterChar"/>
    <w:uiPriority w:val="99"/>
    <w:unhideWhenUsed/>
    <w:rsid w:val="00182637"/>
    <w:pPr>
      <w:tabs>
        <w:tab w:val="center" w:pos="4153"/>
        <w:tab w:val="right" w:pos="8306"/>
      </w:tabs>
      <w:spacing w:after="0" w:line="240" w:lineRule="auto"/>
    </w:pPr>
  </w:style>
  <w:style w:type="character" w:customStyle="1" w:styleId="FooterChar">
    <w:name w:val="Footer Char"/>
    <w:basedOn w:val="DefaultParagraphFont"/>
    <w:link w:val="Footer"/>
    <w:uiPriority w:val="99"/>
    <w:rsid w:val="00182637"/>
  </w:style>
  <w:style w:type="character" w:customStyle="1" w:styleId="Heading4Char">
    <w:name w:val="Heading 4 Char"/>
    <w:basedOn w:val="DefaultParagraphFont"/>
    <w:link w:val="Heading4"/>
    <w:uiPriority w:val="9"/>
    <w:rsid w:val="00534CCB"/>
    <w:rPr>
      <w:rFonts w:asciiTheme="majorHAnsi" w:eastAsiaTheme="majorEastAsia" w:hAnsiTheme="majorHAnsi" w:cstheme="majorBidi"/>
      <w:i/>
      <w:iCs/>
      <w:color w:val="2E74B5" w:themeColor="accent1" w:themeShade="BF"/>
    </w:rPr>
  </w:style>
  <w:style w:type="paragraph" w:styleId="NormalWeb">
    <w:name w:val="Normal (Web)"/>
    <w:basedOn w:val="Normal"/>
    <w:uiPriority w:val="99"/>
    <w:semiHidden/>
    <w:unhideWhenUsed/>
    <w:rsid w:val="00CC41E2"/>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85011">
      <w:bodyDiv w:val="1"/>
      <w:marLeft w:val="0"/>
      <w:marRight w:val="0"/>
      <w:marTop w:val="0"/>
      <w:marBottom w:val="0"/>
      <w:divBdr>
        <w:top w:val="none" w:sz="0" w:space="0" w:color="auto"/>
        <w:left w:val="none" w:sz="0" w:space="0" w:color="auto"/>
        <w:bottom w:val="none" w:sz="0" w:space="0" w:color="auto"/>
        <w:right w:val="none" w:sz="0" w:space="0" w:color="auto"/>
      </w:divBdr>
    </w:div>
    <w:div w:id="249893216">
      <w:bodyDiv w:val="1"/>
      <w:marLeft w:val="0"/>
      <w:marRight w:val="0"/>
      <w:marTop w:val="0"/>
      <w:marBottom w:val="0"/>
      <w:divBdr>
        <w:top w:val="none" w:sz="0" w:space="0" w:color="auto"/>
        <w:left w:val="none" w:sz="0" w:space="0" w:color="auto"/>
        <w:bottom w:val="none" w:sz="0" w:space="0" w:color="auto"/>
        <w:right w:val="none" w:sz="0" w:space="0" w:color="auto"/>
      </w:divBdr>
      <w:divsChild>
        <w:div w:id="926034377">
          <w:marLeft w:val="547"/>
          <w:marRight w:val="0"/>
          <w:marTop w:val="0"/>
          <w:marBottom w:val="0"/>
          <w:divBdr>
            <w:top w:val="none" w:sz="0" w:space="0" w:color="auto"/>
            <w:left w:val="none" w:sz="0" w:space="0" w:color="auto"/>
            <w:bottom w:val="none" w:sz="0" w:space="0" w:color="auto"/>
            <w:right w:val="none" w:sz="0" w:space="0" w:color="auto"/>
          </w:divBdr>
        </w:div>
      </w:divsChild>
    </w:div>
    <w:div w:id="1368489816">
      <w:bodyDiv w:val="1"/>
      <w:marLeft w:val="0"/>
      <w:marRight w:val="0"/>
      <w:marTop w:val="0"/>
      <w:marBottom w:val="0"/>
      <w:divBdr>
        <w:top w:val="none" w:sz="0" w:space="0" w:color="auto"/>
        <w:left w:val="none" w:sz="0" w:space="0" w:color="auto"/>
        <w:bottom w:val="none" w:sz="0" w:space="0" w:color="auto"/>
        <w:right w:val="none" w:sz="0" w:space="0" w:color="auto"/>
      </w:divBdr>
    </w:div>
    <w:div w:id="1562330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diagramQuickStyle" Target="diagrams/quickStyle2.xml"/><Relationship Id="rId10" Type="http://schemas.openxmlformats.org/officeDocument/2006/relationships/diagramQuickStyle" Target="diagrams/quickStyle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s>
</file>

<file path=word/_rels/footnotes.xml.rels><?xml version="1.0" encoding="UTF-8" standalone="yes"?>
<Relationships xmlns="http://schemas.openxmlformats.org/package/2006/relationships"><Relationship Id="rId3" Type="http://schemas.openxmlformats.org/officeDocument/2006/relationships/hyperlink" Target="https://www.ur.gov.lv/lv/specializeta-informacija/registre-mantiska-ieguldijuma-vertetaju/mantiska-ieguldijuma-vertetaju-saraksts/" TargetMode="External"/><Relationship Id="rId7" Type="http://schemas.openxmlformats.org/officeDocument/2006/relationships/hyperlink" Target="https://likumi.lv/ta/id/279475" TargetMode="External"/><Relationship Id="rId2" Type="http://schemas.openxmlformats.org/officeDocument/2006/relationships/hyperlink" Target="https://www.lrpv.gov.lv/lv/node/6556" TargetMode="External"/><Relationship Id="rId1" Type="http://schemas.openxmlformats.org/officeDocument/2006/relationships/hyperlink" Target="https://likumi.lv/ta/id/68490-publiskas-personas-mantas-atsavinasanas-likums" TargetMode="External"/><Relationship Id="rId6" Type="http://schemas.openxmlformats.org/officeDocument/2006/relationships/hyperlink" Target="https://likumi.lv/ta/id/279475" TargetMode="External"/><Relationship Id="rId5" Type="http://schemas.openxmlformats.org/officeDocument/2006/relationships/hyperlink" Target="https://likumi.lv/ta/id/279475" TargetMode="External"/><Relationship Id="rId4" Type="http://schemas.openxmlformats.org/officeDocument/2006/relationships/hyperlink" Target="https://likumi.lv/ta/id/279475" TargetMode="External"/></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7E65F90-2229-46E7-895D-D54371868F6E}" type="doc">
      <dgm:prSet loTypeId="urn:microsoft.com/office/officeart/2005/8/layout/orgChart1" loCatId="hierarchy" qsTypeId="urn:microsoft.com/office/officeart/2005/8/quickstyle/simple3" qsCatId="simple" csTypeId="urn:microsoft.com/office/officeart/2005/8/colors/accent0_2" csCatId="mainScheme" phldr="1"/>
      <dgm:spPr/>
      <dgm:t>
        <a:bodyPr/>
        <a:lstStyle/>
        <a:p>
          <a:endParaRPr lang="lv-LV"/>
        </a:p>
      </dgm:t>
    </dgm:pt>
    <dgm:pt modelId="{404046F5-7EA5-4DFB-A9C0-ED0C74B2C5EE}">
      <dgm:prSet phldrT="[Text]" custT="1"/>
      <dgm:spPr/>
      <dgm:t>
        <a:bodyPr/>
        <a:lstStyle/>
        <a:p>
          <a:r>
            <a:rPr lang="lv-LV" sz="1400"/>
            <a:t>Publiska izsole</a:t>
          </a:r>
        </a:p>
      </dgm:t>
    </dgm:pt>
    <dgm:pt modelId="{0E97D455-13BA-4513-8FE6-ACB0D9E22F06}" type="parTrans" cxnId="{FB044680-847F-4F65-A393-360C33CE2AF0}">
      <dgm:prSet/>
      <dgm:spPr/>
      <dgm:t>
        <a:bodyPr/>
        <a:lstStyle/>
        <a:p>
          <a:endParaRPr lang="lv-LV" sz="1400"/>
        </a:p>
      </dgm:t>
    </dgm:pt>
    <dgm:pt modelId="{ABFB7669-E807-426D-9CA5-40985FDD6859}" type="sibTrans" cxnId="{FB044680-847F-4F65-A393-360C33CE2AF0}">
      <dgm:prSet/>
      <dgm:spPr/>
      <dgm:t>
        <a:bodyPr/>
        <a:lstStyle/>
        <a:p>
          <a:endParaRPr lang="lv-LV" sz="1400"/>
        </a:p>
      </dgm:t>
    </dgm:pt>
    <dgm:pt modelId="{81A196EC-5EFA-470C-9F19-58DE8724DDC8}">
      <dgm:prSet phldrT="[Text]" custT="1"/>
      <dgm:spPr/>
      <dgm:t>
        <a:bodyPr/>
        <a:lstStyle/>
        <a:p>
          <a:r>
            <a:rPr lang="lv-LV" sz="1400"/>
            <a:t>Sarunu pocedūra</a:t>
          </a:r>
        </a:p>
      </dgm:t>
    </dgm:pt>
    <dgm:pt modelId="{53555C67-0D52-478D-A137-555CE5C40D87}" type="parTrans" cxnId="{6DB74B9D-3AC5-4C23-A0FB-3D215EE90486}">
      <dgm:prSet/>
      <dgm:spPr/>
      <dgm:t>
        <a:bodyPr/>
        <a:lstStyle/>
        <a:p>
          <a:endParaRPr lang="lv-LV" sz="1400"/>
        </a:p>
      </dgm:t>
    </dgm:pt>
    <dgm:pt modelId="{A0016CB8-53C7-46A9-B930-678C6FF45A8F}" type="sibTrans" cxnId="{6DB74B9D-3AC5-4C23-A0FB-3D215EE90486}">
      <dgm:prSet/>
      <dgm:spPr/>
      <dgm:t>
        <a:bodyPr/>
        <a:lstStyle/>
        <a:p>
          <a:endParaRPr lang="lv-LV" sz="1400"/>
        </a:p>
      </dgm:t>
    </dgm:pt>
    <dgm:pt modelId="{962F958C-8014-4B52-A35A-6ABF5F33363E}">
      <dgm:prSet phldrT="[Text]" custT="1"/>
      <dgm:spPr/>
      <dgm:t>
        <a:bodyPr/>
        <a:lstStyle/>
        <a:p>
          <a:r>
            <a:rPr lang="lv-LV" sz="1400"/>
            <a:t>Neatkarīga eksperta vērtējums</a:t>
          </a:r>
        </a:p>
      </dgm:t>
    </dgm:pt>
    <dgm:pt modelId="{BF1E6C74-A2EA-42AE-99C5-92483EA88BAD}" type="parTrans" cxnId="{0CD510C3-97FF-40FA-AAA1-70F911B9D4C1}">
      <dgm:prSet/>
      <dgm:spPr/>
      <dgm:t>
        <a:bodyPr/>
        <a:lstStyle/>
        <a:p>
          <a:endParaRPr lang="lv-LV" sz="1400"/>
        </a:p>
      </dgm:t>
    </dgm:pt>
    <dgm:pt modelId="{4D9BAD77-47FD-4A86-849C-501B71B0037F}" type="sibTrans" cxnId="{0CD510C3-97FF-40FA-AAA1-70F911B9D4C1}">
      <dgm:prSet/>
      <dgm:spPr/>
      <dgm:t>
        <a:bodyPr/>
        <a:lstStyle/>
        <a:p>
          <a:endParaRPr lang="lv-LV" sz="1400"/>
        </a:p>
      </dgm:t>
    </dgm:pt>
    <dgm:pt modelId="{CA0F9B81-29F3-46B7-A939-98492F1BF007}" type="asst">
      <dgm:prSet phldrT="[Text]" custT="1"/>
      <dgm:spPr/>
      <dgm:t>
        <a:bodyPr/>
        <a:lstStyle/>
        <a:p>
          <a:r>
            <a:rPr lang="lv-LV" sz="1400"/>
            <a:t>Tehnoloģiju tiesību komercilizācija</a:t>
          </a:r>
        </a:p>
      </dgm:t>
    </dgm:pt>
    <dgm:pt modelId="{A1747F1A-6DAF-47A4-805E-E673982F6408}" type="parTrans" cxnId="{ED5B751C-A06C-4758-A66C-EB67FC0948A7}">
      <dgm:prSet/>
      <dgm:spPr/>
      <dgm:t>
        <a:bodyPr/>
        <a:lstStyle/>
        <a:p>
          <a:endParaRPr lang="lv-LV" sz="1400"/>
        </a:p>
      </dgm:t>
    </dgm:pt>
    <dgm:pt modelId="{C0641449-7D0E-4C07-8DA4-9D4009F867B5}" type="sibTrans" cxnId="{ED5B751C-A06C-4758-A66C-EB67FC0948A7}">
      <dgm:prSet/>
      <dgm:spPr/>
      <dgm:t>
        <a:bodyPr/>
        <a:lstStyle/>
        <a:p>
          <a:endParaRPr lang="lv-LV" sz="1400"/>
        </a:p>
      </dgm:t>
    </dgm:pt>
    <dgm:pt modelId="{C9F7F0E1-F132-4102-9973-336081215C83}">
      <dgm:prSet phldrT="[Text]" custT="1"/>
      <dgm:spPr/>
      <dgm:t>
        <a:bodyPr/>
        <a:lstStyle/>
        <a:p>
          <a:r>
            <a:rPr lang="lv-LV" sz="1400"/>
            <a:t>Sākumcenas noteikšana: izmaksu vai ieņēmumu metode</a:t>
          </a:r>
        </a:p>
      </dgm:t>
    </dgm:pt>
    <dgm:pt modelId="{69C2A09E-7B7A-4913-8869-D8BE05541954}" type="parTrans" cxnId="{DBC73912-5C3B-4995-9238-51F8E7F58277}">
      <dgm:prSet/>
      <dgm:spPr/>
      <dgm:t>
        <a:bodyPr/>
        <a:lstStyle/>
        <a:p>
          <a:endParaRPr lang="lv-LV" sz="1400"/>
        </a:p>
      </dgm:t>
    </dgm:pt>
    <dgm:pt modelId="{0B1D7986-C158-4E01-8C58-98BB1B2890DE}" type="sibTrans" cxnId="{DBC73912-5C3B-4995-9238-51F8E7F58277}">
      <dgm:prSet/>
      <dgm:spPr/>
      <dgm:t>
        <a:bodyPr/>
        <a:lstStyle/>
        <a:p>
          <a:endParaRPr lang="lv-LV" sz="1400"/>
        </a:p>
      </dgm:t>
    </dgm:pt>
    <dgm:pt modelId="{CA4295A2-E468-4188-9207-613FEB62BD7A}" type="pres">
      <dgm:prSet presAssocID="{37E65F90-2229-46E7-895D-D54371868F6E}" presName="hierChild1" presStyleCnt="0">
        <dgm:presLayoutVars>
          <dgm:orgChart val="1"/>
          <dgm:chPref val="1"/>
          <dgm:dir/>
          <dgm:animOne val="branch"/>
          <dgm:animLvl val="lvl"/>
          <dgm:resizeHandles/>
        </dgm:presLayoutVars>
      </dgm:prSet>
      <dgm:spPr/>
    </dgm:pt>
    <dgm:pt modelId="{CCA8D640-68C3-4298-AB5D-4D250D78EED9}" type="pres">
      <dgm:prSet presAssocID="{CA0F9B81-29F3-46B7-A939-98492F1BF007}" presName="hierRoot1" presStyleCnt="0">
        <dgm:presLayoutVars>
          <dgm:hierBranch val="init"/>
        </dgm:presLayoutVars>
      </dgm:prSet>
      <dgm:spPr/>
    </dgm:pt>
    <dgm:pt modelId="{6B51FA54-FA68-4068-AAF4-65CD788124DF}" type="pres">
      <dgm:prSet presAssocID="{CA0F9B81-29F3-46B7-A939-98492F1BF007}" presName="rootComposite1" presStyleCnt="0"/>
      <dgm:spPr/>
    </dgm:pt>
    <dgm:pt modelId="{A173DD1B-9DAF-4A1B-8D0C-F1DF8B11938C}" type="pres">
      <dgm:prSet presAssocID="{CA0F9B81-29F3-46B7-A939-98492F1BF007}" presName="rootText1" presStyleLbl="node0" presStyleIdx="0" presStyleCnt="1">
        <dgm:presLayoutVars>
          <dgm:chPref val="3"/>
        </dgm:presLayoutVars>
      </dgm:prSet>
      <dgm:spPr/>
    </dgm:pt>
    <dgm:pt modelId="{29F0A6A5-4406-4931-BD42-DE82E8368CE5}" type="pres">
      <dgm:prSet presAssocID="{CA0F9B81-29F3-46B7-A939-98492F1BF007}" presName="rootConnector1" presStyleLbl="asst0" presStyleIdx="0" presStyleCnt="0"/>
      <dgm:spPr/>
    </dgm:pt>
    <dgm:pt modelId="{DC57D377-D72E-4DF3-B2BE-A29B4F16F6AC}" type="pres">
      <dgm:prSet presAssocID="{CA0F9B81-29F3-46B7-A939-98492F1BF007}" presName="hierChild2" presStyleCnt="0"/>
      <dgm:spPr/>
    </dgm:pt>
    <dgm:pt modelId="{97B10143-C587-42FB-BB66-C4FF133C5905}" type="pres">
      <dgm:prSet presAssocID="{0E97D455-13BA-4513-8FE6-ACB0D9E22F06}" presName="Name37" presStyleLbl="parChTrans1D2" presStyleIdx="0" presStyleCnt="3"/>
      <dgm:spPr/>
    </dgm:pt>
    <dgm:pt modelId="{0C9BA254-17A6-4FBD-990C-0E12A77E8F53}" type="pres">
      <dgm:prSet presAssocID="{404046F5-7EA5-4DFB-A9C0-ED0C74B2C5EE}" presName="hierRoot2" presStyleCnt="0">
        <dgm:presLayoutVars>
          <dgm:hierBranch val="init"/>
        </dgm:presLayoutVars>
      </dgm:prSet>
      <dgm:spPr/>
    </dgm:pt>
    <dgm:pt modelId="{5961B5FE-8DF1-4789-BACE-40F94E60D88D}" type="pres">
      <dgm:prSet presAssocID="{404046F5-7EA5-4DFB-A9C0-ED0C74B2C5EE}" presName="rootComposite" presStyleCnt="0"/>
      <dgm:spPr/>
    </dgm:pt>
    <dgm:pt modelId="{930EF68D-82BE-440E-B9D6-4DC4F0CDA45D}" type="pres">
      <dgm:prSet presAssocID="{404046F5-7EA5-4DFB-A9C0-ED0C74B2C5EE}" presName="rootText" presStyleLbl="node2" presStyleIdx="0" presStyleCnt="3">
        <dgm:presLayoutVars>
          <dgm:chPref val="3"/>
        </dgm:presLayoutVars>
      </dgm:prSet>
      <dgm:spPr/>
    </dgm:pt>
    <dgm:pt modelId="{8F840A4C-63F0-4170-B126-D7339DB3FF43}" type="pres">
      <dgm:prSet presAssocID="{404046F5-7EA5-4DFB-A9C0-ED0C74B2C5EE}" presName="rootConnector" presStyleLbl="node2" presStyleIdx="0" presStyleCnt="3"/>
      <dgm:spPr/>
    </dgm:pt>
    <dgm:pt modelId="{86FB6EB0-53CE-4827-A363-912FFF636BC1}" type="pres">
      <dgm:prSet presAssocID="{404046F5-7EA5-4DFB-A9C0-ED0C74B2C5EE}" presName="hierChild4" presStyleCnt="0"/>
      <dgm:spPr/>
    </dgm:pt>
    <dgm:pt modelId="{EAAA7EAD-F4D6-4CCD-BD02-7ED12F4DEFB0}" type="pres">
      <dgm:prSet presAssocID="{69C2A09E-7B7A-4913-8869-D8BE05541954}" presName="Name37" presStyleLbl="parChTrans1D3" presStyleIdx="0" presStyleCnt="1"/>
      <dgm:spPr/>
    </dgm:pt>
    <dgm:pt modelId="{0813E432-37BD-4F56-9970-DDDF8D45A99F}" type="pres">
      <dgm:prSet presAssocID="{C9F7F0E1-F132-4102-9973-336081215C83}" presName="hierRoot2" presStyleCnt="0">
        <dgm:presLayoutVars>
          <dgm:hierBranch val="init"/>
        </dgm:presLayoutVars>
      </dgm:prSet>
      <dgm:spPr/>
    </dgm:pt>
    <dgm:pt modelId="{6D75704F-A006-428A-9466-A75E68262EF8}" type="pres">
      <dgm:prSet presAssocID="{C9F7F0E1-F132-4102-9973-336081215C83}" presName="rootComposite" presStyleCnt="0"/>
      <dgm:spPr/>
    </dgm:pt>
    <dgm:pt modelId="{8AB4D7A4-7ABB-43EE-85B1-5EF3AC6E1A22}" type="pres">
      <dgm:prSet presAssocID="{C9F7F0E1-F132-4102-9973-336081215C83}" presName="rootText" presStyleLbl="node3" presStyleIdx="0" presStyleCnt="1" custScaleX="293139">
        <dgm:presLayoutVars>
          <dgm:chPref val="3"/>
        </dgm:presLayoutVars>
      </dgm:prSet>
      <dgm:spPr/>
    </dgm:pt>
    <dgm:pt modelId="{702A6305-6FFE-4F93-9250-30FA8A1ED5AF}" type="pres">
      <dgm:prSet presAssocID="{C9F7F0E1-F132-4102-9973-336081215C83}" presName="rootConnector" presStyleLbl="node3" presStyleIdx="0" presStyleCnt="1"/>
      <dgm:spPr/>
    </dgm:pt>
    <dgm:pt modelId="{864A1F85-EC13-4057-9CC9-FD7E1777D530}" type="pres">
      <dgm:prSet presAssocID="{C9F7F0E1-F132-4102-9973-336081215C83}" presName="hierChild4" presStyleCnt="0"/>
      <dgm:spPr/>
    </dgm:pt>
    <dgm:pt modelId="{65C45243-DB6A-4234-B9E9-B04BEF4724B3}" type="pres">
      <dgm:prSet presAssocID="{C9F7F0E1-F132-4102-9973-336081215C83}" presName="hierChild5" presStyleCnt="0"/>
      <dgm:spPr/>
    </dgm:pt>
    <dgm:pt modelId="{524F853A-3351-492A-9803-33F36BCB30A2}" type="pres">
      <dgm:prSet presAssocID="{404046F5-7EA5-4DFB-A9C0-ED0C74B2C5EE}" presName="hierChild5" presStyleCnt="0"/>
      <dgm:spPr/>
    </dgm:pt>
    <dgm:pt modelId="{858DCCBB-EA04-4404-9AF1-357132350F06}" type="pres">
      <dgm:prSet presAssocID="{53555C67-0D52-478D-A137-555CE5C40D87}" presName="Name37" presStyleLbl="parChTrans1D2" presStyleIdx="1" presStyleCnt="3"/>
      <dgm:spPr/>
    </dgm:pt>
    <dgm:pt modelId="{7833BACF-06FE-4339-9BA0-7885B5B26F3C}" type="pres">
      <dgm:prSet presAssocID="{81A196EC-5EFA-470C-9F19-58DE8724DDC8}" presName="hierRoot2" presStyleCnt="0">
        <dgm:presLayoutVars>
          <dgm:hierBranch val="init"/>
        </dgm:presLayoutVars>
      </dgm:prSet>
      <dgm:spPr/>
    </dgm:pt>
    <dgm:pt modelId="{8345E862-4ADD-4FCF-8634-4D69D97CF976}" type="pres">
      <dgm:prSet presAssocID="{81A196EC-5EFA-470C-9F19-58DE8724DDC8}" presName="rootComposite" presStyleCnt="0"/>
      <dgm:spPr/>
    </dgm:pt>
    <dgm:pt modelId="{285BF3EB-B8CA-4EED-8C67-2BE766B8A640}" type="pres">
      <dgm:prSet presAssocID="{81A196EC-5EFA-470C-9F19-58DE8724DDC8}" presName="rootText" presStyleLbl="node2" presStyleIdx="1" presStyleCnt="3">
        <dgm:presLayoutVars>
          <dgm:chPref val="3"/>
        </dgm:presLayoutVars>
      </dgm:prSet>
      <dgm:spPr/>
    </dgm:pt>
    <dgm:pt modelId="{AC379699-7426-4748-A270-1C93476B6039}" type="pres">
      <dgm:prSet presAssocID="{81A196EC-5EFA-470C-9F19-58DE8724DDC8}" presName="rootConnector" presStyleLbl="node2" presStyleIdx="1" presStyleCnt="3"/>
      <dgm:spPr/>
    </dgm:pt>
    <dgm:pt modelId="{FCD45CCC-849D-4AFA-9AF6-1A2604698D1E}" type="pres">
      <dgm:prSet presAssocID="{81A196EC-5EFA-470C-9F19-58DE8724DDC8}" presName="hierChild4" presStyleCnt="0"/>
      <dgm:spPr/>
    </dgm:pt>
    <dgm:pt modelId="{3E642497-C8CE-40C2-809E-DA42D65AE377}" type="pres">
      <dgm:prSet presAssocID="{81A196EC-5EFA-470C-9F19-58DE8724DDC8}" presName="hierChild5" presStyleCnt="0"/>
      <dgm:spPr/>
    </dgm:pt>
    <dgm:pt modelId="{507D51C1-7E4C-438B-BFDC-EEA848193461}" type="pres">
      <dgm:prSet presAssocID="{BF1E6C74-A2EA-42AE-99C5-92483EA88BAD}" presName="Name37" presStyleLbl="parChTrans1D2" presStyleIdx="2" presStyleCnt="3"/>
      <dgm:spPr/>
    </dgm:pt>
    <dgm:pt modelId="{C7E8FD0C-2B42-40A2-9E77-98FFFF8D5E28}" type="pres">
      <dgm:prSet presAssocID="{962F958C-8014-4B52-A35A-6ABF5F33363E}" presName="hierRoot2" presStyleCnt="0">
        <dgm:presLayoutVars>
          <dgm:hierBranch val="init"/>
        </dgm:presLayoutVars>
      </dgm:prSet>
      <dgm:spPr/>
    </dgm:pt>
    <dgm:pt modelId="{7CAD931E-F84A-496E-9D56-8D3382F487D5}" type="pres">
      <dgm:prSet presAssocID="{962F958C-8014-4B52-A35A-6ABF5F33363E}" presName="rootComposite" presStyleCnt="0"/>
      <dgm:spPr/>
    </dgm:pt>
    <dgm:pt modelId="{7A6109DD-200F-43C9-A139-A30017747532}" type="pres">
      <dgm:prSet presAssocID="{962F958C-8014-4B52-A35A-6ABF5F33363E}" presName="rootText" presStyleLbl="node2" presStyleIdx="2" presStyleCnt="3">
        <dgm:presLayoutVars>
          <dgm:chPref val="3"/>
        </dgm:presLayoutVars>
      </dgm:prSet>
      <dgm:spPr/>
    </dgm:pt>
    <dgm:pt modelId="{F267A09B-9DFA-46D1-9E54-B6456267E54B}" type="pres">
      <dgm:prSet presAssocID="{962F958C-8014-4B52-A35A-6ABF5F33363E}" presName="rootConnector" presStyleLbl="node2" presStyleIdx="2" presStyleCnt="3"/>
      <dgm:spPr/>
    </dgm:pt>
    <dgm:pt modelId="{CCBD18BC-5F4C-4A15-A57A-EB8A74BB4B81}" type="pres">
      <dgm:prSet presAssocID="{962F958C-8014-4B52-A35A-6ABF5F33363E}" presName="hierChild4" presStyleCnt="0"/>
      <dgm:spPr/>
    </dgm:pt>
    <dgm:pt modelId="{C788D926-9DEA-4F0B-9E89-DA4DF0FC18C2}" type="pres">
      <dgm:prSet presAssocID="{962F958C-8014-4B52-A35A-6ABF5F33363E}" presName="hierChild5" presStyleCnt="0"/>
      <dgm:spPr/>
    </dgm:pt>
    <dgm:pt modelId="{FEBC4FD2-67B6-40B8-B9D9-1B24BAA90919}" type="pres">
      <dgm:prSet presAssocID="{CA0F9B81-29F3-46B7-A939-98492F1BF007}" presName="hierChild3" presStyleCnt="0"/>
      <dgm:spPr/>
    </dgm:pt>
  </dgm:ptLst>
  <dgm:cxnLst>
    <dgm:cxn modelId="{FD7BEA02-3CA1-4238-8CDD-A346FAAE86B8}" type="presOf" srcId="{BF1E6C74-A2EA-42AE-99C5-92483EA88BAD}" destId="{507D51C1-7E4C-438B-BFDC-EEA848193461}" srcOrd="0" destOrd="0" presId="urn:microsoft.com/office/officeart/2005/8/layout/orgChart1"/>
    <dgm:cxn modelId="{3BC2CD11-2418-4FB2-B6D0-80D5A60D6394}" type="presOf" srcId="{0E97D455-13BA-4513-8FE6-ACB0D9E22F06}" destId="{97B10143-C587-42FB-BB66-C4FF133C5905}" srcOrd="0" destOrd="0" presId="urn:microsoft.com/office/officeart/2005/8/layout/orgChart1"/>
    <dgm:cxn modelId="{DBC73912-5C3B-4995-9238-51F8E7F58277}" srcId="{404046F5-7EA5-4DFB-A9C0-ED0C74B2C5EE}" destId="{C9F7F0E1-F132-4102-9973-336081215C83}" srcOrd="0" destOrd="0" parTransId="{69C2A09E-7B7A-4913-8869-D8BE05541954}" sibTransId="{0B1D7986-C158-4E01-8C58-98BB1B2890DE}"/>
    <dgm:cxn modelId="{278FC513-9865-4A25-AA4E-596883C6CE6F}" type="presOf" srcId="{962F958C-8014-4B52-A35A-6ABF5F33363E}" destId="{F267A09B-9DFA-46D1-9E54-B6456267E54B}" srcOrd="1" destOrd="0" presId="urn:microsoft.com/office/officeart/2005/8/layout/orgChart1"/>
    <dgm:cxn modelId="{ED5B751C-A06C-4758-A66C-EB67FC0948A7}" srcId="{37E65F90-2229-46E7-895D-D54371868F6E}" destId="{CA0F9B81-29F3-46B7-A939-98492F1BF007}" srcOrd="0" destOrd="0" parTransId="{A1747F1A-6DAF-47A4-805E-E673982F6408}" sibTransId="{C0641449-7D0E-4C07-8DA4-9D4009F867B5}"/>
    <dgm:cxn modelId="{B6F25A5C-3CC7-4753-B973-54714A0604A8}" type="presOf" srcId="{CA0F9B81-29F3-46B7-A939-98492F1BF007}" destId="{29F0A6A5-4406-4931-BD42-DE82E8368CE5}" srcOrd="1" destOrd="0" presId="urn:microsoft.com/office/officeart/2005/8/layout/orgChart1"/>
    <dgm:cxn modelId="{FD242051-9FFB-4155-AEB6-9209555BB068}" type="presOf" srcId="{81A196EC-5EFA-470C-9F19-58DE8724DDC8}" destId="{AC379699-7426-4748-A270-1C93476B6039}" srcOrd="1" destOrd="0" presId="urn:microsoft.com/office/officeart/2005/8/layout/orgChart1"/>
    <dgm:cxn modelId="{BAEBB459-59D4-41FE-AC80-7C79CB9DD854}" type="presOf" srcId="{81A196EC-5EFA-470C-9F19-58DE8724DDC8}" destId="{285BF3EB-B8CA-4EED-8C67-2BE766B8A640}" srcOrd="0" destOrd="0" presId="urn:microsoft.com/office/officeart/2005/8/layout/orgChart1"/>
    <dgm:cxn modelId="{FB044680-847F-4F65-A393-360C33CE2AF0}" srcId="{CA0F9B81-29F3-46B7-A939-98492F1BF007}" destId="{404046F5-7EA5-4DFB-A9C0-ED0C74B2C5EE}" srcOrd="0" destOrd="0" parTransId="{0E97D455-13BA-4513-8FE6-ACB0D9E22F06}" sibTransId="{ABFB7669-E807-426D-9CA5-40985FDD6859}"/>
    <dgm:cxn modelId="{84C68C84-DAFD-4137-887D-051D76D91D97}" type="presOf" srcId="{404046F5-7EA5-4DFB-A9C0-ED0C74B2C5EE}" destId="{930EF68D-82BE-440E-B9D6-4DC4F0CDA45D}" srcOrd="0" destOrd="0" presId="urn:microsoft.com/office/officeart/2005/8/layout/orgChart1"/>
    <dgm:cxn modelId="{BA690A88-2346-45CB-A5E2-03D7C3715564}" type="presOf" srcId="{C9F7F0E1-F132-4102-9973-336081215C83}" destId="{702A6305-6FFE-4F93-9250-30FA8A1ED5AF}" srcOrd="1" destOrd="0" presId="urn:microsoft.com/office/officeart/2005/8/layout/orgChart1"/>
    <dgm:cxn modelId="{22FD0B91-6BCC-4278-B658-59FD247D4E03}" type="presOf" srcId="{37E65F90-2229-46E7-895D-D54371868F6E}" destId="{CA4295A2-E468-4188-9207-613FEB62BD7A}" srcOrd="0" destOrd="0" presId="urn:microsoft.com/office/officeart/2005/8/layout/orgChart1"/>
    <dgm:cxn modelId="{6DB74B9D-3AC5-4C23-A0FB-3D215EE90486}" srcId="{CA0F9B81-29F3-46B7-A939-98492F1BF007}" destId="{81A196EC-5EFA-470C-9F19-58DE8724DDC8}" srcOrd="1" destOrd="0" parTransId="{53555C67-0D52-478D-A137-555CE5C40D87}" sibTransId="{A0016CB8-53C7-46A9-B930-678C6FF45A8F}"/>
    <dgm:cxn modelId="{D2A2A4AD-7857-453F-B207-011344E4ADA5}" type="presOf" srcId="{CA0F9B81-29F3-46B7-A939-98492F1BF007}" destId="{A173DD1B-9DAF-4A1B-8D0C-F1DF8B11938C}" srcOrd="0" destOrd="0" presId="urn:microsoft.com/office/officeart/2005/8/layout/orgChart1"/>
    <dgm:cxn modelId="{0CD510C3-97FF-40FA-AAA1-70F911B9D4C1}" srcId="{CA0F9B81-29F3-46B7-A939-98492F1BF007}" destId="{962F958C-8014-4B52-A35A-6ABF5F33363E}" srcOrd="2" destOrd="0" parTransId="{BF1E6C74-A2EA-42AE-99C5-92483EA88BAD}" sibTransId="{4D9BAD77-47FD-4A86-849C-501B71B0037F}"/>
    <dgm:cxn modelId="{66D957C7-8D2B-47D3-A0B4-9851A0C3619E}" type="presOf" srcId="{404046F5-7EA5-4DFB-A9C0-ED0C74B2C5EE}" destId="{8F840A4C-63F0-4170-B126-D7339DB3FF43}" srcOrd="1" destOrd="0" presId="urn:microsoft.com/office/officeart/2005/8/layout/orgChart1"/>
    <dgm:cxn modelId="{3A3475DF-CE37-4F45-8E0B-91BB1515B007}" type="presOf" srcId="{C9F7F0E1-F132-4102-9973-336081215C83}" destId="{8AB4D7A4-7ABB-43EE-85B1-5EF3AC6E1A22}" srcOrd="0" destOrd="0" presId="urn:microsoft.com/office/officeart/2005/8/layout/orgChart1"/>
    <dgm:cxn modelId="{8340D0EB-800C-42DA-AF54-963075E46A09}" type="presOf" srcId="{69C2A09E-7B7A-4913-8869-D8BE05541954}" destId="{EAAA7EAD-F4D6-4CCD-BD02-7ED12F4DEFB0}" srcOrd="0" destOrd="0" presId="urn:microsoft.com/office/officeart/2005/8/layout/orgChart1"/>
    <dgm:cxn modelId="{15D0EDEC-F94E-4D36-92BC-F5C74559F3D3}" type="presOf" srcId="{53555C67-0D52-478D-A137-555CE5C40D87}" destId="{858DCCBB-EA04-4404-9AF1-357132350F06}" srcOrd="0" destOrd="0" presId="urn:microsoft.com/office/officeart/2005/8/layout/orgChart1"/>
    <dgm:cxn modelId="{5B8406EF-FB8D-456C-863D-9500D8F96DD9}" type="presOf" srcId="{962F958C-8014-4B52-A35A-6ABF5F33363E}" destId="{7A6109DD-200F-43C9-A139-A30017747532}" srcOrd="0" destOrd="0" presId="urn:microsoft.com/office/officeart/2005/8/layout/orgChart1"/>
    <dgm:cxn modelId="{015E0850-3A09-4800-AE1D-7DE8FCF189A0}" type="presParOf" srcId="{CA4295A2-E468-4188-9207-613FEB62BD7A}" destId="{CCA8D640-68C3-4298-AB5D-4D250D78EED9}" srcOrd="0" destOrd="0" presId="urn:microsoft.com/office/officeart/2005/8/layout/orgChart1"/>
    <dgm:cxn modelId="{EC444946-C2A0-4DBD-A1B6-A516DEFCF58B}" type="presParOf" srcId="{CCA8D640-68C3-4298-AB5D-4D250D78EED9}" destId="{6B51FA54-FA68-4068-AAF4-65CD788124DF}" srcOrd="0" destOrd="0" presId="urn:microsoft.com/office/officeart/2005/8/layout/orgChart1"/>
    <dgm:cxn modelId="{60BAC439-E079-4290-9158-D59FB5F01E44}" type="presParOf" srcId="{6B51FA54-FA68-4068-AAF4-65CD788124DF}" destId="{A173DD1B-9DAF-4A1B-8D0C-F1DF8B11938C}" srcOrd="0" destOrd="0" presId="urn:microsoft.com/office/officeart/2005/8/layout/orgChart1"/>
    <dgm:cxn modelId="{7AFAA69E-85D4-4E64-97BE-A26E2A4B048F}" type="presParOf" srcId="{6B51FA54-FA68-4068-AAF4-65CD788124DF}" destId="{29F0A6A5-4406-4931-BD42-DE82E8368CE5}" srcOrd="1" destOrd="0" presId="urn:microsoft.com/office/officeart/2005/8/layout/orgChart1"/>
    <dgm:cxn modelId="{A912F70B-1449-429C-A885-3C3094B998C5}" type="presParOf" srcId="{CCA8D640-68C3-4298-AB5D-4D250D78EED9}" destId="{DC57D377-D72E-4DF3-B2BE-A29B4F16F6AC}" srcOrd="1" destOrd="0" presId="urn:microsoft.com/office/officeart/2005/8/layout/orgChart1"/>
    <dgm:cxn modelId="{297E4F84-49E1-46CB-8669-975198080ADC}" type="presParOf" srcId="{DC57D377-D72E-4DF3-B2BE-A29B4F16F6AC}" destId="{97B10143-C587-42FB-BB66-C4FF133C5905}" srcOrd="0" destOrd="0" presId="urn:microsoft.com/office/officeart/2005/8/layout/orgChart1"/>
    <dgm:cxn modelId="{B4B7F133-3902-4209-AED4-B9361B3BB2DA}" type="presParOf" srcId="{DC57D377-D72E-4DF3-B2BE-A29B4F16F6AC}" destId="{0C9BA254-17A6-4FBD-990C-0E12A77E8F53}" srcOrd="1" destOrd="0" presId="urn:microsoft.com/office/officeart/2005/8/layout/orgChart1"/>
    <dgm:cxn modelId="{C3113132-81A4-45D3-AAAC-46F3EB5791D6}" type="presParOf" srcId="{0C9BA254-17A6-4FBD-990C-0E12A77E8F53}" destId="{5961B5FE-8DF1-4789-BACE-40F94E60D88D}" srcOrd="0" destOrd="0" presId="urn:microsoft.com/office/officeart/2005/8/layout/orgChart1"/>
    <dgm:cxn modelId="{C80D025A-7900-4970-8010-4E69C98EDCD7}" type="presParOf" srcId="{5961B5FE-8DF1-4789-BACE-40F94E60D88D}" destId="{930EF68D-82BE-440E-B9D6-4DC4F0CDA45D}" srcOrd="0" destOrd="0" presId="urn:microsoft.com/office/officeart/2005/8/layout/orgChart1"/>
    <dgm:cxn modelId="{CDB5238D-3D68-4FC2-B66F-F499A4AA3AE0}" type="presParOf" srcId="{5961B5FE-8DF1-4789-BACE-40F94E60D88D}" destId="{8F840A4C-63F0-4170-B126-D7339DB3FF43}" srcOrd="1" destOrd="0" presId="urn:microsoft.com/office/officeart/2005/8/layout/orgChart1"/>
    <dgm:cxn modelId="{F9F57A99-D10B-40DB-895F-0305E6E3E1D5}" type="presParOf" srcId="{0C9BA254-17A6-4FBD-990C-0E12A77E8F53}" destId="{86FB6EB0-53CE-4827-A363-912FFF636BC1}" srcOrd="1" destOrd="0" presId="urn:microsoft.com/office/officeart/2005/8/layout/orgChart1"/>
    <dgm:cxn modelId="{20DE0822-F029-43BB-AEBE-3F4CD00A6E16}" type="presParOf" srcId="{86FB6EB0-53CE-4827-A363-912FFF636BC1}" destId="{EAAA7EAD-F4D6-4CCD-BD02-7ED12F4DEFB0}" srcOrd="0" destOrd="0" presId="urn:microsoft.com/office/officeart/2005/8/layout/orgChart1"/>
    <dgm:cxn modelId="{811A8E19-B9AB-4D2D-906E-FA50A76FB11F}" type="presParOf" srcId="{86FB6EB0-53CE-4827-A363-912FFF636BC1}" destId="{0813E432-37BD-4F56-9970-DDDF8D45A99F}" srcOrd="1" destOrd="0" presId="urn:microsoft.com/office/officeart/2005/8/layout/orgChart1"/>
    <dgm:cxn modelId="{AFE84C55-6C2E-4B5A-B787-09C35FA3A035}" type="presParOf" srcId="{0813E432-37BD-4F56-9970-DDDF8D45A99F}" destId="{6D75704F-A006-428A-9466-A75E68262EF8}" srcOrd="0" destOrd="0" presId="urn:microsoft.com/office/officeart/2005/8/layout/orgChart1"/>
    <dgm:cxn modelId="{A5551F9F-AE8F-42A4-A880-6D64831A801D}" type="presParOf" srcId="{6D75704F-A006-428A-9466-A75E68262EF8}" destId="{8AB4D7A4-7ABB-43EE-85B1-5EF3AC6E1A22}" srcOrd="0" destOrd="0" presId="urn:microsoft.com/office/officeart/2005/8/layout/orgChart1"/>
    <dgm:cxn modelId="{78969433-44A4-456F-A4F5-1CF54D8D5E8B}" type="presParOf" srcId="{6D75704F-A006-428A-9466-A75E68262EF8}" destId="{702A6305-6FFE-4F93-9250-30FA8A1ED5AF}" srcOrd="1" destOrd="0" presId="urn:microsoft.com/office/officeart/2005/8/layout/orgChart1"/>
    <dgm:cxn modelId="{052CA871-E0E3-4E08-9082-96B3EAB99EE5}" type="presParOf" srcId="{0813E432-37BD-4F56-9970-DDDF8D45A99F}" destId="{864A1F85-EC13-4057-9CC9-FD7E1777D530}" srcOrd="1" destOrd="0" presId="urn:microsoft.com/office/officeart/2005/8/layout/orgChart1"/>
    <dgm:cxn modelId="{C2679290-FECF-419A-B6A3-16715D615CAD}" type="presParOf" srcId="{0813E432-37BD-4F56-9970-DDDF8D45A99F}" destId="{65C45243-DB6A-4234-B9E9-B04BEF4724B3}" srcOrd="2" destOrd="0" presId="urn:microsoft.com/office/officeart/2005/8/layout/orgChart1"/>
    <dgm:cxn modelId="{B24EDCFD-E4EC-470C-990C-812F779A463E}" type="presParOf" srcId="{0C9BA254-17A6-4FBD-990C-0E12A77E8F53}" destId="{524F853A-3351-492A-9803-33F36BCB30A2}" srcOrd="2" destOrd="0" presId="urn:microsoft.com/office/officeart/2005/8/layout/orgChart1"/>
    <dgm:cxn modelId="{EA24B3C3-1362-438D-99E3-5CA4A7AFCA55}" type="presParOf" srcId="{DC57D377-D72E-4DF3-B2BE-A29B4F16F6AC}" destId="{858DCCBB-EA04-4404-9AF1-357132350F06}" srcOrd="2" destOrd="0" presId="urn:microsoft.com/office/officeart/2005/8/layout/orgChart1"/>
    <dgm:cxn modelId="{BA0E78DB-0FAF-444E-9EE5-C758530E55F3}" type="presParOf" srcId="{DC57D377-D72E-4DF3-B2BE-A29B4F16F6AC}" destId="{7833BACF-06FE-4339-9BA0-7885B5B26F3C}" srcOrd="3" destOrd="0" presId="urn:microsoft.com/office/officeart/2005/8/layout/orgChart1"/>
    <dgm:cxn modelId="{B815B590-478A-40C0-B2B8-E2A71E9A0149}" type="presParOf" srcId="{7833BACF-06FE-4339-9BA0-7885B5B26F3C}" destId="{8345E862-4ADD-4FCF-8634-4D69D97CF976}" srcOrd="0" destOrd="0" presId="urn:microsoft.com/office/officeart/2005/8/layout/orgChart1"/>
    <dgm:cxn modelId="{DF7990F7-2802-42E3-B015-5A4A552F969D}" type="presParOf" srcId="{8345E862-4ADD-4FCF-8634-4D69D97CF976}" destId="{285BF3EB-B8CA-4EED-8C67-2BE766B8A640}" srcOrd="0" destOrd="0" presId="urn:microsoft.com/office/officeart/2005/8/layout/orgChart1"/>
    <dgm:cxn modelId="{3A404993-82C8-4A66-B892-45C572A1638C}" type="presParOf" srcId="{8345E862-4ADD-4FCF-8634-4D69D97CF976}" destId="{AC379699-7426-4748-A270-1C93476B6039}" srcOrd="1" destOrd="0" presId="urn:microsoft.com/office/officeart/2005/8/layout/orgChart1"/>
    <dgm:cxn modelId="{0C9B22B3-8252-4F56-B2AD-383D3C337A75}" type="presParOf" srcId="{7833BACF-06FE-4339-9BA0-7885B5B26F3C}" destId="{FCD45CCC-849D-4AFA-9AF6-1A2604698D1E}" srcOrd="1" destOrd="0" presId="urn:microsoft.com/office/officeart/2005/8/layout/orgChart1"/>
    <dgm:cxn modelId="{15BD3268-1CD1-4F29-9A7D-5277B0C9943B}" type="presParOf" srcId="{7833BACF-06FE-4339-9BA0-7885B5B26F3C}" destId="{3E642497-C8CE-40C2-809E-DA42D65AE377}" srcOrd="2" destOrd="0" presId="urn:microsoft.com/office/officeart/2005/8/layout/orgChart1"/>
    <dgm:cxn modelId="{0FF780E5-5F98-464C-8218-809D9919A3CC}" type="presParOf" srcId="{DC57D377-D72E-4DF3-B2BE-A29B4F16F6AC}" destId="{507D51C1-7E4C-438B-BFDC-EEA848193461}" srcOrd="4" destOrd="0" presId="urn:microsoft.com/office/officeart/2005/8/layout/orgChart1"/>
    <dgm:cxn modelId="{4A798540-906F-4CE3-9ECF-CE771EC97AE7}" type="presParOf" srcId="{DC57D377-D72E-4DF3-B2BE-A29B4F16F6AC}" destId="{C7E8FD0C-2B42-40A2-9E77-98FFFF8D5E28}" srcOrd="5" destOrd="0" presId="urn:microsoft.com/office/officeart/2005/8/layout/orgChart1"/>
    <dgm:cxn modelId="{0AA73721-3BB5-42DA-A06B-3751D18CEDE2}" type="presParOf" srcId="{C7E8FD0C-2B42-40A2-9E77-98FFFF8D5E28}" destId="{7CAD931E-F84A-496E-9D56-8D3382F487D5}" srcOrd="0" destOrd="0" presId="urn:microsoft.com/office/officeart/2005/8/layout/orgChart1"/>
    <dgm:cxn modelId="{CA3D0582-6B8E-43D1-92E1-3220326A07C0}" type="presParOf" srcId="{7CAD931E-F84A-496E-9D56-8D3382F487D5}" destId="{7A6109DD-200F-43C9-A139-A30017747532}" srcOrd="0" destOrd="0" presId="urn:microsoft.com/office/officeart/2005/8/layout/orgChart1"/>
    <dgm:cxn modelId="{432072C9-471F-431B-BE69-F6A245A473F1}" type="presParOf" srcId="{7CAD931E-F84A-496E-9D56-8D3382F487D5}" destId="{F267A09B-9DFA-46D1-9E54-B6456267E54B}" srcOrd="1" destOrd="0" presId="urn:microsoft.com/office/officeart/2005/8/layout/orgChart1"/>
    <dgm:cxn modelId="{8C0F5850-E3F8-4719-94DC-5B1DF0250C86}" type="presParOf" srcId="{C7E8FD0C-2B42-40A2-9E77-98FFFF8D5E28}" destId="{CCBD18BC-5F4C-4A15-A57A-EB8A74BB4B81}" srcOrd="1" destOrd="0" presId="urn:microsoft.com/office/officeart/2005/8/layout/orgChart1"/>
    <dgm:cxn modelId="{4F96C8DD-C258-47B2-98DA-710DF9FBE698}" type="presParOf" srcId="{C7E8FD0C-2B42-40A2-9E77-98FFFF8D5E28}" destId="{C788D926-9DEA-4F0B-9E89-DA4DF0FC18C2}" srcOrd="2" destOrd="0" presId="urn:microsoft.com/office/officeart/2005/8/layout/orgChart1"/>
    <dgm:cxn modelId="{C161DCAE-EDAE-47D9-B790-463DE6F0850F}" type="presParOf" srcId="{CCA8D640-68C3-4298-AB5D-4D250D78EED9}" destId="{FEBC4FD2-67B6-40B8-B9D9-1B24BAA90919}" srcOrd="2" destOrd="0" presId="urn:microsoft.com/office/officeart/2005/8/layout/orgChart1"/>
  </dgm:cxnLst>
  <dgm:bg/>
  <dgm:whole>
    <a:ln w="9525" cap="flat" cmpd="sng" algn="ctr">
      <a:noFill/>
      <a:prstDash val="solid"/>
      <a:round/>
      <a:headEnd type="none" w="med" len="med"/>
      <a:tailEnd type="none" w="med" len="med"/>
    </a:ln>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A4956764-9F8A-4A84-BBD9-E77F20CC620C}" type="doc">
      <dgm:prSet loTypeId="urn:microsoft.com/office/officeart/2005/8/layout/hierarchy4" loCatId="list" qsTypeId="urn:microsoft.com/office/officeart/2005/8/quickstyle/simple3" qsCatId="simple" csTypeId="urn:microsoft.com/office/officeart/2005/8/colors/accent3_1" csCatId="accent3" phldr="1"/>
      <dgm:spPr/>
      <dgm:t>
        <a:bodyPr/>
        <a:lstStyle/>
        <a:p>
          <a:endParaRPr lang="en-US"/>
        </a:p>
      </dgm:t>
    </dgm:pt>
    <dgm:pt modelId="{54314ACC-014C-4371-A18F-DEC8DE5245F4}">
      <dgm:prSet phldrT="[Text]" custT="1"/>
      <dgm:spPr/>
      <dgm:t>
        <a:bodyPr/>
        <a:lstStyle/>
        <a:p>
          <a:r>
            <a:rPr lang="lv-LV" sz="1400" i="0" dirty="0"/>
            <a:t>PO publisko </a:t>
          </a:r>
          <a:r>
            <a:rPr lang="lv-LV" sz="1400" i="0" dirty="0" err="1"/>
            <a:t>jaunuzņēmuma</a:t>
          </a:r>
          <a:r>
            <a:rPr lang="lv-LV" sz="1400" i="0" dirty="0"/>
            <a:t> intelektuālā īpašuma pārvaldības politikas aprakstu</a:t>
          </a:r>
          <a:endParaRPr lang="en-US" sz="1400" i="0" dirty="0"/>
        </a:p>
      </dgm:t>
    </dgm:pt>
    <dgm:pt modelId="{8FADB246-F759-420B-803A-CF478BC5D448}" type="parTrans" cxnId="{C1A9CF4C-6659-4BA2-BD9D-919FEDB5EAE5}">
      <dgm:prSet/>
      <dgm:spPr/>
      <dgm:t>
        <a:bodyPr/>
        <a:lstStyle/>
        <a:p>
          <a:endParaRPr lang="en-US" sz="1400" i="0"/>
        </a:p>
      </dgm:t>
    </dgm:pt>
    <dgm:pt modelId="{4AD1C971-8CD6-441C-A5B2-82371A21C4AB}" type="sibTrans" cxnId="{C1A9CF4C-6659-4BA2-BD9D-919FEDB5EAE5}">
      <dgm:prSet/>
      <dgm:spPr/>
      <dgm:t>
        <a:bodyPr/>
        <a:lstStyle/>
        <a:p>
          <a:endParaRPr lang="en-US" sz="1400" i="0"/>
        </a:p>
      </dgm:t>
    </dgm:pt>
    <dgm:pt modelId="{4EE9B6D4-29C0-43B2-A258-4CD1F70D816E}">
      <dgm:prSet phldrT="[Text]" custT="1"/>
      <dgm:spPr/>
      <dgm:t>
        <a:bodyPr/>
        <a:lstStyle/>
        <a:p>
          <a:r>
            <a:rPr lang="lv-LV" sz="1400" b="0" i="0" dirty="0"/>
            <a:t>dibināšanai nepieciešamās finanses nodrošina no resursiem, par kuriem nav saņemts nekāds publisks atbalsts</a:t>
          </a:r>
          <a:endParaRPr lang="en-US" sz="1400" b="0" i="0" dirty="0"/>
        </a:p>
      </dgm:t>
    </dgm:pt>
    <dgm:pt modelId="{AC067101-6F9A-4BFA-9646-121E867B43A7}" type="parTrans" cxnId="{5F2463AF-57E0-48BD-A1C4-CD40B5FCB853}">
      <dgm:prSet/>
      <dgm:spPr/>
      <dgm:t>
        <a:bodyPr/>
        <a:lstStyle/>
        <a:p>
          <a:endParaRPr lang="en-US" sz="1400" i="0"/>
        </a:p>
      </dgm:t>
    </dgm:pt>
    <dgm:pt modelId="{933FDD66-D772-415A-9394-D0DE2F0AD40F}" type="sibTrans" cxnId="{5F2463AF-57E0-48BD-A1C4-CD40B5FCB853}">
      <dgm:prSet/>
      <dgm:spPr/>
      <dgm:t>
        <a:bodyPr/>
        <a:lstStyle/>
        <a:p>
          <a:endParaRPr lang="en-US" sz="1400" i="0"/>
        </a:p>
      </dgm:t>
    </dgm:pt>
    <dgm:pt modelId="{FC07F38A-90E0-4BE0-8DCA-6792E3E53725}">
      <dgm:prSet phldrT="[Text]" custT="1"/>
      <dgm:spPr/>
      <dgm:t>
        <a:bodyPr/>
        <a:lstStyle/>
        <a:p>
          <a:r>
            <a:rPr lang="lv-LV" sz="1400" b="0" i="0" dirty="0"/>
            <a:t>PO pierāda, ka izvēlas labāko no piedāvājumiem </a:t>
          </a:r>
        </a:p>
      </dgm:t>
    </dgm:pt>
    <dgm:pt modelId="{E8BB00DA-AB0D-4443-BC7F-0B20C11B1576}" type="sibTrans" cxnId="{88EB8A0D-E380-410C-AB69-DE61E08292FF}">
      <dgm:prSet/>
      <dgm:spPr/>
      <dgm:t>
        <a:bodyPr/>
        <a:lstStyle/>
        <a:p>
          <a:endParaRPr lang="en-US" sz="1400" i="0"/>
        </a:p>
      </dgm:t>
    </dgm:pt>
    <dgm:pt modelId="{B9F237C6-1B82-4CA8-9E11-B643687189CB}" type="parTrans" cxnId="{88EB8A0D-E380-410C-AB69-DE61E08292FF}">
      <dgm:prSet/>
      <dgm:spPr/>
      <dgm:t>
        <a:bodyPr/>
        <a:lstStyle/>
        <a:p>
          <a:endParaRPr lang="en-US" sz="1400" i="0"/>
        </a:p>
      </dgm:t>
    </dgm:pt>
    <dgm:pt modelId="{E3FD34A2-EE44-4A99-8D5D-29A9AB6A9EA5}">
      <dgm:prSet phldrT="[Text]" custT="1"/>
      <dgm:spPr/>
      <dgm:t>
        <a:bodyPr/>
        <a:lstStyle/>
        <a:p>
          <a:r>
            <a:rPr lang="lv-LV" sz="1400" i="0" dirty="0"/>
            <a:t>TT pirkuma vai licences līgums</a:t>
          </a:r>
          <a:endParaRPr lang="en-US" sz="1400" i="0" dirty="0"/>
        </a:p>
      </dgm:t>
    </dgm:pt>
    <dgm:pt modelId="{0B936352-F949-46DD-A51B-448AAE2CE164}" type="sibTrans" cxnId="{15A7BD87-ACC0-4EC7-A1BC-00FE3BE3F0FF}">
      <dgm:prSet/>
      <dgm:spPr/>
      <dgm:t>
        <a:bodyPr/>
        <a:lstStyle/>
        <a:p>
          <a:endParaRPr lang="en-US" sz="1400" i="0"/>
        </a:p>
      </dgm:t>
    </dgm:pt>
    <dgm:pt modelId="{52378BD5-3F02-4B6C-98FC-049C3F2B0B73}" type="parTrans" cxnId="{15A7BD87-ACC0-4EC7-A1BC-00FE3BE3F0FF}">
      <dgm:prSet/>
      <dgm:spPr/>
      <dgm:t>
        <a:bodyPr/>
        <a:lstStyle/>
        <a:p>
          <a:endParaRPr lang="en-US" sz="1400" i="0"/>
        </a:p>
      </dgm:t>
    </dgm:pt>
    <dgm:pt modelId="{04F56911-75CD-4282-8245-0FA5B2D49D26}">
      <dgm:prSet phldrT="[Text]" custT="1"/>
      <dgm:spPr/>
      <dgm:t>
        <a:bodyPr/>
        <a:lstStyle/>
        <a:p>
          <a:r>
            <a:rPr lang="lv-LV" sz="1400" b="0" i="0" dirty="0"/>
            <a:t>Kompensācijas noteikšana</a:t>
          </a:r>
          <a:endParaRPr lang="en-US" sz="1400" b="0" i="0" dirty="0"/>
        </a:p>
      </dgm:t>
    </dgm:pt>
    <dgm:pt modelId="{F834D5F5-64CD-49D3-B72E-4BFBDAC93423}" type="sibTrans" cxnId="{D4FDF4F2-9467-473E-A178-EA9DC7A7B82C}">
      <dgm:prSet/>
      <dgm:spPr/>
      <dgm:t>
        <a:bodyPr/>
        <a:lstStyle/>
        <a:p>
          <a:endParaRPr lang="en-US" sz="1400" i="0"/>
        </a:p>
      </dgm:t>
    </dgm:pt>
    <dgm:pt modelId="{DE5D7704-F113-46E0-957C-9623ABF43423}" type="parTrans" cxnId="{D4FDF4F2-9467-473E-A178-EA9DC7A7B82C}">
      <dgm:prSet/>
      <dgm:spPr/>
      <dgm:t>
        <a:bodyPr/>
        <a:lstStyle/>
        <a:p>
          <a:endParaRPr lang="en-US" sz="1400" i="0"/>
        </a:p>
      </dgm:t>
    </dgm:pt>
    <dgm:pt modelId="{8087D93D-47BF-4FA3-85C7-0B7379189E27}">
      <dgm:prSet phldrT="[Text]" custT="1"/>
      <dgm:spPr/>
      <dgm:t>
        <a:bodyPr/>
        <a:lstStyle/>
        <a:p>
          <a:r>
            <a:rPr lang="lv-LV" sz="1400" i="0" dirty="0">
              <a:latin typeface="Verdana" panose="020B0604030504040204" pitchFamily="34" charset="0"/>
              <a:ea typeface="Verdana" panose="020B0604030504040204" pitchFamily="34" charset="0"/>
              <a:cs typeface="Verdana" panose="020B0604030504040204" pitchFamily="34" charset="0"/>
            </a:rPr>
            <a:t>TT komercializācija PO dibinātam </a:t>
          </a:r>
          <a:r>
            <a:rPr lang="lv-LV" sz="1400" i="0" dirty="0" err="1">
              <a:latin typeface="Verdana" panose="020B0604030504040204" pitchFamily="34" charset="0"/>
              <a:ea typeface="Verdana" panose="020B0604030504040204" pitchFamily="34" charset="0"/>
              <a:cs typeface="Verdana" panose="020B0604030504040204" pitchFamily="34" charset="0"/>
            </a:rPr>
            <a:t>jaunuzņēmumam</a:t>
          </a:r>
          <a:endParaRPr lang="en-US" sz="1400" i="0" dirty="0">
            <a:latin typeface="Verdana" panose="020B0604030504040204" pitchFamily="34" charset="0"/>
            <a:ea typeface="Verdana" panose="020B0604030504040204" pitchFamily="34" charset="0"/>
            <a:cs typeface="Verdana" panose="020B0604030504040204" pitchFamily="34" charset="0"/>
          </a:endParaRPr>
        </a:p>
      </dgm:t>
    </dgm:pt>
    <dgm:pt modelId="{27B414B9-8BF2-4109-811F-D94DF80D0BFB}" type="sibTrans" cxnId="{DBEB4C0E-79A4-4AE6-8EED-68561A6187A8}">
      <dgm:prSet/>
      <dgm:spPr/>
      <dgm:t>
        <a:bodyPr/>
        <a:lstStyle/>
        <a:p>
          <a:endParaRPr lang="en-US" sz="1400" i="0"/>
        </a:p>
      </dgm:t>
    </dgm:pt>
    <dgm:pt modelId="{D77831C2-F846-4BFF-A938-E35B2360EF01}" type="parTrans" cxnId="{DBEB4C0E-79A4-4AE6-8EED-68561A6187A8}">
      <dgm:prSet/>
      <dgm:spPr/>
      <dgm:t>
        <a:bodyPr/>
        <a:lstStyle/>
        <a:p>
          <a:endParaRPr lang="en-US" sz="1400" i="0"/>
        </a:p>
      </dgm:t>
    </dgm:pt>
    <dgm:pt modelId="{64101C47-4C87-4813-841A-1A7CAE56CB3C}">
      <dgm:prSet phldrT="[Text]" custT="1"/>
      <dgm:spPr/>
      <dgm:t>
        <a:bodyPr/>
        <a:lstStyle/>
        <a:p>
          <a:r>
            <a:rPr lang="lv-LV" sz="1400" i="0" dirty="0"/>
            <a:t>peļņu iegulda pamatdarbībā</a:t>
          </a:r>
          <a:endParaRPr lang="en-US" sz="1400" i="0" dirty="0"/>
        </a:p>
      </dgm:t>
    </dgm:pt>
    <dgm:pt modelId="{CF86015D-F51A-4C88-944E-EDF95A68B03B}" type="parTrans" cxnId="{52FB6F49-1E9A-4A06-8ACA-238CC66DD9C4}">
      <dgm:prSet/>
      <dgm:spPr/>
      <dgm:t>
        <a:bodyPr/>
        <a:lstStyle/>
        <a:p>
          <a:endParaRPr lang="en-US" sz="1400" i="0"/>
        </a:p>
      </dgm:t>
    </dgm:pt>
    <dgm:pt modelId="{4414D8A1-A5D5-4EEE-94A3-3AADB485FD38}" type="sibTrans" cxnId="{52FB6F49-1E9A-4A06-8ACA-238CC66DD9C4}">
      <dgm:prSet/>
      <dgm:spPr/>
      <dgm:t>
        <a:bodyPr/>
        <a:lstStyle/>
        <a:p>
          <a:endParaRPr lang="en-US" sz="1400" i="0"/>
        </a:p>
      </dgm:t>
    </dgm:pt>
    <dgm:pt modelId="{B92A6162-5394-4AE1-A420-2B7E6113642A}" type="pres">
      <dgm:prSet presAssocID="{A4956764-9F8A-4A84-BBD9-E77F20CC620C}" presName="Name0" presStyleCnt="0">
        <dgm:presLayoutVars>
          <dgm:chPref val="1"/>
          <dgm:dir/>
          <dgm:animOne val="branch"/>
          <dgm:animLvl val="lvl"/>
          <dgm:resizeHandles/>
        </dgm:presLayoutVars>
      </dgm:prSet>
      <dgm:spPr/>
    </dgm:pt>
    <dgm:pt modelId="{367344EE-E287-4A34-8B72-34B08B50F162}" type="pres">
      <dgm:prSet presAssocID="{8087D93D-47BF-4FA3-85C7-0B7379189E27}" presName="vertOne" presStyleCnt="0"/>
      <dgm:spPr/>
    </dgm:pt>
    <dgm:pt modelId="{4E7BAF05-CF1D-458A-8B4B-6E7D2DB0FA0F}" type="pres">
      <dgm:prSet presAssocID="{8087D93D-47BF-4FA3-85C7-0B7379189E27}" presName="txOne" presStyleLbl="node0" presStyleIdx="0" presStyleCnt="1" custScaleY="76771" custLinFactY="-153" custLinFactNeighborX="0" custLinFactNeighborY="-100000">
        <dgm:presLayoutVars>
          <dgm:chPref val="3"/>
        </dgm:presLayoutVars>
      </dgm:prSet>
      <dgm:spPr/>
    </dgm:pt>
    <dgm:pt modelId="{67439808-5E00-49B2-9E3F-503D3127EEF5}" type="pres">
      <dgm:prSet presAssocID="{8087D93D-47BF-4FA3-85C7-0B7379189E27}" presName="parTransOne" presStyleCnt="0"/>
      <dgm:spPr/>
    </dgm:pt>
    <dgm:pt modelId="{A17C9F8A-E795-46C6-83F9-246A53A4B5C6}" type="pres">
      <dgm:prSet presAssocID="{8087D93D-47BF-4FA3-85C7-0B7379189E27}" presName="horzOne" presStyleCnt="0"/>
      <dgm:spPr/>
    </dgm:pt>
    <dgm:pt modelId="{1992B46D-08AC-4AD9-B9FD-2D46EC78CE9D}" type="pres">
      <dgm:prSet presAssocID="{04F56911-75CD-4282-8245-0FA5B2D49D26}" presName="vertTwo" presStyleCnt="0"/>
      <dgm:spPr/>
    </dgm:pt>
    <dgm:pt modelId="{DBC607D6-3194-4352-9BA5-91845112C2FE}" type="pres">
      <dgm:prSet presAssocID="{04F56911-75CD-4282-8245-0FA5B2D49D26}" presName="txTwo" presStyleLbl="node2" presStyleIdx="0" presStyleCnt="2" custScaleX="64481" custScaleY="140397">
        <dgm:presLayoutVars>
          <dgm:chPref val="3"/>
        </dgm:presLayoutVars>
      </dgm:prSet>
      <dgm:spPr/>
    </dgm:pt>
    <dgm:pt modelId="{CE76224C-99FC-4CB9-BD94-BC09D794C186}" type="pres">
      <dgm:prSet presAssocID="{04F56911-75CD-4282-8245-0FA5B2D49D26}" presName="parTransTwo" presStyleCnt="0"/>
      <dgm:spPr/>
    </dgm:pt>
    <dgm:pt modelId="{C5D39C4D-C7A1-4F7B-BA8B-4B22673CBAFB}" type="pres">
      <dgm:prSet presAssocID="{04F56911-75CD-4282-8245-0FA5B2D49D26}" presName="horzTwo" presStyleCnt="0"/>
      <dgm:spPr/>
    </dgm:pt>
    <dgm:pt modelId="{9D76341B-2AC2-46C5-AFF9-B5F64D09F0D7}" type="pres">
      <dgm:prSet presAssocID="{E3FD34A2-EE44-4A99-8D5D-29A9AB6A9EA5}" presName="vertThree" presStyleCnt="0"/>
      <dgm:spPr/>
    </dgm:pt>
    <dgm:pt modelId="{DC7A5A20-1E0D-45D8-A244-4FBC3B59C120}" type="pres">
      <dgm:prSet presAssocID="{E3FD34A2-EE44-4A99-8D5D-29A9AB6A9EA5}" presName="txThree" presStyleLbl="node3" presStyleIdx="0" presStyleCnt="2" custScaleX="64481" custScaleY="142123">
        <dgm:presLayoutVars>
          <dgm:chPref val="3"/>
        </dgm:presLayoutVars>
      </dgm:prSet>
      <dgm:spPr/>
    </dgm:pt>
    <dgm:pt modelId="{DCB5DFF6-6D3A-4209-B9D5-9388ED61FB89}" type="pres">
      <dgm:prSet presAssocID="{E3FD34A2-EE44-4A99-8D5D-29A9AB6A9EA5}" presName="parTransThree" presStyleCnt="0"/>
      <dgm:spPr/>
    </dgm:pt>
    <dgm:pt modelId="{7E52D510-FC01-48CB-91D5-9AD53CD52462}" type="pres">
      <dgm:prSet presAssocID="{E3FD34A2-EE44-4A99-8D5D-29A9AB6A9EA5}" presName="horzThree" presStyleCnt="0"/>
      <dgm:spPr/>
    </dgm:pt>
    <dgm:pt modelId="{79B37EAA-38EA-487B-A155-C90BC48B122B}" type="pres">
      <dgm:prSet presAssocID="{64101C47-4C87-4813-841A-1A7CAE56CB3C}" presName="vertFour" presStyleCnt="0">
        <dgm:presLayoutVars>
          <dgm:chPref val="3"/>
        </dgm:presLayoutVars>
      </dgm:prSet>
      <dgm:spPr/>
    </dgm:pt>
    <dgm:pt modelId="{040795AF-F2C0-4EFD-B436-2390230C39B2}" type="pres">
      <dgm:prSet presAssocID="{64101C47-4C87-4813-841A-1A7CAE56CB3C}" presName="txFour" presStyleLbl="node4" presStyleIdx="0" presStyleCnt="2" custScaleX="63492">
        <dgm:presLayoutVars>
          <dgm:chPref val="3"/>
        </dgm:presLayoutVars>
      </dgm:prSet>
      <dgm:spPr/>
    </dgm:pt>
    <dgm:pt modelId="{A30D7B63-FDE3-4267-867B-17F2A816AA15}" type="pres">
      <dgm:prSet presAssocID="{64101C47-4C87-4813-841A-1A7CAE56CB3C}" presName="horzFour" presStyleCnt="0"/>
      <dgm:spPr/>
    </dgm:pt>
    <dgm:pt modelId="{B276E4C6-A3BA-4257-A59B-4538D7E3CCAC}" type="pres">
      <dgm:prSet presAssocID="{F834D5F5-64CD-49D3-B72E-4BFBDAC93423}" presName="sibSpaceTwo" presStyleCnt="0"/>
      <dgm:spPr/>
    </dgm:pt>
    <dgm:pt modelId="{5D4DD6B8-E595-44F1-A58D-B6A113422542}" type="pres">
      <dgm:prSet presAssocID="{FC07F38A-90E0-4BE0-8DCA-6792E3E53725}" presName="vertTwo" presStyleCnt="0"/>
      <dgm:spPr/>
    </dgm:pt>
    <dgm:pt modelId="{58947BB6-2448-49A1-A451-D84A5972E632}" type="pres">
      <dgm:prSet presAssocID="{FC07F38A-90E0-4BE0-8DCA-6792E3E53725}" presName="txTwo" presStyleLbl="node2" presStyleIdx="1" presStyleCnt="2" custScaleY="139930">
        <dgm:presLayoutVars>
          <dgm:chPref val="3"/>
        </dgm:presLayoutVars>
      </dgm:prSet>
      <dgm:spPr/>
    </dgm:pt>
    <dgm:pt modelId="{734695B9-FAD3-408F-9878-913FA468E583}" type="pres">
      <dgm:prSet presAssocID="{FC07F38A-90E0-4BE0-8DCA-6792E3E53725}" presName="parTransTwo" presStyleCnt="0"/>
      <dgm:spPr/>
    </dgm:pt>
    <dgm:pt modelId="{6D377CDB-F1A6-4BCA-A931-C712D9F4DCD3}" type="pres">
      <dgm:prSet presAssocID="{FC07F38A-90E0-4BE0-8DCA-6792E3E53725}" presName="horzTwo" presStyleCnt="0"/>
      <dgm:spPr/>
    </dgm:pt>
    <dgm:pt modelId="{23CE494A-B6F4-4F5F-8148-F77520632B2F}" type="pres">
      <dgm:prSet presAssocID="{4EE9B6D4-29C0-43B2-A258-4CD1F70D816E}" presName="vertThree" presStyleCnt="0"/>
      <dgm:spPr/>
    </dgm:pt>
    <dgm:pt modelId="{C4D20B73-AD65-4466-B950-9FCCF411C499}" type="pres">
      <dgm:prSet presAssocID="{4EE9B6D4-29C0-43B2-A258-4CD1F70D816E}" presName="txThree" presStyleLbl="node3" presStyleIdx="1" presStyleCnt="2" custScaleY="141787">
        <dgm:presLayoutVars>
          <dgm:chPref val="3"/>
        </dgm:presLayoutVars>
      </dgm:prSet>
      <dgm:spPr/>
    </dgm:pt>
    <dgm:pt modelId="{D11B2AB4-CD9E-4C5F-9B43-5AF283496499}" type="pres">
      <dgm:prSet presAssocID="{4EE9B6D4-29C0-43B2-A258-4CD1F70D816E}" presName="parTransThree" presStyleCnt="0"/>
      <dgm:spPr/>
    </dgm:pt>
    <dgm:pt modelId="{013FBC50-2BD7-4B65-A3F9-99EB47C89729}" type="pres">
      <dgm:prSet presAssocID="{4EE9B6D4-29C0-43B2-A258-4CD1F70D816E}" presName="horzThree" presStyleCnt="0"/>
      <dgm:spPr/>
    </dgm:pt>
    <dgm:pt modelId="{79008CEB-44D4-4E98-8DFD-F9666269B13C}" type="pres">
      <dgm:prSet presAssocID="{54314ACC-014C-4371-A18F-DEC8DE5245F4}" presName="vertFour" presStyleCnt="0">
        <dgm:presLayoutVars>
          <dgm:chPref val="3"/>
        </dgm:presLayoutVars>
      </dgm:prSet>
      <dgm:spPr/>
    </dgm:pt>
    <dgm:pt modelId="{205284AE-7789-471A-8D5C-3D43EF0B85F5}" type="pres">
      <dgm:prSet presAssocID="{54314ACC-014C-4371-A18F-DEC8DE5245F4}" presName="txFour" presStyleLbl="node4" presStyleIdx="1" presStyleCnt="2">
        <dgm:presLayoutVars>
          <dgm:chPref val="3"/>
        </dgm:presLayoutVars>
      </dgm:prSet>
      <dgm:spPr/>
    </dgm:pt>
    <dgm:pt modelId="{BF1432EB-B15A-4B53-9546-DC8661B71DAE}" type="pres">
      <dgm:prSet presAssocID="{54314ACC-014C-4371-A18F-DEC8DE5245F4}" presName="horzFour" presStyleCnt="0"/>
      <dgm:spPr/>
    </dgm:pt>
  </dgm:ptLst>
  <dgm:cxnLst>
    <dgm:cxn modelId="{5EA5ED08-63B5-4E37-B727-57B868A3D107}" type="presOf" srcId="{04F56911-75CD-4282-8245-0FA5B2D49D26}" destId="{DBC607D6-3194-4352-9BA5-91845112C2FE}" srcOrd="0" destOrd="0" presId="urn:microsoft.com/office/officeart/2005/8/layout/hierarchy4"/>
    <dgm:cxn modelId="{88EB8A0D-E380-410C-AB69-DE61E08292FF}" srcId="{8087D93D-47BF-4FA3-85C7-0B7379189E27}" destId="{FC07F38A-90E0-4BE0-8DCA-6792E3E53725}" srcOrd="1" destOrd="0" parTransId="{B9F237C6-1B82-4CA8-9E11-B643687189CB}" sibTransId="{E8BB00DA-AB0D-4443-BC7F-0B20C11B1576}"/>
    <dgm:cxn modelId="{DBEB4C0E-79A4-4AE6-8EED-68561A6187A8}" srcId="{A4956764-9F8A-4A84-BBD9-E77F20CC620C}" destId="{8087D93D-47BF-4FA3-85C7-0B7379189E27}" srcOrd="0" destOrd="0" parTransId="{D77831C2-F846-4BFF-A938-E35B2360EF01}" sibTransId="{27B414B9-8BF2-4109-811F-D94DF80D0BFB}"/>
    <dgm:cxn modelId="{37B2801B-DF3E-4BB6-85FF-05E0B13FB6EC}" type="presOf" srcId="{A4956764-9F8A-4A84-BBD9-E77F20CC620C}" destId="{B92A6162-5394-4AE1-A420-2B7E6113642A}" srcOrd="0" destOrd="0" presId="urn:microsoft.com/office/officeart/2005/8/layout/hierarchy4"/>
    <dgm:cxn modelId="{E54F7962-8A26-4931-A7B0-84F1964AB57C}" type="presOf" srcId="{64101C47-4C87-4813-841A-1A7CAE56CB3C}" destId="{040795AF-F2C0-4EFD-B436-2390230C39B2}" srcOrd="0" destOrd="0" presId="urn:microsoft.com/office/officeart/2005/8/layout/hierarchy4"/>
    <dgm:cxn modelId="{52FB6F49-1E9A-4A06-8ACA-238CC66DD9C4}" srcId="{E3FD34A2-EE44-4A99-8D5D-29A9AB6A9EA5}" destId="{64101C47-4C87-4813-841A-1A7CAE56CB3C}" srcOrd="0" destOrd="0" parTransId="{CF86015D-F51A-4C88-944E-EDF95A68B03B}" sibTransId="{4414D8A1-A5D5-4EEE-94A3-3AADB485FD38}"/>
    <dgm:cxn modelId="{AA95B049-865D-4F48-9CF1-FFC396F66497}" type="presOf" srcId="{4EE9B6D4-29C0-43B2-A258-4CD1F70D816E}" destId="{C4D20B73-AD65-4466-B950-9FCCF411C499}" srcOrd="0" destOrd="0" presId="urn:microsoft.com/office/officeart/2005/8/layout/hierarchy4"/>
    <dgm:cxn modelId="{C1A9CF4C-6659-4BA2-BD9D-919FEDB5EAE5}" srcId="{4EE9B6D4-29C0-43B2-A258-4CD1F70D816E}" destId="{54314ACC-014C-4371-A18F-DEC8DE5245F4}" srcOrd="0" destOrd="0" parTransId="{8FADB246-F759-420B-803A-CF478BC5D448}" sibTransId="{4AD1C971-8CD6-441C-A5B2-82371A21C4AB}"/>
    <dgm:cxn modelId="{5DC97151-F6BC-4EEE-B64E-8A3C6C84D3A4}" type="presOf" srcId="{E3FD34A2-EE44-4A99-8D5D-29A9AB6A9EA5}" destId="{DC7A5A20-1E0D-45D8-A244-4FBC3B59C120}" srcOrd="0" destOrd="0" presId="urn:microsoft.com/office/officeart/2005/8/layout/hierarchy4"/>
    <dgm:cxn modelId="{15A7BD87-ACC0-4EC7-A1BC-00FE3BE3F0FF}" srcId="{04F56911-75CD-4282-8245-0FA5B2D49D26}" destId="{E3FD34A2-EE44-4A99-8D5D-29A9AB6A9EA5}" srcOrd="0" destOrd="0" parTransId="{52378BD5-3F02-4B6C-98FC-049C3F2B0B73}" sibTransId="{0B936352-F949-46DD-A51B-448AAE2CE164}"/>
    <dgm:cxn modelId="{2E18DB87-C9D6-4C49-B46E-AA4A66B9C7DD}" type="presOf" srcId="{8087D93D-47BF-4FA3-85C7-0B7379189E27}" destId="{4E7BAF05-CF1D-458A-8B4B-6E7D2DB0FA0F}" srcOrd="0" destOrd="0" presId="urn:microsoft.com/office/officeart/2005/8/layout/hierarchy4"/>
    <dgm:cxn modelId="{5F2463AF-57E0-48BD-A1C4-CD40B5FCB853}" srcId="{FC07F38A-90E0-4BE0-8DCA-6792E3E53725}" destId="{4EE9B6D4-29C0-43B2-A258-4CD1F70D816E}" srcOrd="0" destOrd="0" parTransId="{AC067101-6F9A-4BFA-9646-121E867B43A7}" sibTransId="{933FDD66-D772-415A-9394-D0DE2F0AD40F}"/>
    <dgm:cxn modelId="{F7F4C4BC-743B-4E8D-894B-2BB72F48777B}" type="presOf" srcId="{FC07F38A-90E0-4BE0-8DCA-6792E3E53725}" destId="{58947BB6-2448-49A1-A451-D84A5972E632}" srcOrd="0" destOrd="0" presId="urn:microsoft.com/office/officeart/2005/8/layout/hierarchy4"/>
    <dgm:cxn modelId="{343744CF-7D65-414E-A4A3-E62010B73FC8}" type="presOf" srcId="{54314ACC-014C-4371-A18F-DEC8DE5245F4}" destId="{205284AE-7789-471A-8D5C-3D43EF0B85F5}" srcOrd="0" destOrd="0" presId="urn:microsoft.com/office/officeart/2005/8/layout/hierarchy4"/>
    <dgm:cxn modelId="{D4FDF4F2-9467-473E-A178-EA9DC7A7B82C}" srcId="{8087D93D-47BF-4FA3-85C7-0B7379189E27}" destId="{04F56911-75CD-4282-8245-0FA5B2D49D26}" srcOrd="0" destOrd="0" parTransId="{DE5D7704-F113-46E0-957C-9623ABF43423}" sibTransId="{F834D5F5-64CD-49D3-B72E-4BFBDAC93423}"/>
    <dgm:cxn modelId="{23A36CA5-B9A8-44EC-800D-BEE504BFEA2F}" type="presParOf" srcId="{B92A6162-5394-4AE1-A420-2B7E6113642A}" destId="{367344EE-E287-4A34-8B72-34B08B50F162}" srcOrd="0" destOrd="0" presId="urn:microsoft.com/office/officeart/2005/8/layout/hierarchy4"/>
    <dgm:cxn modelId="{E1664CE4-6747-430F-BBEC-0B6A97368E1A}" type="presParOf" srcId="{367344EE-E287-4A34-8B72-34B08B50F162}" destId="{4E7BAF05-CF1D-458A-8B4B-6E7D2DB0FA0F}" srcOrd="0" destOrd="0" presId="urn:microsoft.com/office/officeart/2005/8/layout/hierarchy4"/>
    <dgm:cxn modelId="{61072D11-6BB6-4EA1-A630-4F2C981D02B0}" type="presParOf" srcId="{367344EE-E287-4A34-8B72-34B08B50F162}" destId="{67439808-5E00-49B2-9E3F-503D3127EEF5}" srcOrd="1" destOrd="0" presId="urn:microsoft.com/office/officeart/2005/8/layout/hierarchy4"/>
    <dgm:cxn modelId="{DC29DA09-DFD4-4B85-B3D9-8F0171D31928}" type="presParOf" srcId="{367344EE-E287-4A34-8B72-34B08B50F162}" destId="{A17C9F8A-E795-46C6-83F9-246A53A4B5C6}" srcOrd="2" destOrd="0" presId="urn:microsoft.com/office/officeart/2005/8/layout/hierarchy4"/>
    <dgm:cxn modelId="{6D0B352C-F122-4B44-95EE-31F102E89327}" type="presParOf" srcId="{A17C9F8A-E795-46C6-83F9-246A53A4B5C6}" destId="{1992B46D-08AC-4AD9-B9FD-2D46EC78CE9D}" srcOrd="0" destOrd="0" presId="urn:microsoft.com/office/officeart/2005/8/layout/hierarchy4"/>
    <dgm:cxn modelId="{FB52ADA5-ECCB-485D-9F0C-F92FF7DEC756}" type="presParOf" srcId="{1992B46D-08AC-4AD9-B9FD-2D46EC78CE9D}" destId="{DBC607D6-3194-4352-9BA5-91845112C2FE}" srcOrd="0" destOrd="0" presId="urn:microsoft.com/office/officeart/2005/8/layout/hierarchy4"/>
    <dgm:cxn modelId="{CC1756D6-D8AC-48F4-AF53-A5C161B6879A}" type="presParOf" srcId="{1992B46D-08AC-4AD9-B9FD-2D46EC78CE9D}" destId="{CE76224C-99FC-4CB9-BD94-BC09D794C186}" srcOrd="1" destOrd="0" presId="urn:microsoft.com/office/officeart/2005/8/layout/hierarchy4"/>
    <dgm:cxn modelId="{7E01416A-2864-4992-9E7A-BB21E60EAE43}" type="presParOf" srcId="{1992B46D-08AC-4AD9-B9FD-2D46EC78CE9D}" destId="{C5D39C4D-C7A1-4F7B-BA8B-4B22673CBAFB}" srcOrd="2" destOrd="0" presId="urn:microsoft.com/office/officeart/2005/8/layout/hierarchy4"/>
    <dgm:cxn modelId="{FE1F4203-D31B-4CA6-895B-815BBBC928CE}" type="presParOf" srcId="{C5D39C4D-C7A1-4F7B-BA8B-4B22673CBAFB}" destId="{9D76341B-2AC2-46C5-AFF9-B5F64D09F0D7}" srcOrd="0" destOrd="0" presId="urn:microsoft.com/office/officeart/2005/8/layout/hierarchy4"/>
    <dgm:cxn modelId="{6440CDCD-5544-4D94-9F93-12E75E8892A5}" type="presParOf" srcId="{9D76341B-2AC2-46C5-AFF9-B5F64D09F0D7}" destId="{DC7A5A20-1E0D-45D8-A244-4FBC3B59C120}" srcOrd="0" destOrd="0" presId="urn:microsoft.com/office/officeart/2005/8/layout/hierarchy4"/>
    <dgm:cxn modelId="{5E44517E-1596-4DEC-B692-0733D6853EBD}" type="presParOf" srcId="{9D76341B-2AC2-46C5-AFF9-B5F64D09F0D7}" destId="{DCB5DFF6-6D3A-4209-B9D5-9388ED61FB89}" srcOrd="1" destOrd="0" presId="urn:microsoft.com/office/officeart/2005/8/layout/hierarchy4"/>
    <dgm:cxn modelId="{8320D3BF-0122-4D5A-80F1-20FDC2CA1898}" type="presParOf" srcId="{9D76341B-2AC2-46C5-AFF9-B5F64D09F0D7}" destId="{7E52D510-FC01-48CB-91D5-9AD53CD52462}" srcOrd="2" destOrd="0" presId="urn:microsoft.com/office/officeart/2005/8/layout/hierarchy4"/>
    <dgm:cxn modelId="{E2499411-0231-4A6E-89BF-D85F3B5D6B51}" type="presParOf" srcId="{7E52D510-FC01-48CB-91D5-9AD53CD52462}" destId="{79B37EAA-38EA-487B-A155-C90BC48B122B}" srcOrd="0" destOrd="0" presId="urn:microsoft.com/office/officeart/2005/8/layout/hierarchy4"/>
    <dgm:cxn modelId="{A0A4F55F-7232-4354-82E6-C1CA7833D6E3}" type="presParOf" srcId="{79B37EAA-38EA-487B-A155-C90BC48B122B}" destId="{040795AF-F2C0-4EFD-B436-2390230C39B2}" srcOrd="0" destOrd="0" presId="urn:microsoft.com/office/officeart/2005/8/layout/hierarchy4"/>
    <dgm:cxn modelId="{2CBDA14C-7B23-4864-9234-61A1A1A4C245}" type="presParOf" srcId="{79B37EAA-38EA-487B-A155-C90BC48B122B}" destId="{A30D7B63-FDE3-4267-867B-17F2A816AA15}" srcOrd="1" destOrd="0" presId="urn:microsoft.com/office/officeart/2005/8/layout/hierarchy4"/>
    <dgm:cxn modelId="{260BD4D4-A8D0-4116-A5F7-89A7CD47C674}" type="presParOf" srcId="{A17C9F8A-E795-46C6-83F9-246A53A4B5C6}" destId="{B276E4C6-A3BA-4257-A59B-4538D7E3CCAC}" srcOrd="1" destOrd="0" presId="urn:microsoft.com/office/officeart/2005/8/layout/hierarchy4"/>
    <dgm:cxn modelId="{DCEBC82C-2E3D-477E-9C67-A72E61FC78C7}" type="presParOf" srcId="{A17C9F8A-E795-46C6-83F9-246A53A4B5C6}" destId="{5D4DD6B8-E595-44F1-A58D-B6A113422542}" srcOrd="2" destOrd="0" presId="urn:microsoft.com/office/officeart/2005/8/layout/hierarchy4"/>
    <dgm:cxn modelId="{6DF013FB-8F52-41AF-A1B5-C36935C996D6}" type="presParOf" srcId="{5D4DD6B8-E595-44F1-A58D-B6A113422542}" destId="{58947BB6-2448-49A1-A451-D84A5972E632}" srcOrd="0" destOrd="0" presId="urn:microsoft.com/office/officeart/2005/8/layout/hierarchy4"/>
    <dgm:cxn modelId="{AB0F2BA9-5F74-4C89-B12A-E96AEF10D599}" type="presParOf" srcId="{5D4DD6B8-E595-44F1-A58D-B6A113422542}" destId="{734695B9-FAD3-408F-9878-913FA468E583}" srcOrd="1" destOrd="0" presId="urn:microsoft.com/office/officeart/2005/8/layout/hierarchy4"/>
    <dgm:cxn modelId="{5AF97869-4BFD-494F-BEF8-01B9E60C435F}" type="presParOf" srcId="{5D4DD6B8-E595-44F1-A58D-B6A113422542}" destId="{6D377CDB-F1A6-4BCA-A931-C712D9F4DCD3}" srcOrd="2" destOrd="0" presId="urn:microsoft.com/office/officeart/2005/8/layout/hierarchy4"/>
    <dgm:cxn modelId="{AA67A530-9A3E-4310-90CD-7D6883B16D5B}" type="presParOf" srcId="{6D377CDB-F1A6-4BCA-A931-C712D9F4DCD3}" destId="{23CE494A-B6F4-4F5F-8148-F77520632B2F}" srcOrd="0" destOrd="0" presId="urn:microsoft.com/office/officeart/2005/8/layout/hierarchy4"/>
    <dgm:cxn modelId="{E5360909-C306-46BC-AA31-1484DF1AE0ED}" type="presParOf" srcId="{23CE494A-B6F4-4F5F-8148-F77520632B2F}" destId="{C4D20B73-AD65-4466-B950-9FCCF411C499}" srcOrd="0" destOrd="0" presId="urn:microsoft.com/office/officeart/2005/8/layout/hierarchy4"/>
    <dgm:cxn modelId="{E201DD25-55DA-42D2-8875-0082FCF3D530}" type="presParOf" srcId="{23CE494A-B6F4-4F5F-8148-F77520632B2F}" destId="{D11B2AB4-CD9E-4C5F-9B43-5AF283496499}" srcOrd="1" destOrd="0" presId="urn:microsoft.com/office/officeart/2005/8/layout/hierarchy4"/>
    <dgm:cxn modelId="{7C0951D0-CF85-4416-BAB5-D4D33D24AE1D}" type="presParOf" srcId="{23CE494A-B6F4-4F5F-8148-F77520632B2F}" destId="{013FBC50-2BD7-4B65-A3F9-99EB47C89729}" srcOrd="2" destOrd="0" presId="urn:microsoft.com/office/officeart/2005/8/layout/hierarchy4"/>
    <dgm:cxn modelId="{21D93FA5-7F3F-43AD-A744-C048816E06B0}" type="presParOf" srcId="{013FBC50-2BD7-4B65-A3F9-99EB47C89729}" destId="{79008CEB-44D4-4E98-8DFD-F9666269B13C}" srcOrd="0" destOrd="0" presId="urn:microsoft.com/office/officeart/2005/8/layout/hierarchy4"/>
    <dgm:cxn modelId="{ACC26C47-FEFB-480A-9448-2CA1A19269FA}" type="presParOf" srcId="{79008CEB-44D4-4E98-8DFD-F9666269B13C}" destId="{205284AE-7789-471A-8D5C-3D43EF0B85F5}" srcOrd="0" destOrd="0" presId="urn:microsoft.com/office/officeart/2005/8/layout/hierarchy4"/>
    <dgm:cxn modelId="{2063E617-89FF-4396-8A19-9A8332EED35A}" type="presParOf" srcId="{79008CEB-44D4-4E98-8DFD-F9666269B13C}" destId="{BF1432EB-B15A-4B53-9546-DC8661B71DAE}" srcOrd="1" destOrd="0" presId="urn:microsoft.com/office/officeart/2005/8/layout/hierarchy4"/>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07D51C1-7E4C-438B-BFDC-EEA848193461}">
      <dsp:nvSpPr>
        <dsp:cNvPr id="0" name=""/>
        <dsp:cNvSpPr/>
      </dsp:nvSpPr>
      <dsp:spPr>
        <a:xfrm>
          <a:off x="2743200" y="862362"/>
          <a:ext cx="1940834" cy="336838"/>
        </a:xfrm>
        <a:custGeom>
          <a:avLst/>
          <a:gdLst/>
          <a:ahLst/>
          <a:cxnLst/>
          <a:rect l="0" t="0" r="0" b="0"/>
          <a:pathLst>
            <a:path>
              <a:moveTo>
                <a:pt x="0" y="0"/>
              </a:moveTo>
              <a:lnTo>
                <a:pt x="0" y="168419"/>
              </a:lnTo>
              <a:lnTo>
                <a:pt x="1940834" y="168419"/>
              </a:lnTo>
              <a:lnTo>
                <a:pt x="1940834" y="336838"/>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58DCCBB-EA04-4404-9AF1-357132350F06}">
      <dsp:nvSpPr>
        <dsp:cNvPr id="0" name=""/>
        <dsp:cNvSpPr/>
      </dsp:nvSpPr>
      <dsp:spPr>
        <a:xfrm>
          <a:off x="2697479" y="862362"/>
          <a:ext cx="91440" cy="336838"/>
        </a:xfrm>
        <a:custGeom>
          <a:avLst/>
          <a:gdLst/>
          <a:ahLst/>
          <a:cxnLst/>
          <a:rect l="0" t="0" r="0" b="0"/>
          <a:pathLst>
            <a:path>
              <a:moveTo>
                <a:pt x="45720" y="0"/>
              </a:moveTo>
              <a:lnTo>
                <a:pt x="45720" y="336838"/>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AAA7EAD-F4D6-4CCD-BD02-7ED12F4DEFB0}">
      <dsp:nvSpPr>
        <dsp:cNvPr id="0" name=""/>
        <dsp:cNvSpPr/>
      </dsp:nvSpPr>
      <dsp:spPr>
        <a:xfrm>
          <a:off x="160767" y="2001198"/>
          <a:ext cx="240599" cy="737837"/>
        </a:xfrm>
        <a:custGeom>
          <a:avLst/>
          <a:gdLst/>
          <a:ahLst/>
          <a:cxnLst/>
          <a:rect l="0" t="0" r="0" b="0"/>
          <a:pathLst>
            <a:path>
              <a:moveTo>
                <a:pt x="0" y="0"/>
              </a:moveTo>
              <a:lnTo>
                <a:pt x="0" y="737837"/>
              </a:lnTo>
              <a:lnTo>
                <a:pt x="240599" y="737837"/>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7B10143-C587-42FB-BB66-C4FF133C5905}">
      <dsp:nvSpPr>
        <dsp:cNvPr id="0" name=""/>
        <dsp:cNvSpPr/>
      </dsp:nvSpPr>
      <dsp:spPr>
        <a:xfrm>
          <a:off x="802365" y="862362"/>
          <a:ext cx="1940834" cy="336838"/>
        </a:xfrm>
        <a:custGeom>
          <a:avLst/>
          <a:gdLst/>
          <a:ahLst/>
          <a:cxnLst/>
          <a:rect l="0" t="0" r="0" b="0"/>
          <a:pathLst>
            <a:path>
              <a:moveTo>
                <a:pt x="1940834" y="0"/>
              </a:moveTo>
              <a:lnTo>
                <a:pt x="1940834" y="168419"/>
              </a:lnTo>
              <a:lnTo>
                <a:pt x="0" y="168419"/>
              </a:lnTo>
              <a:lnTo>
                <a:pt x="0" y="336838"/>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173DD1B-9DAF-4A1B-8D0C-F1DF8B11938C}">
      <dsp:nvSpPr>
        <dsp:cNvPr id="0" name=""/>
        <dsp:cNvSpPr/>
      </dsp:nvSpPr>
      <dsp:spPr>
        <a:xfrm>
          <a:off x="1941202" y="60364"/>
          <a:ext cx="1603995" cy="801997"/>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lv-LV" sz="1400" kern="1200"/>
            <a:t>Tehnoloģiju tiesību komercilizācija</a:t>
          </a:r>
        </a:p>
      </dsp:txBody>
      <dsp:txXfrm>
        <a:off x="1941202" y="60364"/>
        <a:ext cx="1603995" cy="801997"/>
      </dsp:txXfrm>
    </dsp:sp>
    <dsp:sp modelId="{930EF68D-82BE-440E-B9D6-4DC4F0CDA45D}">
      <dsp:nvSpPr>
        <dsp:cNvPr id="0" name=""/>
        <dsp:cNvSpPr/>
      </dsp:nvSpPr>
      <dsp:spPr>
        <a:xfrm>
          <a:off x="368" y="1199201"/>
          <a:ext cx="1603995" cy="801997"/>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lv-LV" sz="1400" kern="1200"/>
            <a:t>Publiska izsole</a:t>
          </a:r>
        </a:p>
      </dsp:txBody>
      <dsp:txXfrm>
        <a:off x="368" y="1199201"/>
        <a:ext cx="1603995" cy="801997"/>
      </dsp:txXfrm>
    </dsp:sp>
    <dsp:sp modelId="{8AB4D7A4-7ABB-43EE-85B1-5EF3AC6E1A22}">
      <dsp:nvSpPr>
        <dsp:cNvPr id="0" name=""/>
        <dsp:cNvSpPr/>
      </dsp:nvSpPr>
      <dsp:spPr>
        <a:xfrm>
          <a:off x="401367" y="2338037"/>
          <a:ext cx="4701935" cy="801997"/>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lv-LV" sz="1400" kern="1200"/>
            <a:t>Sākumcenas noteikšana: izmaksu vai ieņēmumu metode</a:t>
          </a:r>
        </a:p>
      </dsp:txBody>
      <dsp:txXfrm>
        <a:off x="401367" y="2338037"/>
        <a:ext cx="4701935" cy="801997"/>
      </dsp:txXfrm>
    </dsp:sp>
    <dsp:sp modelId="{285BF3EB-B8CA-4EED-8C67-2BE766B8A640}">
      <dsp:nvSpPr>
        <dsp:cNvPr id="0" name=""/>
        <dsp:cNvSpPr/>
      </dsp:nvSpPr>
      <dsp:spPr>
        <a:xfrm>
          <a:off x="1941202" y="1199201"/>
          <a:ext cx="1603995" cy="801997"/>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lv-LV" sz="1400" kern="1200"/>
            <a:t>Sarunu pocedūra</a:t>
          </a:r>
        </a:p>
      </dsp:txBody>
      <dsp:txXfrm>
        <a:off x="1941202" y="1199201"/>
        <a:ext cx="1603995" cy="801997"/>
      </dsp:txXfrm>
    </dsp:sp>
    <dsp:sp modelId="{7A6109DD-200F-43C9-A139-A30017747532}">
      <dsp:nvSpPr>
        <dsp:cNvPr id="0" name=""/>
        <dsp:cNvSpPr/>
      </dsp:nvSpPr>
      <dsp:spPr>
        <a:xfrm>
          <a:off x="3882036" y="1199201"/>
          <a:ext cx="1603995" cy="801997"/>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lv-LV" sz="1400" kern="1200"/>
            <a:t>Neatkarīga eksperta vērtējums</a:t>
          </a:r>
        </a:p>
      </dsp:txBody>
      <dsp:txXfrm>
        <a:off x="3882036" y="1199201"/>
        <a:ext cx="1603995" cy="80199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E7BAF05-CF1D-458A-8B4B-6E7D2DB0FA0F}">
      <dsp:nvSpPr>
        <dsp:cNvPr id="0" name=""/>
        <dsp:cNvSpPr/>
      </dsp:nvSpPr>
      <dsp:spPr>
        <a:xfrm>
          <a:off x="1531" y="0"/>
          <a:ext cx="5757022" cy="390826"/>
        </a:xfrm>
        <a:prstGeom prst="roundRect">
          <a:avLst>
            <a:gd name="adj" fmla="val 10000"/>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lv-LV" sz="1400" i="0" kern="1200" dirty="0">
              <a:latin typeface="Verdana" panose="020B0604030504040204" pitchFamily="34" charset="0"/>
              <a:ea typeface="Verdana" panose="020B0604030504040204" pitchFamily="34" charset="0"/>
              <a:cs typeface="Verdana" panose="020B0604030504040204" pitchFamily="34" charset="0"/>
            </a:rPr>
            <a:t>TT komercializācija PO dibinātam </a:t>
          </a:r>
          <a:r>
            <a:rPr lang="lv-LV" sz="1400" i="0" kern="1200" dirty="0" err="1">
              <a:latin typeface="Verdana" panose="020B0604030504040204" pitchFamily="34" charset="0"/>
              <a:ea typeface="Verdana" panose="020B0604030504040204" pitchFamily="34" charset="0"/>
              <a:cs typeface="Verdana" panose="020B0604030504040204" pitchFamily="34" charset="0"/>
            </a:rPr>
            <a:t>jaunuzņēmumam</a:t>
          </a:r>
          <a:endParaRPr lang="en-US" sz="1400" i="0" kern="1200" dirty="0">
            <a:latin typeface="Verdana" panose="020B0604030504040204" pitchFamily="34" charset="0"/>
            <a:ea typeface="Verdana" panose="020B0604030504040204" pitchFamily="34" charset="0"/>
            <a:cs typeface="Verdana" panose="020B0604030504040204" pitchFamily="34" charset="0"/>
          </a:endParaRPr>
        </a:p>
      </dsp:txBody>
      <dsp:txXfrm>
        <a:off x="12978" y="11447"/>
        <a:ext cx="5734128" cy="367932"/>
      </dsp:txXfrm>
    </dsp:sp>
    <dsp:sp modelId="{DBC607D6-3194-4352-9BA5-91845112C2FE}">
      <dsp:nvSpPr>
        <dsp:cNvPr id="0" name=""/>
        <dsp:cNvSpPr/>
      </dsp:nvSpPr>
      <dsp:spPr>
        <a:xfrm>
          <a:off x="7150" y="456164"/>
          <a:ext cx="2143057" cy="714733"/>
        </a:xfrm>
        <a:prstGeom prst="roundRect">
          <a:avLst>
            <a:gd name="adj" fmla="val 10000"/>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lv-LV" sz="1400" b="0" i="0" kern="1200" dirty="0"/>
            <a:t>Kompensācijas noteikšana</a:t>
          </a:r>
          <a:endParaRPr lang="en-US" sz="1400" b="0" i="0" kern="1200" dirty="0"/>
        </a:p>
      </dsp:txBody>
      <dsp:txXfrm>
        <a:off x="28084" y="477098"/>
        <a:ext cx="2101189" cy="672865"/>
      </dsp:txXfrm>
    </dsp:sp>
    <dsp:sp modelId="{DC7A5A20-1E0D-45D8-A244-4FBC3B59C120}">
      <dsp:nvSpPr>
        <dsp:cNvPr id="0" name=""/>
        <dsp:cNvSpPr/>
      </dsp:nvSpPr>
      <dsp:spPr>
        <a:xfrm>
          <a:off x="11330" y="1235710"/>
          <a:ext cx="2134698" cy="723520"/>
        </a:xfrm>
        <a:prstGeom prst="roundRect">
          <a:avLst>
            <a:gd name="adj" fmla="val 10000"/>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lv-LV" sz="1400" i="0" kern="1200" dirty="0"/>
            <a:t>TT pirkuma vai licences līgums</a:t>
          </a:r>
          <a:endParaRPr lang="en-US" sz="1400" i="0" kern="1200" dirty="0"/>
        </a:p>
      </dsp:txBody>
      <dsp:txXfrm>
        <a:off x="32521" y="1256901"/>
        <a:ext cx="2092316" cy="681138"/>
      </dsp:txXfrm>
    </dsp:sp>
    <dsp:sp modelId="{040795AF-F2C0-4EFD-B436-2390230C39B2}">
      <dsp:nvSpPr>
        <dsp:cNvPr id="0" name=""/>
        <dsp:cNvSpPr/>
      </dsp:nvSpPr>
      <dsp:spPr>
        <a:xfrm>
          <a:off x="27701" y="2024043"/>
          <a:ext cx="2101956" cy="509080"/>
        </a:xfrm>
        <a:prstGeom prst="roundRect">
          <a:avLst>
            <a:gd name="adj" fmla="val 10000"/>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lv-LV" sz="1400" i="0" kern="1200" dirty="0"/>
            <a:t>peļņu iegulda pamatdarbībā</a:t>
          </a:r>
          <a:endParaRPr lang="en-US" sz="1400" i="0" kern="1200" dirty="0"/>
        </a:p>
      </dsp:txBody>
      <dsp:txXfrm>
        <a:off x="42611" y="2038953"/>
        <a:ext cx="2072136" cy="479260"/>
      </dsp:txXfrm>
    </dsp:sp>
    <dsp:sp modelId="{58947BB6-2448-49A1-A451-D84A5972E632}">
      <dsp:nvSpPr>
        <dsp:cNvPr id="0" name=""/>
        <dsp:cNvSpPr/>
      </dsp:nvSpPr>
      <dsp:spPr>
        <a:xfrm>
          <a:off x="2429385" y="456164"/>
          <a:ext cx="3323548" cy="712356"/>
        </a:xfrm>
        <a:prstGeom prst="roundRect">
          <a:avLst>
            <a:gd name="adj" fmla="val 10000"/>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lv-LV" sz="1400" b="0" i="0" kern="1200" dirty="0"/>
            <a:t>PO pierāda, ka izvēlas labāko no piedāvājumiem </a:t>
          </a:r>
        </a:p>
      </dsp:txBody>
      <dsp:txXfrm>
        <a:off x="2450249" y="477028"/>
        <a:ext cx="3281820" cy="670628"/>
      </dsp:txXfrm>
    </dsp:sp>
    <dsp:sp modelId="{C4D20B73-AD65-4466-B950-9FCCF411C499}">
      <dsp:nvSpPr>
        <dsp:cNvPr id="0" name=""/>
        <dsp:cNvSpPr/>
      </dsp:nvSpPr>
      <dsp:spPr>
        <a:xfrm>
          <a:off x="2435867" y="1233333"/>
          <a:ext cx="3310584" cy="721810"/>
        </a:xfrm>
        <a:prstGeom prst="roundRect">
          <a:avLst>
            <a:gd name="adj" fmla="val 10000"/>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lv-LV" sz="1400" b="0" i="0" kern="1200" dirty="0"/>
            <a:t>dibināšanai nepieciešamās finanses nodrošina no resursiem, par kuriem nav saņemts nekāds publisks atbalsts</a:t>
          </a:r>
          <a:endParaRPr lang="en-US" sz="1400" b="0" i="0" kern="1200" dirty="0"/>
        </a:p>
      </dsp:txBody>
      <dsp:txXfrm>
        <a:off x="2457008" y="1254474"/>
        <a:ext cx="3268302" cy="679528"/>
      </dsp:txXfrm>
    </dsp:sp>
    <dsp:sp modelId="{205284AE-7789-471A-8D5C-3D43EF0B85F5}">
      <dsp:nvSpPr>
        <dsp:cNvPr id="0" name=""/>
        <dsp:cNvSpPr/>
      </dsp:nvSpPr>
      <dsp:spPr>
        <a:xfrm>
          <a:off x="2435867" y="2019955"/>
          <a:ext cx="3310584" cy="509080"/>
        </a:xfrm>
        <a:prstGeom prst="roundRect">
          <a:avLst>
            <a:gd name="adj" fmla="val 10000"/>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lv-LV" sz="1400" i="0" kern="1200" dirty="0"/>
            <a:t>PO publisko </a:t>
          </a:r>
          <a:r>
            <a:rPr lang="lv-LV" sz="1400" i="0" kern="1200" dirty="0" err="1"/>
            <a:t>jaunuzņēmuma</a:t>
          </a:r>
          <a:r>
            <a:rPr lang="lv-LV" sz="1400" i="0" kern="1200" dirty="0"/>
            <a:t> intelektuālā īpašuma pārvaldības politikas aprakstu</a:t>
          </a:r>
          <a:endParaRPr lang="en-US" sz="1400" i="0" kern="1200" dirty="0"/>
        </a:p>
      </dsp:txBody>
      <dsp:txXfrm>
        <a:off x="2450777" y="2034865"/>
        <a:ext cx="3280764" cy="47926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5CFE1A-B6F4-4708-A133-431BEFA7E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5499</Words>
  <Characters>3135</Characters>
  <Application>Microsoft Office Word</Application>
  <DocSecurity>4</DocSecurity>
  <Lines>26</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 Švirksta</dc:creator>
  <cp:keywords/>
  <dc:description/>
  <cp:lastModifiedBy>Līvija Rumbeniece</cp:lastModifiedBy>
  <cp:revision>2</cp:revision>
  <cp:lastPrinted>2020-07-10T05:39:00Z</cp:lastPrinted>
  <dcterms:created xsi:type="dcterms:W3CDTF">2021-03-19T09:04:00Z</dcterms:created>
  <dcterms:modified xsi:type="dcterms:W3CDTF">2021-03-19T09:04:00Z</dcterms:modified>
</cp:coreProperties>
</file>