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24E6E" w14:textId="1B7AC5C7" w:rsidR="00137F83" w:rsidRDefault="00390391" w:rsidP="00CC7CF8">
      <w:pPr>
        <w:spacing w:line="360" w:lineRule="auto"/>
        <w:jc w:val="center"/>
        <w:rPr>
          <w:rFonts w:ascii="Verdana" w:hAnsi="Verdana"/>
          <w:sz w:val="40"/>
        </w:rPr>
      </w:pPr>
      <w:r>
        <w:rPr>
          <w:noProof/>
        </w:rPr>
        <w:drawing>
          <wp:anchor distT="0" distB="0" distL="114300" distR="114300" simplePos="0" relativeHeight="251658433" behindDoc="1" locked="0" layoutInCell="1" allowOverlap="1" wp14:anchorId="50022585" wp14:editId="69C67E21">
            <wp:simplePos x="0" y="0"/>
            <wp:positionH relativeFrom="column">
              <wp:posOffset>2220470</wp:posOffset>
            </wp:positionH>
            <wp:positionV relativeFrom="paragraph">
              <wp:posOffset>-742076</wp:posOffset>
            </wp:positionV>
            <wp:extent cx="2034565" cy="1901228"/>
            <wp:effectExtent l="0" t="0" r="3810" b="3810"/>
            <wp:wrapNone/>
            <wp:docPr id="1699521507" name="Attēls 190" descr="Home | Centrālā finanšu un līgumu aģ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entrālā finanšu un līgumu aģentū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65" cy="1901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69FC" w14:textId="77777777" w:rsidR="00137F83" w:rsidRDefault="00137F83" w:rsidP="00CC7CF8">
      <w:pPr>
        <w:spacing w:line="360" w:lineRule="auto"/>
        <w:jc w:val="center"/>
        <w:rPr>
          <w:rFonts w:ascii="Verdana" w:hAnsi="Verdana"/>
          <w:sz w:val="40"/>
        </w:rPr>
      </w:pPr>
    </w:p>
    <w:p w14:paraId="5BDCC373" w14:textId="77777777" w:rsidR="00137F83" w:rsidRDefault="00137F83" w:rsidP="00CC7CF8">
      <w:pPr>
        <w:spacing w:line="360" w:lineRule="auto"/>
        <w:jc w:val="center"/>
        <w:rPr>
          <w:rFonts w:ascii="Verdana" w:hAnsi="Verdana"/>
          <w:sz w:val="40"/>
        </w:rPr>
      </w:pPr>
    </w:p>
    <w:p w14:paraId="217A90CA" w14:textId="77777777" w:rsidR="00705440" w:rsidRDefault="00705440" w:rsidP="00CC7CF8">
      <w:pPr>
        <w:spacing w:line="360" w:lineRule="auto"/>
        <w:jc w:val="center"/>
        <w:rPr>
          <w:rFonts w:ascii="Verdana" w:hAnsi="Verdana"/>
          <w:sz w:val="40"/>
        </w:rPr>
      </w:pPr>
    </w:p>
    <w:p w14:paraId="05AD18E0" w14:textId="77777777" w:rsidR="00137F83" w:rsidRDefault="00137F83" w:rsidP="00CC7CF8">
      <w:pPr>
        <w:spacing w:line="360" w:lineRule="auto"/>
        <w:jc w:val="center"/>
        <w:rPr>
          <w:rFonts w:ascii="Verdana" w:hAnsi="Verdana"/>
          <w:sz w:val="40"/>
        </w:rPr>
      </w:pPr>
    </w:p>
    <w:p w14:paraId="1F19DE13" w14:textId="3F42EDE4" w:rsidR="00BB5440" w:rsidRDefault="00CB5B0C" w:rsidP="00CC7CF8">
      <w:pPr>
        <w:spacing w:line="360" w:lineRule="auto"/>
        <w:jc w:val="center"/>
        <w:rPr>
          <w:rFonts w:ascii="Verdana" w:hAnsi="Verdana"/>
          <w:sz w:val="40"/>
        </w:rPr>
      </w:pPr>
      <w:r>
        <w:rPr>
          <w:rFonts w:ascii="Verdana" w:hAnsi="Verdana"/>
          <w:sz w:val="40"/>
        </w:rPr>
        <w:t xml:space="preserve">Guidelines for the Development of Financial and Economic Calculations for Public-Private Partnerships </w:t>
      </w:r>
    </w:p>
    <w:p w14:paraId="167035F9" w14:textId="74BFF32F" w:rsidR="00A030C6" w:rsidRPr="00A030C6" w:rsidRDefault="00A030C6" w:rsidP="00CC7CF8">
      <w:pPr>
        <w:spacing w:line="360" w:lineRule="auto"/>
        <w:jc w:val="center"/>
        <w:rPr>
          <w:rFonts w:ascii="Verdana" w:hAnsi="Verdana"/>
          <w:i/>
          <w:iCs/>
          <w:sz w:val="20"/>
          <w:szCs w:val="20"/>
        </w:rPr>
      </w:pPr>
      <w:r w:rsidRPr="00A030C6">
        <w:rPr>
          <w:rFonts w:ascii="Verdana" w:hAnsi="Verdana"/>
          <w:i/>
          <w:iCs/>
          <w:sz w:val="20"/>
          <w:szCs w:val="20"/>
        </w:rPr>
        <w:t>(version of 25 September 2024)</w:t>
      </w:r>
    </w:p>
    <w:p w14:paraId="16038827" w14:textId="356B8C31" w:rsidR="00E05205" w:rsidRDefault="00E05205" w:rsidP="00CB5B0C">
      <w:pPr>
        <w:jc w:val="center"/>
        <w:rPr>
          <w:rFonts w:ascii="Verdana" w:hAnsi="Verdana"/>
          <w:sz w:val="40"/>
          <w:szCs w:val="40"/>
          <w:lang w:val="lv-LV"/>
        </w:rPr>
      </w:pPr>
    </w:p>
    <w:p w14:paraId="79EDF2F6" w14:textId="529E9B8B" w:rsidR="00E05205" w:rsidRDefault="00E05205" w:rsidP="00CB5B0C">
      <w:pPr>
        <w:jc w:val="center"/>
        <w:rPr>
          <w:rFonts w:ascii="Verdana" w:hAnsi="Verdana"/>
          <w:sz w:val="40"/>
          <w:szCs w:val="40"/>
          <w:lang w:val="lv-LV"/>
        </w:rPr>
      </w:pPr>
    </w:p>
    <w:p w14:paraId="29C21504" w14:textId="60AD3C0E" w:rsidR="00E05205" w:rsidRDefault="00E05205" w:rsidP="00CB5B0C">
      <w:pPr>
        <w:jc w:val="center"/>
        <w:rPr>
          <w:rFonts w:ascii="Verdana" w:hAnsi="Verdana"/>
          <w:sz w:val="40"/>
          <w:szCs w:val="40"/>
          <w:lang w:val="lv-LV"/>
        </w:rPr>
      </w:pPr>
    </w:p>
    <w:p w14:paraId="70E5D673" w14:textId="59CD92C7" w:rsidR="00E05205" w:rsidRDefault="00E05205" w:rsidP="00CB5B0C">
      <w:pPr>
        <w:jc w:val="center"/>
        <w:rPr>
          <w:rFonts w:ascii="Verdana" w:hAnsi="Verdana"/>
          <w:sz w:val="40"/>
          <w:szCs w:val="40"/>
          <w:lang w:val="lv-LV"/>
        </w:rPr>
      </w:pPr>
    </w:p>
    <w:p w14:paraId="3E84C1AC" w14:textId="04C52DCD" w:rsidR="00E05205" w:rsidRPr="00382259" w:rsidRDefault="00E05205" w:rsidP="00CB5B0C">
      <w:pPr>
        <w:jc w:val="center"/>
        <w:rPr>
          <w:rFonts w:ascii="Verdana" w:hAnsi="Verdana"/>
          <w:sz w:val="40"/>
          <w:szCs w:val="40"/>
          <w:lang w:val="lv-LV"/>
        </w:rPr>
      </w:pPr>
    </w:p>
    <w:p w14:paraId="64D2A401" w14:textId="77777777" w:rsidR="00CB5B0C" w:rsidRPr="00382259" w:rsidRDefault="00CB5B0C">
      <w:pPr>
        <w:rPr>
          <w:rFonts w:ascii="Verdana" w:hAnsi="Verdana"/>
          <w:sz w:val="40"/>
          <w:szCs w:val="40"/>
        </w:rPr>
      </w:pPr>
      <w:r>
        <w:br w:type="page"/>
      </w:r>
    </w:p>
    <w:p w14:paraId="7FEA9D44" w14:textId="77777777" w:rsidR="00CB5B0C" w:rsidRPr="00382259" w:rsidRDefault="00CB5B0C" w:rsidP="00CB5B0C">
      <w:pPr>
        <w:rPr>
          <w:rFonts w:ascii="Verdana" w:hAnsi="Verdana"/>
          <w:color w:val="75787B" w:themeColor="accent6"/>
          <w:sz w:val="32"/>
          <w:szCs w:val="32"/>
        </w:rPr>
      </w:pPr>
      <w:r>
        <w:rPr>
          <w:rFonts w:ascii="Verdana" w:hAnsi="Verdana"/>
          <w:color w:val="75787B" w:themeColor="accent6"/>
          <w:sz w:val="32"/>
        </w:rPr>
        <w:lastRenderedPageBreak/>
        <w:t>Table of Contents</w:t>
      </w:r>
    </w:p>
    <w:sdt>
      <w:sdtPr>
        <w:rPr>
          <w:rFonts w:asciiTheme="minorHAnsi" w:eastAsiaTheme="minorHAnsi" w:hAnsiTheme="minorHAnsi" w:cstheme="minorBidi"/>
          <w:color w:val="auto"/>
          <w:sz w:val="22"/>
          <w:szCs w:val="22"/>
          <w:shd w:val="clear" w:color="auto" w:fill="E6E6E6"/>
        </w:rPr>
        <w:id w:val="-1671934604"/>
        <w:docPartObj>
          <w:docPartGallery w:val="Table of Contents"/>
          <w:docPartUnique/>
        </w:docPartObj>
      </w:sdtPr>
      <w:sdtEndPr>
        <w:rPr>
          <w:b/>
        </w:rPr>
      </w:sdtEndPr>
      <w:sdtContent>
        <w:p w14:paraId="66A030E9" w14:textId="77777777" w:rsidR="008844C8" w:rsidRPr="00A22FF2" w:rsidRDefault="008844C8" w:rsidP="402179AB">
          <w:pPr>
            <w:pStyle w:val="Saturardtjavirsraksts"/>
            <w:rPr>
              <w:lang w:val="lv-LV"/>
            </w:rPr>
          </w:pPr>
        </w:p>
        <w:p w14:paraId="004145EC" w14:textId="3C726A6A" w:rsidR="003B2D82" w:rsidRDefault="008844C8">
          <w:pPr>
            <w:pStyle w:val="Saturs1"/>
            <w:rPr>
              <w:rFonts w:eastAsiaTheme="minorEastAsia"/>
              <w:noProof/>
              <w:kern w:val="2"/>
              <w:sz w:val="24"/>
              <w:szCs w:val="24"/>
              <w:lang w:val="en-GB" w:eastAsia="en-GB"/>
              <w14:ligatures w14:val="standardContextual"/>
            </w:rPr>
          </w:pPr>
          <w:r w:rsidRPr="6F549DE0">
            <w:fldChar w:fldCharType="begin"/>
          </w:r>
          <w:r w:rsidRPr="00A22FF2">
            <w:rPr>
              <w:b/>
            </w:rPr>
            <w:instrText xml:space="preserve"> TOC \o "1-3" \h \z \u </w:instrText>
          </w:r>
          <w:r w:rsidRPr="6F549DE0">
            <w:rPr>
              <w:b/>
              <w:color w:val="2B579A"/>
              <w:shd w:val="clear" w:color="auto" w:fill="E6E6E6"/>
            </w:rPr>
            <w:fldChar w:fldCharType="separate"/>
          </w:r>
          <w:hyperlink w:anchor="_Toc178586350" w:history="1">
            <w:r w:rsidR="003B2D82" w:rsidRPr="000B09D3">
              <w:rPr>
                <w:rStyle w:val="Hipersaite"/>
                <w:rFonts w:ascii="Verdana" w:hAnsi="Verdana"/>
                <w:noProof/>
              </w:rPr>
              <w:t>Abbreviations and Terms</w:t>
            </w:r>
            <w:r w:rsidR="003B2D82">
              <w:rPr>
                <w:noProof/>
                <w:webHidden/>
              </w:rPr>
              <w:tab/>
            </w:r>
            <w:r w:rsidR="003B2D82">
              <w:rPr>
                <w:noProof/>
                <w:webHidden/>
              </w:rPr>
              <w:fldChar w:fldCharType="begin"/>
            </w:r>
            <w:r w:rsidR="003B2D82">
              <w:rPr>
                <w:noProof/>
                <w:webHidden/>
              </w:rPr>
              <w:instrText xml:space="preserve"> PAGEREF _Toc178586350 \h </w:instrText>
            </w:r>
            <w:r w:rsidR="003B2D82">
              <w:rPr>
                <w:noProof/>
                <w:webHidden/>
              </w:rPr>
            </w:r>
            <w:r w:rsidR="003B2D82">
              <w:rPr>
                <w:noProof/>
                <w:webHidden/>
              </w:rPr>
              <w:fldChar w:fldCharType="separate"/>
            </w:r>
            <w:r w:rsidR="00D36C9B">
              <w:rPr>
                <w:noProof/>
                <w:webHidden/>
              </w:rPr>
              <w:t>2</w:t>
            </w:r>
            <w:r w:rsidR="003B2D82">
              <w:rPr>
                <w:noProof/>
                <w:webHidden/>
              </w:rPr>
              <w:fldChar w:fldCharType="end"/>
            </w:r>
          </w:hyperlink>
        </w:p>
        <w:p w14:paraId="6324232F" w14:textId="35F8A8B9" w:rsidR="003B2D82" w:rsidRDefault="003B2D82">
          <w:pPr>
            <w:pStyle w:val="Saturs1"/>
            <w:rPr>
              <w:rFonts w:eastAsiaTheme="minorEastAsia"/>
              <w:noProof/>
              <w:kern w:val="2"/>
              <w:sz w:val="24"/>
              <w:szCs w:val="24"/>
              <w:lang w:val="en-GB" w:eastAsia="en-GB"/>
              <w14:ligatures w14:val="standardContextual"/>
            </w:rPr>
          </w:pPr>
          <w:hyperlink w:anchor="_Toc178586351" w:history="1">
            <w:r w:rsidRPr="000B09D3">
              <w:rPr>
                <w:rStyle w:val="Hipersaite"/>
                <w:rFonts w:ascii="Verdana" w:hAnsi="Verdana"/>
                <w:noProof/>
              </w:rPr>
              <w:t>Introduction</w:t>
            </w:r>
            <w:r>
              <w:rPr>
                <w:noProof/>
                <w:webHidden/>
              </w:rPr>
              <w:tab/>
            </w:r>
            <w:r>
              <w:rPr>
                <w:noProof/>
                <w:webHidden/>
              </w:rPr>
              <w:fldChar w:fldCharType="begin"/>
            </w:r>
            <w:r>
              <w:rPr>
                <w:noProof/>
                <w:webHidden/>
              </w:rPr>
              <w:instrText xml:space="preserve"> PAGEREF _Toc178586351 \h </w:instrText>
            </w:r>
            <w:r>
              <w:rPr>
                <w:noProof/>
                <w:webHidden/>
              </w:rPr>
            </w:r>
            <w:r>
              <w:rPr>
                <w:noProof/>
                <w:webHidden/>
              </w:rPr>
              <w:fldChar w:fldCharType="separate"/>
            </w:r>
            <w:r w:rsidR="00D36C9B">
              <w:rPr>
                <w:noProof/>
                <w:webHidden/>
              </w:rPr>
              <w:t>6</w:t>
            </w:r>
            <w:r>
              <w:rPr>
                <w:noProof/>
                <w:webHidden/>
              </w:rPr>
              <w:fldChar w:fldCharType="end"/>
            </w:r>
          </w:hyperlink>
        </w:p>
        <w:p w14:paraId="7C66A19B" w14:textId="26F2F70A" w:rsidR="003B2D82" w:rsidRDefault="003B2D82">
          <w:pPr>
            <w:pStyle w:val="Saturs1"/>
            <w:rPr>
              <w:rFonts w:eastAsiaTheme="minorEastAsia"/>
              <w:noProof/>
              <w:kern w:val="2"/>
              <w:sz w:val="24"/>
              <w:szCs w:val="24"/>
              <w:lang w:val="en-GB" w:eastAsia="en-GB"/>
              <w14:ligatures w14:val="standardContextual"/>
            </w:rPr>
          </w:pPr>
          <w:hyperlink w:anchor="_Toc178586352" w:history="1">
            <w:r w:rsidRPr="000B09D3">
              <w:rPr>
                <w:rStyle w:val="Hipersaite"/>
                <w:noProof/>
              </w:rPr>
              <w:t>1.</w:t>
            </w:r>
            <w:r>
              <w:rPr>
                <w:rFonts w:eastAsiaTheme="minorEastAsia"/>
                <w:noProof/>
                <w:kern w:val="2"/>
                <w:sz w:val="24"/>
                <w:szCs w:val="24"/>
                <w:lang w:val="en-GB" w:eastAsia="en-GB"/>
                <w14:ligatures w14:val="standardContextual"/>
              </w:rPr>
              <w:tab/>
            </w:r>
            <w:r w:rsidRPr="000B09D3">
              <w:rPr>
                <w:rStyle w:val="Hipersaite"/>
                <w:noProof/>
              </w:rPr>
              <w:t>PPP Process and Regulatory Framework</w:t>
            </w:r>
            <w:r>
              <w:rPr>
                <w:noProof/>
                <w:webHidden/>
              </w:rPr>
              <w:tab/>
            </w:r>
            <w:r>
              <w:rPr>
                <w:noProof/>
                <w:webHidden/>
              </w:rPr>
              <w:fldChar w:fldCharType="begin"/>
            </w:r>
            <w:r>
              <w:rPr>
                <w:noProof/>
                <w:webHidden/>
              </w:rPr>
              <w:instrText xml:space="preserve"> PAGEREF _Toc178586352 \h </w:instrText>
            </w:r>
            <w:r>
              <w:rPr>
                <w:noProof/>
                <w:webHidden/>
              </w:rPr>
            </w:r>
            <w:r>
              <w:rPr>
                <w:noProof/>
                <w:webHidden/>
              </w:rPr>
              <w:fldChar w:fldCharType="separate"/>
            </w:r>
            <w:r w:rsidR="00D36C9B">
              <w:rPr>
                <w:noProof/>
                <w:webHidden/>
              </w:rPr>
              <w:t>8</w:t>
            </w:r>
            <w:r>
              <w:rPr>
                <w:noProof/>
                <w:webHidden/>
              </w:rPr>
              <w:fldChar w:fldCharType="end"/>
            </w:r>
          </w:hyperlink>
        </w:p>
        <w:p w14:paraId="0852B63E" w14:textId="5D8CB200" w:rsidR="003B2D82" w:rsidRDefault="003B2D82">
          <w:pPr>
            <w:pStyle w:val="Saturs2"/>
            <w:rPr>
              <w:rFonts w:eastAsiaTheme="minorEastAsia"/>
              <w:noProof/>
              <w:kern w:val="2"/>
              <w:sz w:val="24"/>
              <w:szCs w:val="24"/>
              <w:lang w:val="en-GB" w:eastAsia="en-GB"/>
              <w14:ligatures w14:val="standardContextual"/>
            </w:rPr>
          </w:pPr>
          <w:hyperlink w:anchor="_Toc178586353" w:history="1">
            <w:r w:rsidRPr="000B09D3">
              <w:rPr>
                <w:rStyle w:val="Hipersaite"/>
                <w:noProof/>
              </w:rPr>
              <w:t>1.1.</w:t>
            </w:r>
            <w:r>
              <w:rPr>
                <w:rFonts w:eastAsiaTheme="minorEastAsia"/>
                <w:noProof/>
                <w:kern w:val="2"/>
                <w:sz w:val="24"/>
                <w:szCs w:val="24"/>
                <w:lang w:val="en-GB" w:eastAsia="en-GB"/>
                <w14:ligatures w14:val="standardContextual"/>
              </w:rPr>
              <w:tab/>
            </w:r>
            <w:r w:rsidRPr="000B09D3">
              <w:rPr>
                <w:rStyle w:val="Hipersaite"/>
                <w:noProof/>
              </w:rPr>
              <w:t>Public-Private Partnerships</w:t>
            </w:r>
            <w:r>
              <w:rPr>
                <w:noProof/>
                <w:webHidden/>
              </w:rPr>
              <w:tab/>
            </w:r>
            <w:r>
              <w:rPr>
                <w:noProof/>
                <w:webHidden/>
              </w:rPr>
              <w:fldChar w:fldCharType="begin"/>
            </w:r>
            <w:r>
              <w:rPr>
                <w:noProof/>
                <w:webHidden/>
              </w:rPr>
              <w:instrText xml:space="preserve"> PAGEREF _Toc178586353 \h </w:instrText>
            </w:r>
            <w:r>
              <w:rPr>
                <w:noProof/>
                <w:webHidden/>
              </w:rPr>
            </w:r>
            <w:r>
              <w:rPr>
                <w:noProof/>
                <w:webHidden/>
              </w:rPr>
              <w:fldChar w:fldCharType="separate"/>
            </w:r>
            <w:r w:rsidR="00D36C9B">
              <w:rPr>
                <w:noProof/>
                <w:webHidden/>
              </w:rPr>
              <w:t>8</w:t>
            </w:r>
            <w:r>
              <w:rPr>
                <w:noProof/>
                <w:webHidden/>
              </w:rPr>
              <w:fldChar w:fldCharType="end"/>
            </w:r>
          </w:hyperlink>
        </w:p>
        <w:p w14:paraId="6826109C" w14:textId="0E8E8360" w:rsidR="003B2D82" w:rsidRDefault="003B2D82">
          <w:pPr>
            <w:pStyle w:val="Saturs2"/>
            <w:rPr>
              <w:rFonts w:eastAsiaTheme="minorEastAsia"/>
              <w:noProof/>
              <w:kern w:val="2"/>
              <w:sz w:val="24"/>
              <w:szCs w:val="24"/>
              <w:lang w:val="en-GB" w:eastAsia="en-GB"/>
              <w14:ligatures w14:val="standardContextual"/>
            </w:rPr>
          </w:pPr>
          <w:hyperlink w:anchor="_Toc178586354" w:history="1">
            <w:r w:rsidRPr="000B09D3">
              <w:rPr>
                <w:rStyle w:val="Hipersaite"/>
                <w:noProof/>
              </w:rPr>
              <w:t>1.2.</w:t>
            </w:r>
            <w:r>
              <w:rPr>
                <w:rFonts w:eastAsiaTheme="minorEastAsia"/>
                <w:noProof/>
                <w:kern w:val="2"/>
                <w:sz w:val="24"/>
                <w:szCs w:val="24"/>
                <w:lang w:val="en-GB" w:eastAsia="en-GB"/>
                <w14:ligatures w14:val="standardContextual"/>
              </w:rPr>
              <w:tab/>
            </w:r>
            <w:r w:rsidRPr="000B09D3">
              <w:rPr>
                <w:rStyle w:val="Hipersaite"/>
                <w:noProof/>
              </w:rPr>
              <w:t>PPP Arrangements</w:t>
            </w:r>
            <w:r>
              <w:rPr>
                <w:noProof/>
                <w:webHidden/>
              </w:rPr>
              <w:tab/>
            </w:r>
            <w:r>
              <w:rPr>
                <w:noProof/>
                <w:webHidden/>
              </w:rPr>
              <w:fldChar w:fldCharType="begin"/>
            </w:r>
            <w:r>
              <w:rPr>
                <w:noProof/>
                <w:webHidden/>
              </w:rPr>
              <w:instrText xml:space="preserve"> PAGEREF _Toc178586354 \h </w:instrText>
            </w:r>
            <w:r>
              <w:rPr>
                <w:noProof/>
                <w:webHidden/>
              </w:rPr>
            </w:r>
            <w:r>
              <w:rPr>
                <w:noProof/>
                <w:webHidden/>
              </w:rPr>
              <w:fldChar w:fldCharType="separate"/>
            </w:r>
            <w:r w:rsidR="00D36C9B">
              <w:rPr>
                <w:noProof/>
                <w:webHidden/>
              </w:rPr>
              <w:t>10</w:t>
            </w:r>
            <w:r>
              <w:rPr>
                <w:noProof/>
                <w:webHidden/>
              </w:rPr>
              <w:fldChar w:fldCharType="end"/>
            </w:r>
          </w:hyperlink>
        </w:p>
        <w:p w14:paraId="17581155" w14:textId="37D5E575" w:rsidR="003B2D82" w:rsidRDefault="003B2D82">
          <w:pPr>
            <w:pStyle w:val="Saturs2"/>
            <w:rPr>
              <w:rFonts w:eastAsiaTheme="minorEastAsia"/>
              <w:noProof/>
              <w:kern w:val="2"/>
              <w:sz w:val="24"/>
              <w:szCs w:val="24"/>
              <w:lang w:val="en-GB" w:eastAsia="en-GB"/>
              <w14:ligatures w14:val="standardContextual"/>
            </w:rPr>
          </w:pPr>
          <w:hyperlink w:anchor="_Toc178586355" w:history="1">
            <w:r w:rsidRPr="000B09D3">
              <w:rPr>
                <w:rStyle w:val="Hipersaite"/>
                <w:noProof/>
              </w:rPr>
              <w:t>1.3.</w:t>
            </w:r>
            <w:r>
              <w:rPr>
                <w:rFonts w:eastAsiaTheme="minorEastAsia"/>
                <w:noProof/>
                <w:kern w:val="2"/>
                <w:sz w:val="24"/>
                <w:szCs w:val="24"/>
                <w:lang w:val="en-GB" w:eastAsia="en-GB"/>
                <w14:ligatures w14:val="standardContextual"/>
              </w:rPr>
              <w:tab/>
            </w:r>
            <w:r w:rsidRPr="000B09D3">
              <w:rPr>
                <w:rStyle w:val="Hipersaite"/>
                <w:noProof/>
              </w:rPr>
              <w:t>PPP Project Step by Step</w:t>
            </w:r>
            <w:r>
              <w:rPr>
                <w:noProof/>
                <w:webHidden/>
              </w:rPr>
              <w:tab/>
            </w:r>
            <w:r>
              <w:rPr>
                <w:noProof/>
                <w:webHidden/>
              </w:rPr>
              <w:fldChar w:fldCharType="begin"/>
            </w:r>
            <w:r>
              <w:rPr>
                <w:noProof/>
                <w:webHidden/>
              </w:rPr>
              <w:instrText xml:space="preserve"> PAGEREF _Toc178586355 \h </w:instrText>
            </w:r>
            <w:r>
              <w:rPr>
                <w:noProof/>
                <w:webHidden/>
              </w:rPr>
            </w:r>
            <w:r>
              <w:rPr>
                <w:noProof/>
                <w:webHidden/>
              </w:rPr>
              <w:fldChar w:fldCharType="separate"/>
            </w:r>
            <w:r w:rsidR="00D36C9B">
              <w:rPr>
                <w:noProof/>
                <w:webHidden/>
              </w:rPr>
              <w:t>11</w:t>
            </w:r>
            <w:r>
              <w:rPr>
                <w:noProof/>
                <w:webHidden/>
              </w:rPr>
              <w:fldChar w:fldCharType="end"/>
            </w:r>
          </w:hyperlink>
        </w:p>
        <w:p w14:paraId="289DA97F" w14:textId="3A5BD019" w:rsidR="003B2D82" w:rsidRDefault="003B2D82">
          <w:pPr>
            <w:pStyle w:val="Saturs2"/>
            <w:rPr>
              <w:rFonts w:eastAsiaTheme="minorEastAsia"/>
              <w:noProof/>
              <w:kern w:val="2"/>
              <w:sz w:val="24"/>
              <w:szCs w:val="24"/>
              <w:lang w:val="en-GB" w:eastAsia="en-GB"/>
              <w14:ligatures w14:val="standardContextual"/>
            </w:rPr>
          </w:pPr>
          <w:hyperlink w:anchor="_Toc178586356" w:history="1">
            <w:r w:rsidRPr="000B09D3">
              <w:rPr>
                <w:rStyle w:val="Hipersaite"/>
                <w:noProof/>
              </w:rPr>
              <w:t>1.4.</w:t>
            </w:r>
            <w:r>
              <w:rPr>
                <w:rFonts w:eastAsiaTheme="minorEastAsia"/>
                <w:noProof/>
                <w:kern w:val="2"/>
                <w:sz w:val="24"/>
                <w:szCs w:val="24"/>
                <w:lang w:val="en-GB" w:eastAsia="en-GB"/>
                <w14:ligatures w14:val="standardContextual"/>
              </w:rPr>
              <w:tab/>
            </w:r>
            <w:r w:rsidRPr="000B09D3">
              <w:rPr>
                <w:rStyle w:val="Hipersaite"/>
                <w:noProof/>
              </w:rPr>
              <w:t>FEC and the Contract Price</w:t>
            </w:r>
            <w:r>
              <w:rPr>
                <w:noProof/>
                <w:webHidden/>
              </w:rPr>
              <w:tab/>
            </w:r>
            <w:r>
              <w:rPr>
                <w:noProof/>
                <w:webHidden/>
              </w:rPr>
              <w:fldChar w:fldCharType="begin"/>
            </w:r>
            <w:r>
              <w:rPr>
                <w:noProof/>
                <w:webHidden/>
              </w:rPr>
              <w:instrText xml:space="preserve"> PAGEREF _Toc178586356 \h </w:instrText>
            </w:r>
            <w:r>
              <w:rPr>
                <w:noProof/>
                <w:webHidden/>
              </w:rPr>
            </w:r>
            <w:r>
              <w:rPr>
                <w:noProof/>
                <w:webHidden/>
              </w:rPr>
              <w:fldChar w:fldCharType="separate"/>
            </w:r>
            <w:r w:rsidR="00D36C9B">
              <w:rPr>
                <w:noProof/>
                <w:webHidden/>
              </w:rPr>
              <w:t>12</w:t>
            </w:r>
            <w:r>
              <w:rPr>
                <w:noProof/>
                <w:webHidden/>
              </w:rPr>
              <w:fldChar w:fldCharType="end"/>
            </w:r>
          </w:hyperlink>
        </w:p>
        <w:p w14:paraId="437C28C8" w14:textId="5657AD55" w:rsidR="003B2D82" w:rsidRDefault="003B2D82">
          <w:pPr>
            <w:pStyle w:val="Saturs2"/>
            <w:rPr>
              <w:rFonts w:eastAsiaTheme="minorEastAsia"/>
              <w:noProof/>
              <w:kern w:val="2"/>
              <w:sz w:val="24"/>
              <w:szCs w:val="24"/>
              <w:lang w:val="en-GB" w:eastAsia="en-GB"/>
              <w14:ligatures w14:val="standardContextual"/>
            </w:rPr>
          </w:pPr>
          <w:hyperlink w:anchor="_Toc178586357" w:history="1">
            <w:r w:rsidRPr="000B09D3">
              <w:rPr>
                <w:rStyle w:val="Hipersaite"/>
                <w:noProof/>
              </w:rPr>
              <w:t>1.5.</w:t>
            </w:r>
            <w:r>
              <w:rPr>
                <w:rFonts w:eastAsiaTheme="minorEastAsia"/>
                <w:noProof/>
                <w:kern w:val="2"/>
                <w:sz w:val="24"/>
                <w:szCs w:val="24"/>
                <w:lang w:val="en-GB" w:eastAsia="en-GB"/>
                <w14:ligatures w14:val="standardContextual"/>
              </w:rPr>
              <w:tab/>
            </w:r>
            <w:r w:rsidRPr="000B09D3">
              <w:rPr>
                <w:rStyle w:val="Hipersaite"/>
                <w:noProof/>
              </w:rPr>
              <w:t>Statistical Treatment</w:t>
            </w:r>
            <w:r>
              <w:rPr>
                <w:noProof/>
                <w:webHidden/>
              </w:rPr>
              <w:tab/>
            </w:r>
            <w:r>
              <w:rPr>
                <w:noProof/>
                <w:webHidden/>
              </w:rPr>
              <w:fldChar w:fldCharType="begin"/>
            </w:r>
            <w:r>
              <w:rPr>
                <w:noProof/>
                <w:webHidden/>
              </w:rPr>
              <w:instrText xml:space="preserve"> PAGEREF _Toc178586357 \h </w:instrText>
            </w:r>
            <w:r>
              <w:rPr>
                <w:noProof/>
                <w:webHidden/>
              </w:rPr>
            </w:r>
            <w:r>
              <w:rPr>
                <w:noProof/>
                <w:webHidden/>
              </w:rPr>
              <w:fldChar w:fldCharType="separate"/>
            </w:r>
            <w:r w:rsidR="00D36C9B">
              <w:rPr>
                <w:noProof/>
                <w:webHidden/>
              </w:rPr>
              <w:t>14</w:t>
            </w:r>
            <w:r>
              <w:rPr>
                <w:noProof/>
                <w:webHidden/>
              </w:rPr>
              <w:fldChar w:fldCharType="end"/>
            </w:r>
          </w:hyperlink>
        </w:p>
        <w:p w14:paraId="0D354A9D" w14:textId="2CE8927D" w:rsidR="003B2D82" w:rsidRDefault="003B2D82">
          <w:pPr>
            <w:pStyle w:val="Saturs2"/>
            <w:rPr>
              <w:rFonts w:eastAsiaTheme="minorEastAsia"/>
              <w:noProof/>
              <w:kern w:val="2"/>
              <w:sz w:val="24"/>
              <w:szCs w:val="24"/>
              <w:lang w:val="en-GB" w:eastAsia="en-GB"/>
              <w14:ligatures w14:val="standardContextual"/>
            </w:rPr>
          </w:pPr>
          <w:hyperlink w:anchor="_Toc178586358" w:history="1">
            <w:r w:rsidRPr="000B09D3">
              <w:rPr>
                <w:rStyle w:val="Hipersaite"/>
                <w:noProof/>
              </w:rPr>
              <w:t>1.6.</w:t>
            </w:r>
            <w:r>
              <w:rPr>
                <w:rFonts w:eastAsiaTheme="minorEastAsia"/>
                <w:noProof/>
                <w:kern w:val="2"/>
                <w:sz w:val="24"/>
                <w:szCs w:val="24"/>
                <w:lang w:val="en-GB" w:eastAsia="en-GB"/>
                <w14:ligatures w14:val="standardContextual"/>
              </w:rPr>
              <w:tab/>
            </w:r>
            <w:r w:rsidRPr="000B09D3">
              <w:rPr>
                <w:rStyle w:val="Hipersaite"/>
                <w:noProof/>
              </w:rPr>
              <w:t>Selecting a Private Partner</w:t>
            </w:r>
            <w:r>
              <w:rPr>
                <w:noProof/>
                <w:webHidden/>
              </w:rPr>
              <w:tab/>
            </w:r>
            <w:r>
              <w:rPr>
                <w:noProof/>
                <w:webHidden/>
              </w:rPr>
              <w:fldChar w:fldCharType="begin"/>
            </w:r>
            <w:r>
              <w:rPr>
                <w:noProof/>
                <w:webHidden/>
              </w:rPr>
              <w:instrText xml:space="preserve"> PAGEREF _Toc178586358 \h </w:instrText>
            </w:r>
            <w:r>
              <w:rPr>
                <w:noProof/>
                <w:webHidden/>
              </w:rPr>
            </w:r>
            <w:r>
              <w:rPr>
                <w:noProof/>
                <w:webHidden/>
              </w:rPr>
              <w:fldChar w:fldCharType="separate"/>
            </w:r>
            <w:r w:rsidR="00D36C9B">
              <w:rPr>
                <w:noProof/>
                <w:webHidden/>
              </w:rPr>
              <w:t>15</w:t>
            </w:r>
            <w:r>
              <w:rPr>
                <w:noProof/>
                <w:webHidden/>
              </w:rPr>
              <w:fldChar w:fldCharType="end"/>
            </w:r>
          </w:hyperlink>
        </w:p>
        <w:p w14:paraId="507C273A" w14:textId="74521E14" w:rsidR="003B2D82" w:rsidRDefault="003B2D82">
          <w:pPr>
            <w:pStyle w:val="Saturs2"/>
            <w:rPr>
              <w:rFonts w:eastAsiaTheme="minorEastAsia"/>
              <w:noProof/>
              <w:kern w:val="2"/>
              <w:sz w:val="24"/>
              <w:szCs w:val="24"/>
              <w:lang w:val="en-GB" w:eastAsia="en-GB"/>
              <w14:ligatures w14:val="standardContextual"/>
            </w:rPr>
          </w:pPr>
          <w:hyperlink w:anchor="_Toc178586359" w:history="1">
            <w:r w:rsidRPr="000B09D3">
              <w:rPr>
                <w:rStyle w:val="Hipersaite"/>
                <w:noProof/>
              </w:rPr>
              <w:t>1.7.</w:t>
            </w:r>
            <w:r>
              <w:rPr>
                <w:rFonts w:eastAsiaTheme="minorEastAsia"/>
                <w:noProof/>
                <w:kern w:val="2"/>
                <w:sz w:val="24"/>
                <w:szCs w:val="24"/>
                <w:lang w:val="en-GB" w:eastAsia="en-GB"/>
                <w14:ligatures w14:val="standardContextual"/>
              </w:rPr>
              <w:tab/>
            </w:r>
            <w:r w:rsidRPr="000B09D3">
              <w:rPr>
                <w:rStyle w:val="Hipersaite"/>
                <w:noProof/>
              </w:rPr>
              <w:t>Competition and State Aid</w:t>
            </w:r>
            <w:r>
              <w:rPr>
                <w:noProof/>
                <w:webHidden/>
              </w:rPr>
              <w:tab/>
            </w:r>
            <w:r>
              <w:rPr>
                <w:noProof/>
                <w:webHidden/>
              </w:rPr>
              <w:fldChar w:fldCharType="begin"/>
            </w:r>
            <w:r>
              <w:rPr>
                <w:noProof/>
                <w:webHidden/>
              </w:rPr>
              <w:instrText xml:space="preserve"> PAGEREF _Toc178586359 \h </w:instrText>
            </w:r>
            <w:r>
              <w:rPr>
                <w:noProof/>
                <w:webHidden/>
              </w:rPr>
            </w:r>
            <w:r>
              <w:rPr>
                <w:noProof/>
                <w:webHidden/>
              </w:rPr>
              <w:fldChar w:fldCharType="separate"/>
            </w:r>
            <w:r w:rsidR="00D36C9B">
              <w:rPr>
                <w:noProof/>
                <w:webHidden/>
              </w:rPr>
              <w:t>15</w:t>
            </w:r>
            <w:r>
              <w:rPr>
                <w:noProof/>
                <w:webHidden/>
              </w:rPr>
              <w:fldChar w:fldCharType="end"/>
            </w:r>
          </w:hyperlink>
        </w:p>
        <w:p w14:paraId="45F9ACC5" w14:textId="4F128AE6" w:rsidR="003B2D82" w:rsidRDefault="003B2D82">
          <w:pPr>
            <w:pStyle w:val="Saturs1"/>
            <w:rPr>
              <w:rFonts w:eastAsiaTheme="minorEastAsia"/>
              <w:noProof/>
              <w:kern w:val="2"/>
              <w:sz w:val="24"/>
              <w:szCs w:val="24"/>
              <w:lang w:val="en-GB" w:eastAsia="en-GB"/>
              <w14:ligatures w14:val="standardContextual"/>
            </w:rPr>
          </w:pPr>
          <w:hyperlink w:anchor="_Toc178586360" w:history="1">
            <w:r w:rsidRPr="000B09D3">
              <w:rPr>
                <w:rStyle w:val="Hipersaite"/>
                <w:noProof/>
              </w:rPr>
              <w:t>2.</w:t>
            </w:r>
            <w:r>
              <w:rPr>
                <w:rFonts w:eastAsiaTheme="minorEastAsia"/>
                <w:noProof/>
                <w:kern w:val="2"/>
                <w:sz w:val="24"/>
                <w:szCs w:val="24"/>
                <w:lang w:val="en-GB" w:eastAsia="en-GB"/>
                <w14:ligatures w14:val="standardContextual"/>
              </w:rPr>
              <w:tab/>
            </w:r>
            <w:r w:rsidRPr="000B09D3">
              <w:rPr>
                <w:rStyle w:val="Hipersaite"/>
                <w:noProof/>
              </w:rPr>
              <w:t>Justification of Project Implementation</w:t>
            </w:r>
            <w:r>
              <w:rPr>
                <w:noProof/>
                <w:webHidden/>
              </w:rPr>
              <w:tab/>
            </w:r>
            <w:r>
              <w:rPr>
                <w:noProof/>
                <w:webHidden/>
              </w:rPr>
              <w:fldChar w:fldCharType="begin"/>
            </w:r>
            <w:r>
              <w:rPr>
                <w:noProof/>
                <w:webHidden/>
              </w:rPr>
              <w:instrText xml:space="preserve"> PAGEREF _Toc178586360 \h </w:instrText>
            </w:r>
            <w:r>
              <w:rPr>
                <w:noProof/>
                <w:webHidden/>
              </w:rPr>
            </w:r>
            <w:r>
              <w:rPr>
                <w:noProof/>
                <w:webHidden/>
              </w:rPr>
              <w:fldChar w:fldCharType="separate"/>
            </w:r>
            <w:r w:rsidR="00D36C9B">
              <w:rPr>
                <w:noProof/>
                <w:webHidden/>
              </w:rPr>
              <w:t>18</w:t>
            </w:r>
            <w:r>
              <w:rPr>
                <w:noProof/>
                <w:webHidden/>
              </w:rPr>
              <w:fldChar w:fldCharType="end"/>
            </w:r>
          </w:hyperlink>
        </w:p>
        <w:p w14:paraId="1665CD19" w14:textId="51D61ADC" w:rsidR="003B2D82" w:rsidRDefault="003B2D82">
          <w:pPr>
            <w:pStyle w:val="Saturs2"/>
            <w:rPr>
              <w:rFonts w:eastAsiaTheme="minorEastAsia"/>
              <w:noProof/>
              <w:kern w:val="2"/>
              <w:sz w:val="24"/>
              <w:szCs w:val="24"/>
              <w:lang w:val="en-GB" w:eastAsia="en-GB"/>
              <w14:ligatures w14:val="standardContextual"/>
            </w:rPr>
          </w:pPr>
          <w:hyperlink w:anchor="_Toc178586361" w:history="1">
            <w:r w:rsidRPr="000B09D3">
              <w:rPr>
                <w:rStyle w:val="Hipersaite"/>
                <w:noProof/>
              </w:rPr>
              <w:t>2.1.</w:t>
            </w:r>
            <w:r>
              <w:rPr>
                <w:rFonts w:eastAsiaTheme="minorEastAsia"/>
                <w:noProof/>
                <w:kern w:val="2"/>
                <w:sz w:val="24"/>
                <w:szCs w:val="24"/>
                <w:lang w:val="en-GB" w:eastAsia="en-GB"/>
                <w14:ligatures w14:val="standardContextual"/>
              </w:rPr>
              <w:tab/>
            </w:r>
            <w:r w:rsidRPr="000B09D3">
              <w:rPr>
                <w:rStyle w:val="Hipersaite"/>
                <w:noProof/>
              </w:rPr>
              <w:t>Needs Assessment</w:t>
            </w:r>
            <w:r>
              <w:rPr>
                <w:noProof/>
                <w:webHidden/>
              </w:rPr>
              <w:tab/>
            </w:r>
            <w:r>
              <w:rPr>
                <w:noProof/>
                <w:webHidden/>
              </w:rPr>
              <w:fldChar w:fldCharType="begin"/>
            </w:r>
            <w:r>
              <w:rPr>
                <w:noProof/>
                <w:webHidden/>
              </w:rPr>
              <w:instrText xml:space="preserve"> PAGEREF _Toc178586361 \h </w:instrText>
            </w:r>
            <w:r>
              <w:rPr>
                <w:noProof/>
                <w:webHidden/>
              </w:rPr>
            </w:r>
            <w:r>
              <w:rPr>
                <w:noProof/>
                <w:webHidden/>
              </w:rPr>
              <w:fldChar w:fldCharType="separate"/>
            </w:r>
            <w:r w:rsidR="00D36C9B">
              <w:rPr>
                <w:noProof/>
                <w:webHidden/>
              </w:rPr>
              <w:t>18</w:t>
            </w:r>
            <w:r>
              <w:rPr>
                <w:noProof/>
                <w:webHidden/>
              </w:rPr>
              <w:fldChar w:fldCharType="end"/>
            </w:r>
          </w:hyperlink>
        </w:p>
        <w:p w14:paraId="5A79EF27" w14:textId="01BB1097" w:rsidR="003B2D82" w:rsidRDefault="003B2D82">
          <w:pPr>
            <w:pStyle w:val="Saturs2"/>
            <w:rPr>
              <w:rFonts w:eastAsiaTheme="minorEastAsia"/>
              <w:noProof/>
              <w:kern w:val="2"/>
              <w:sz w:val="24"/>
              <w:szCs w:val="24"/>
              <w:lang w:val="en-GB" w:eastAsia="en-GB"/>
              <w14:ligatures w14:val="standardContextual"/>
            </w:rPr>
          </w:pPr>
          <w:hyperlink w:anchor="_Toc178586362" w:history="1">
            <w:r w:rsidRPr="000B09D3">
              <w:rPr>
                <w:rStyle w:val="Hipersaite"/>
                <w:noProof/>
              </w:rPr>
              <w:t>2.2.</w:t>
            </w:r>
            <w:r>
              <w:rPr>
                <w:rFonts w:eastAsiaTheme="minorEastAsia"/>
                <w:noProof/>
                <w:kern w:val="2"/>
                <w:sz w:val="24"/>
                <w:szCs w:val="24"/>
                <w:lang w:val="en-GB" w:eastAsia="en-GB"/>
                <w14:ligatures w14:val="standardContextual"/>
              </w:rPr>
              <w:tab/>
            </w:r>
            <w:r w:rsidRPr="000B09D3">
              <w:rPr>
                <w:rStyle w:val="Hipersaite"/>
                <w:noProof/>
              </w:rPr>
              <w:t>Analysis of Possible Methods of Implementing the Project</w:t>
            </w:r>
            <w:r>
              <w:rPr>
                <w:noProof/>
                <w:webHidden/>
              </w:rPr>
              <w:tab/>
            </w:r>
            <w:r>
              <w:rPr>
                <w:noProof/>
                <w:webHidden/>
              </w:rPr>
              <w:fldChar w:fldCharType="begin"/>
            </w:r>
            <w:r>
              <w:rPr>
                <w:noProof/>
                <w:webHidden/>
              </w:rPr>
              <w:instrText xml:space="preserve"> PAGEREF _Toc178586362 \h </w:instrText>
            </w:r>
            <w:r>
              <w:rPr>
                <w:noProof/>
                <w:webHidden/>
              </w:rPr>
            </w:r>
            <w:r>
              <w:rPr>
                <w:noProof/>
                <w:webHidden/>
              </w:rPr>
              <w:fldChar w:fldCharType="separate"/>
            </w:r>
            <w:r w:rsidR="00D36C9B">
              <w:rPr>
                <w:noProof/>
                <w:webHidden/>
              </w:rPr>
              <w:t>19</w:t>
            </w:r>
            <w:r>
              <w:rPr>
                <w:noProof/>
                <w:webHidden/>
              </w:rPr>
              <w:fldChar w:fldCharType="end"/>
            </w:r>
          </w:hyperlink>
        </w:p>
        <w:p w14:paraId="12D8986B" w14:textId="5BFA0BE2" w:rsidR="003B2D82" w:rsidRDefault="003B2D82">
          <w:pPr>
            <w:pStyle w:val="Saturs2"/>
            <w:rPr>
              <w:rFonts w:eastAsiaTheme="minorEastAsia"/>
              <w:noProof/>
              <w:kern w:val="2"/>
              <w:sz w:val="24"/>
              <w:szCs w:val="24"/>
              <w:lang w:val="en-GB" w:eastAsia="en-GB"/>
              <w14:ligatures w14:val="standardContextual"/>
            </w:rPr>
          </w:pPr>
          <w:hyperlink w:anchor="_Toc178586363" w:history="1">
            <w:r w:rsidRPr="000B09D3">
              <w:rPr>
                <w:rStyle w:val="Hipersaite"/>
                <w:noProof/>
              </w:rPr>
              <w:t>2.3.</w:t>
            </w:r>
            <w:r>
              <w:rPr>
                <w:rFonts w:eastAsiaTheme="minorEastAsia"/>
                <w:noProof/>
                <w:kern w:val="2"/>
                <w:sz w:val="24"/>
                <w:szCs w:val="24"/>
                <w:lang w:val="en-GB" w:eastAsia="en-GB"/>
                <w14:ligatures w14:val="standardContextual"/>
              </w:rPr>
              <w:tab/>
            </w:r>
            <w:r w:rsidRPr="000B09D3">
              <w:rPr>
                <w:rStyle w:val="Hipersaite"/>
                <w:noProof/>
              </w:rPr>
              <w:t>Project Feasibility Assessment</w:t>
            </w:r>
            <w:r>
              <w:rPr>
                <w:noProof/>
                <w:webHidden/>
              </w:rPr>
              <w:tab/>
            </w:r>
            <w:r>
              <w:rPr>
                <w:noProof/>
                <w:webHidden/>
              </w:rPr>
              <w:fldChar w:fldCharType="begin"/>
            </w:r>
            <w:r>
              <w:rPr>
                <w:noProof/>
                <w:webHidden/>
              </w:rPr>
              <w:instrText xml:space="preserve"> PAGEREF _Toc178586363 \h </w:instrText>
            </w:r>
            <w:r>
              <w:rPr>
                <w:noProof/>
                <w:webHidden/>
              </w:rPr>
            </w:r>
            <w:r>
              <w:rPr>
                <w:noProof/>
                <w:webHidden/>
              </w:rPr>
              <w:fldChar w:fldCharType="separate"/>
            </w:r>
            <w:r w:rsidR="00D36C9B">
              <w:rPr>
                <w:noProof/>
                <w:webHidden/>
              </w:rPr>
              <w:t>20</w:t>
            </w:r>
            <w:r>
              <w:rPr>
                <w:noProof/>
                <w:webHidden/>
              </w:rPr>
              <w:fldChar w:fldCharType="end"/>
            </w:r>
          </w:hyperlink>
        </w:p>
        <w:p w14:paraId="1A5BEDE8" w14:textId="52E6559B" w:rsidR="003B2D82" w:rsidRDefault="003B2D82">
          <w:pPr>
            <w:pStyle w:val="Saturs1"/>
            <w:rPr>
              <w:rFonts w:eastAsiaTheme="minorEastAsia"/>
              <w:noProof/>
              <w:kern w:val="2"/>
              <w:sz w:val="24"/>
              <w:szCs w:val="24"/>
              <w:lang w:val="en-GB" w:eastAsia="en-GB"/>
              <w14:ligatures w14:val="standardContextual"/>
            </w:rPr>
          </w:pPr>
          <w:hyperlink w:anchor="_Toc178586364" w:history="1">
            <w:r w:rsidRPr="000B09D3">
              <w:rPr>
                <w:rStyle w:val="Hipersaite"/>
                <w:noProof/>
              </w:rPr>
              <w:t>3.</w:t>
            </w:r>
            <w:r>
              <w:rPr>
                <w:rFonts w:eastAsiaTheme="minorEastAsia"/>
                <w:noProof/>
                <w:kern w:val="2"/>
                <w:sz w:val="24"/>
                <w:szCs w:val="24"/>
                <w:lang w:val="en-GB" w:eastAsia="en-GB"/>
                <w14:ligatures w14:val="standardContextual"/>
              </w:rPr>
              <w:tab/>
            </w:r>
            <w:r w:rsidRPr="000B09D3">
              <w:rPr>
                <w:rStyle w:val="Hipersaite"/>
                <w:noProof/>
              </w:rPr>
              <w:t>Assessment of Alternatives to Project Implementation</w:t>
            </w:r>
            <w:r>
              <w:rPr>
                <w:noProof/>
                <w:webHidden/>
              </w:rPr>
              <w:tab/>
            </w:r>
            <w:r>
              <w:rPr>
                <w:noProof/>
                <w:webHidden/>
              </w:rPr>
              <w:fldChar w:fldCharType="begin"/>
            </w:r>
            <w:r>
              <w:rPr>
                <w:noProof/>
                <w:webHidden/>
              </w:rPr>
              <w:instrText xml:space="preserve"> PAGEREF _Toc178586364 \h </w:instrText>
            </w:r>
            <w:r>
              <w:rPr>
                <w:noProof/>
                <w:webHidden/>
              </w:rPr>
            </w:r>
            <w:r>
              <w:rPr>
                <w:noProof/>
                <w:webHidden/>
              </w:rPr>
              <w:fldChar w:fldCharType="separate"/>
            </w:r>
            <w:r w:rsidR="00D36C9B">
              <w:rPr>
                <w:noProof/>
                <w:webHidden/>
              </w:rPr>
              <w:t>21</w:t>
            </w:r>
            <w:r>
              <w:rPr>
                <w:noProof/>
                <w:webHidden/>
              </w:rPr>
              <w:fldChar w:fldCharType="end"/>
            </w:r>
          </w:hyperlink>
        </w:p>
        <w:p w14:paraId="53C29720" w14:textId="63A06BB3" w:rsidR="003B2D82" w:rsidRDefault="003B2D82">
          <w:pPr>
            <w:pStyle w:val="Saturs2"/>
            <w:rPr>
              <w:rFonts w:eastAsiaTheme="minorEastAsia"/>
              <w:noProof/>
              <w:kern w:val="2"/>
              <w:sz w:val="24"/>
              <w:szCs w:val="24"/>
              <w:lang w:val="en-GB" w:eastAsia="en-GB"/>
              <w14:ligatures w14:val="standardContextual"/>
            </w:rPr>
          </w:pPr>
          <w:hyperlink w:anchor="_Toc178586365" w:history="1">
            <w:r w:rsidRPr="000B09D3">
              <w:rPr>
                <w:rStyle w:val="Hipersaite"/>
                <w:noProof/>
              </w:rPr>
              <w:t>3.1.</w:t>
            </w:r>
            <w:r>
              <w:rPr>
                <w:rFonts w:eastAsiaTheme="minorEastAsia"/>
                <w:noProof/>
                <w:kern w:val="2"/>
                <w:sz w:val="24"/>
                <w:szCs w:val="24"/>
                <w:lang w:val="en-GB" w:eastAsia="en-GB"/>
                <w14:ligatures w14:val="standardContextual"/>
              </w:rPr>
              <w:tab/>
            </w:r>
            <w:r w:rsidRPr="000B09D3">
              <w:rPr>
                <w:rStyle w:val="Hipersaite"/>
                <w:noProof/>
              </w:rPr>
              <w:t>Analysis of the Suitability of the PPP Arrangement</w:t>
            </w:r>
            <w:r>
              <w:rPr>
                <w:noProof/>
                <w:webHidden/>
              </w:rPr>
              <w:tab/>
            </w:r>
            <w:r>
              <w:rPr>
                <w:noProof/>
                <w:webHidden/>
              </w:rPr>
              <w:fldChar w:fldCharType="begin"/>
            </w:r>
            <w:r>
              <w:rPr>
                <w:noProof/>
                <w:webHidden/>
              </w:rPr>
              <w:instrText xml:space="preserve"> PAGEREF _Toc178586365 \h </w:instrText>
            </w:r>
            <w:r>
              <w:rPr>
                <w:noProof/>
                <w:webHidden/>
              </w:rPr>
            </w:r>
            <w:r>
              <w:rPr>
                <w:noProof/>
                <w:webHidden/>
              </w:rPr>
              <w:fldChar w:fldCharType="separate"/>
            </w:r>
            <w:r w:rsidR="00D36C9B">
              <w:rPr>
                <w:noProof/>
                <w:webHidden/>
              </w:rPr>
              <w:t>21</w:t>
            </w:r>
            <w:r>
              <w:rPr>
                <w:noProof/>
                <w:webHidden/>
              </w:rPr>
              <w:fldChar w:fldCharType="end"/>
            </w:r>
          </w:hyperlink>
        </w:p>
        <w:p w14:paraId="6B2C8927" w14:textId="24F067D8" w:rsidR="003B2D82" w:rsidRDefault="003B2D82">
          <w:pPr>
            <w:pStyle w:val="Saturs2"/>
            <w:rPr>
              <w:rFonts w:eastAsiaTheme="minorEastAsia"/>
              <w:noProof/>
              <w:kern w:val="2"/>
              <w:sz w:val="24"/>
              <w:szCs w:val="24"/>
              <w:lang w:val="en-GB" w:eastAsia="en-GB"/>
              <w14:ligatures w14:val="standardContextual"/>
            </w:rPr>
          </w:pPr>
          <w:hyperlink w:anchor="_Toc178586366" w:history="1">
            <w:r w:rsidRPr="000B09D3">
              <w:rPr>
                <w:rStyle w:val="Hipersaite"/>
                <w:noProof/>
              </w:rPr>
              <w:t>3.2.</w:t>
            </w:r>
            <w:r>
              <w:rPr>
                <w:rFonts w:eastAsiaTheme="minorEastAsia"/>
                <w:noProof/>
                <w:kern w:val="2"/>
                <w:sz w:val="24"/>
                <w:szCs w:val="24"/>
                <w:lang w:val="en-GB" w:eastAsia="en-GB"/>
                <w14:ligatures w14:val="standardContextual"/>
              </w:rPr>
              <w:tab/>
            </w:r>
            <w:r w:rsidRPr="000B09D3">
              <w:rPr>
                <w:rStyle w:val="Hipersaite"/>
                <w:noProof/>
              </w:rPr>
              <w:t>Analysis of Investment Affordability</w:t>
            </w:r>
            <w:r>
              <w:rPr>
                <w:noProof/>
                <w:webHidden/>
              </w:rPr>
              <w:tab/>
            </w:r>
            <w:r>
              <w:rPr>
                <w:noProof/>
                <w:webHidden/>
              </w:rPr>
              <w:fldChar w:fldCharType="begin"/>
            </w:r>
            <w:r>
              <w:rPr>
                <w:noProof/>
                <w:webHidden/>
              </w:rPr>
              <w:instrText xml:space="preserve"> PAGEREF _Toc178586366 \h </w:instrText>
            </w:r>
            <w:r>
              <w:rPr>
                <w:noProof/>
                <w:webHidden/>
              </w:rPr>
            </w:r>
            <w:r>
              <w:rPr>
                <w:noProof/>
                <w:webHidden/>
              </w:rPr>
              <w:fldChar w:fldCharType="separate"/>
            </w:r>
            <w:r w:rsidR="00D36C9B">
              <w:rPr>
                <w:noProof/>
                <w:webHidden/>
              </w:rPr>
              <w:t>23</w:t>
            </w:r>
            <w:r>
              <w:rPr>
                <w:noProof/>
                <w:webHidden/>
              </w:rPr>
              <w:fldChar w:fldCharType="end"/>
            </w:r>
          </w:hyperlink>
        </w:p>
        <w:p w14:paraId="269697E7" w14:textId="0223ACF1" w:rsidR="003B2D82" w:rsidRDefault="003B2D82">
          <w:pPr>
            <w:pStyle w:val="Saturs2"/>
            <w:rPr>
              <w:rFonts w:eastAsiaTheme="minorEastAsia"/>
              <w:noProof/>
              <w:kern w:val="2"/>
              <w:sz w:val="24"/>
              <w:szCs w:val="24"/>
              <w:lang w:val="en-GB" w:eastAsia="en-GB"/>
              <w14:ligatures w14:val="standardContextual"/>
            </w:rPr>
          </w:pPr>
          <w:hyperlink w:anchor="_Toc178586367" w:history="1">
            <w:r w:rsidRPr="000B09D3">
              <w:rPr>
                <w:rStyle w:val="Hipersaite"/>
                <w:noProof/>
              </w:rPr>
              <w:t>3.3.</w:t>
            </w:r>
            <w:r>
              <w:rPr>
                <w:rFonts w:eastAsiaTheme="minorEastAsia"/>
                <w:noProof/>
                <w:kern w:val="2"/>
                <w:sz w:val="24"/>
                <w:szCs w:val="24"/>
                <w:lang w:val="en-GB" w:eastAsia="en-GB"/>
                <w14:ligatures w14:val="standardContextual"/>
              </w:rPr>
              <w:tab/>
            </w:r>
            <w:r w:rsidR="00D52A77">
              <w:rPr>
                <w:rStyle w:val="Hipersaite"/>
                <w:noProof/>
              </w:rPr>
              <w:t>Finance Attracting A</w:t>
            </w:r>
            <w:r w:rsidRPr="000B09D3">
              <w:rPr>
                <w:rStyle w:val="Hipersaite"/>
                <w:noProof/>
              </w:rPr>
              <w:t>ssessment</w:t>
            </w:r>
            <w:r>
              <w:rPr>
                <w:noProof/>
                <w:webHidden/>
              </w:rPr>
              <w:tab/>
            </w:r>
            <w:r>
              <w:rPr>
                <w:noProof/>
                <w:webHidden/>
              </w:rPr>
              <w:fldChar w:fldCharType="begin"/>
            </w:r>
            <w:r>
              <w:rPr>
                <w:noProof/>
                <w:webHidden/>
              </w:rPr>
              <w:instrText xml:space="preserve"> PAGEREF _Toc178586367 \h </w:instrText>
            </w:r>
            <w:r>
              <w:rPr>
                <w:noProof/>
                <w:webHidden/>
              </w:rPr>
            </w:r>
            <w:r>
              <w:rPr>
                <w:noProof/>
                <w:webHidden/>
              </w:rPr>
              <w:fldChar w:fldCharType="separate"/>
            </w:r>
            <w:r w:rsidR="00D36C9B">
              <w:rPr>
                <w:noProof/>
                <w:webHidden/>
              </w:rPr>
              <w:t>24</w:t>
            </w:r>
            <w:r>
              <w:rPr>
                <w:noProof/>
                <w:webHidden/>
              </w:rPr>
              <w:fldChar w:fldCharType="end"/>
            </w:r>
          </w:hyperlink>
        </w:p>
        <w:p w14:paraId="7A4E40C5" w14:textId="76828958" w:rsidR="003B2D82" w:rsidRDefault="003B2D82">
          <w:pPr>
            <w:pStyle w:val="Saturs2"/>
            <w:rPr>
              <w:rFonts w:eastAsiaTheme="minorEastAsia"/>
              <w:noProof/>
              <w:kern w:val="2"/>
              <w:sz w:val="24"/>
              <w:szCs w:val="24"/>
              <w:lang w:val="en-GB" w:eastAsia="en-GB"/>
              <w14:ligatures w14:val="standardContextual"/>
            </w:rPr>
          </w:pPr>
          <w:hyperlink w:anchor="_Toc178586368" w:history="1">
            <w:r w:rsidRPr="000B09D3">
              <w:rPr>
                <w:rStyle w:val="Hipersaite"/>
                <w:noProof/>
              </w:rPr>
              <w:t>3.4.</w:t>
            </w:r>
            <w:r>
              <w:rPr>
                <w:rFonts w:eastAsiaTheme="minorEastAsia"/>
                <w:noProof/>
                <w:kern w:val="2"/>
                <w:sz w:val="24"/>
                <w:szCs w:val="24"/>
                <w:lang w:val="en-GB" w:eastAsia="en-GB"/>
                <w14:ligatures w14:val="standardContextual"/>
              </w:rPr>
              <w:tab/>
            </w:r>
            <w:r w:rsidR="000C340C">
              <w:rPr>
                <w:rStyle w:val="Hipersaite"/>
                <w:noProof/>
              </w:rPr>
              <w:t>Statistical Treatment A</w:t>
            </w:r>
            <w:r w:rsidRPr="000B09D3">
              <w:rPr>
                <w:rStyle w:val="Hipersaite"/>
                <w:noProof/>
              </w:rPr>
              <w:t>ssessment of Partnership Contract</w:t>
            </w:r>
            <w:r>
              <w:rPr>
                <w:noProof/>
                <w:webHidden/>
              </w:rPr>
              <w:tab/>
            </w:r>
            <w:r>
              <w:rPr>
                <w:noProof/>
                <w:webHidden/>
              </w:rPr>
              <w:fldChar w:fldCharType="begin"/>
            </w:r>
            <w:r>
              <w:rPr>
                <w:noProof/>
                <w:webHidden/>
              </w:rPr>
              <w:instrText xml:space="preserve"> PAGEREF _Toc178586368 \h </w:instrText>
            </w:r>
            <w:r>
              <w:rPr>
                <w:noProof/>
                <w:webHidden/>
              </w:rPr>
            </w:r>
            <w:r>
              <w:rPr>
                <w:noProof/>
                <w:webHidden/>
              </w:rPr>
              <w:fldChar w:fldCharType="separate"/>
            </w:r>
            <w:r w:rsidR="00D36C9B">
              <w:rPr>
                <w:noProof/>
                <w:webHidden/>
              </w:rPr>
              <w:t>25</w:t>
            </w:r>
            <w:r>
              <w:rPr>
                <w:noProof/>
                <w:webHidden/>
              </w:rPr>
              <w:fldChar w:fldCharType="end"/>
            </w:r>
          </w:hyperlink>
        </w:p>
        <w:p w14:paraId="2717CD30" w14:textId="19E9D5BA" w:rsidR="003B2D82" w:rsidRDefault="003B2D82">
          <w:pPr>
            <w:pStyle w:val="Saturs2"/>
            <w:rPr>
              <w:rFonts w:eastAsiaTheme="minorEastAsia"/>
              <w:noProof/>
              <w:kern w:val="2"/>
              <w:sz w:val="24"/>
              <w:szCs w:val="24"/>
              <w:lang w:val="en-GB" w:eastAsia="en-GB"/>
              <w14:ligatures w14:val="standardContextual"/>
            </w:rPr>
          </w:pPr>
          <w:hyperlink w:anchor="_Toc178586369" w:history="1">
            <w:r w:rsidRPr="000B09D3">
              <w:rPr>
                <w:rStyle w:val="Hipersaite"/>
                <w:noProof/>
              </w:rPr>
              <w:t>3.5.</w:t>
            </w:r>
            <w:r>
              <w:rPr>
                <w:rFonts w:eastAsiaTheme="minorEastAsia"/>
                <w:noProof/>
                <w:kern w:val="2"/>
                <w:sz w:val="24"/>
                <w:szCs w:val="24"/>
                <w:lang w:val="en-GB" w:eastAsia="en-GB"/>
                <w14:ligatures w14:val="standardContextual"/>
              </w:rPr>
              <w:tab/>
            </w:r>
            <w:r w:rsidRPr="000B09D3">
              <w:rPr>
                <w:rStyle w:val="Hipersaite"/>
                <w:noProof/>
              </w:rPr>
              <w:t>Project Risk Analysis</w:t>
            </w:r>
            <w:r>
              <w:rPr>
                <w:noProof/>
                <w:webHidden/>
              </w:rPr>
              <w:tab/>
            </w:r>
            <w:r>
              <w:rPr>
                <w:noProof/>
                <w:webHidden/>
              </w:rPr>
              <w:fldChar w:fldCharType="begin"/>
            </w:r>
            <w:r>
              <w:rPr>
                <w:noProof/>
                <w:webHidden/>
              </w:rPr>
              <w:instrText xml:space="preserve"> PAGEREF _Toc178586369 \h </w:instrText>
            </w:r>
            <w:r>
              <w:rPr>
                <w:noProof/>
                <w:webHidden/>
              </w:rPr>
            </w:r>
            <w:r>
              <w:rPr>
                <w:noProof/>
                <w:webHidden/>
              </w:rPr>
              <w:fldChar w:fldCharType="separate"/>
            </w:r>
            <w:r w:rsidR="00D36C9B">
              <w:rPr>
                <w:noProof/>
                <w:webHidden/>
              </w:rPr>
              <w:t>28</w:t>
            </w:r>
            <w:r>
              <w:rPr>
                <w:noProof/>
                <w:webHidden/>
              </w:rPr>
              <w:fldChar w:fldCharType="end"/>
            </w:r>
          </w:hyperlink>
        </w:p>
        <w:p w14:paraId="57277B95" w14:textId="291E8786" w:rsidR="003B2D82" w:rsidRDefault="003B2D82">
          <w:pPr>
            <w:pStyle w:val="Saturs1"/>
            <w:rPr>
              <w:rFonts w:eastAsiaTheme="minorEastAsia"/>
              <w:noProof/>
              <w:kern w:val="2"/>
              <w:sz w:val="24"/>
              <w:szCs w:val="24"/>
              <w:lang w:val="en-GB" w:eastAsia="en-GB"/>
              <w14:ligatures w14:val="standardContextual"/>
            </w:rPr>
          </w:pPr>
          <w:hyperlink w:anchor="_Toc178586370" w:history="1">
            <w:r w:rsidRPr="000B09D3">
              <w:rPr>
                <w:rStyle w:val="Hipersaite"/>
                <w:noProof/>
              </w:rPr>
              <w:t>4.</w:t>
            </w:r>
            <w:r>
              <w:rPr>
                <w:rFonts w:eastAsiaTheme="minorEastAsia"/>
                <w:noProof/>
                <w:kern w:val="2"/>
                <w:sz w:val="24"/>
                <w:szCs w:val="24"/>
                <w:lang w:val="en-GB" w:eastAsia="en-GB"/>
                <w14:ligatures w14:val="standardContextual"/>
              </w:rPr>
              <w:tab/>
            </w:r>
            <w:r w:rsidRPr="000B09D3">
              <w:rPr>
                <w:rStyle w:val="Hipersaite"/>
                <w:noProof/>
              </w:rPr>
              <w:t>Calculation of Value for Money</w:t>
            </w:r>
            <w:r>
              <w:rPr>
                <w:noProof/>
                <w:webHidden/>
              </w:rPr>
              <w:tab/>
            </w:r>
            <w:r>
              <w:rPr>
                <w:noProof/>
                <w:webHidden/>
              </w:rPr>
              <w:fldChar w:fldCharType="begin"/>
            </w:r>
            <w:r>
              <w:rPr>
                <w:noProof/>
                <w:webHidden/>
              </w:rPr>
              <w:instrText xml:space="preserve"> PAGEREF _Toc178586370 \h </w:instrText>
            </w:r>
            <w:r>
              <w:rPr>
                <w:noProof/>
                <w:webHidden/>
              </w:rPr>
            </w:r>
            <w:r>
              <w:rPr>
                <w:noProof/>
                <w:webHidden/>
              </w:rPr>
              <w:fldChar w:fldCharType="separate"/>
            </w:r>
            <w:r w:rsidR="00D36C9B">
              <w:rPr>
                <w:noProof/>
                <w:webHidden/>
              </w:rPr>
              <w:t>32</w:t>
            </w:r>
            <w:r>
              <w:rPr>
                <w:noProof/>
                <w:webHidden/>
              </w:rPr>
              <w:fldChar w:fldCharType="end"/>
            </w:r>
          </w:hyperlink>
        </w:p>
        <w:p w14:paraId="20BCF878" w14:textId="2AE9348B" w:rsidR="003B2D82" w:rsidRDefault="003B2D82">
          <w:pPr>
            <w:pStyle w:val="Saturs2"/>
            <w:rPr>
              <w:rFonts w:eastAsiaTheme="minorEastAsia"/>
              <w:noProof/>
              <w:kern w:val="2"/>
              <w:sz w:val="24"/>
              <w:szCs w:val="24"/>
              <w:lang w:val="en-GB" w:eastAsia="en-GB"/>
              <w14:ligatures w14:val="standardContextual"/>
            </w:rPr>
          </w:pPr>
          <w:hyperlink w:anchor="_Toc178586371" w:history="1">
            <w:r w:rsidRPr="000B09D3">
              <w:rPr>
                <w:rStyle w:val="Hipersaite"/>
                <w:noProof/>
              </w:rPr>
              <w:t>4.1.</w:t>
            </w:r>
            <w:r>
              <w:rPr>
                <w:rFonts w:eastAsiaTheme="minorEastAsia"/>
                <w:noProof/>
                <w:kern w:val="2"/>
                <w:sz w:val="24"/>
                <w:szCs w:val="24"/>
                <w:lang w:val="en-GB" w:eastAsia="en-GB"/>
                <w14:ligatures w14:val="standardContextual"/>
              </w:rPr>
              <w:tab/>
            </w:r>
            <w:r w:rsidRPr="000B09D3">
              <w:rPr>
                <w:rStyle w:val="Hipersaite"/>
                <w:noProof/>
              </w:rPr>
              <w:t>Description of the Evaluation Approach</w:t>
            </w:r>
            <w:r>
              <w:rPr>
                <w:noProof/>
                <w:webHidden/>
              </w:rPr>
              <w:tab/>
            </w:r>
            <w:r>
              <w:rPr>
                <w:noProof/>
                <w:webHidden/>
              </w:rPr>
              <w:fldChar w:fldCharType="begin"/>
            </w:r>
            <w:r>
              <w:rPr>
                <w:noProof/>
                <w:webHidden/>
              </w:rPr>
              <w:instrText xml:space="preserve"> PAGEREF _Toc178586371 \h </w:instrText>
            </w:r>
            <w:r>
              <w:rPr>
                <w:noProof/>
                <w:webHidden/>
              </w:rPr>
            </w:r>
            <w:r>
              <w:rPr>
                <w:noProof/>
                <w:webHidden/>
              </w:rPr>
              <w:fldChar w:fldCharType="separate"/>
            </w:r>
            <w:r w:rsidR="00D36C9B">
              <w:rPr>
                <w:noProof/>
                <w:webHidden/>
              </w:rPr>
              <w:t>32</w:t>
            </w:r>
            <w:r>
              <w:rPr>
                <w:noProof/>
                <w:webHidden/>
              </w:rPr>
              <w:fldChar w:fldCharType="end"/>
            </w:r>
          </w:hyperlink>
        </w:p>
        <w:p w14:paraId="0C94D84E" w14:textId="3FEDF714" w:rsidR="003B2D82" w:rsidRDefault="003B2D82">
          <w:pPr>
            <w:pStyle w:val="Saturs2"/>
            <w:rPr>
              <w:rFonts w:eastAsiaTheme="minorEastAsia"/>
              <w:noProof/>
              <w:kern w:val="2"/>
              <w:sz w:val="24"/>
              <w:szCs w:val="24"/>
              <w:lang w:val="en-GB" w:eastAsia="en-GB"/>
              <w14:ligatures w14:val="standardContextual"/>
            </w:rPr>
          </w:pPr>
          <w:hyperlink w:anchor="_Toc178586372" w:history="1">
            <w:r w:rsidRPr="000B09D3">
              <w:rPr>
                <w:rStyle w:val="Hipersaite"/>
                <w:noProof/>
              </w:rPr>
              <w:t>4.2.</w:t>
            </w:r>
            <w:r>
              <w:rPr>
                <w:rFonts w:eastAsiaTheme="minorEastAsia"/>
                <w:noProof/>
                <w:kern w:val="2"/>
                <w:sz w:val="24"/>
                <w:szCs w:val="24"/>
                <w:lang w:val="en-GB" w:eastAsia="en-GB"/>
                <w14:ligatures w14:val="standardContextual"/>
              </w:rPr>
              <w:tab/>
            </w:r>
            <w:r w:rsidRPr="000B09D3">
              <w:rPr>
                <w:rStyle w:val="Hipersaite"/>
                <w:noProof/>
              </w:rPr>
              <w:t>Procedure for Developing the Financial Model</w:t>
            </w:r>
            <w:r>
              <w:rPr>
                <w:noProof/>
                <w:webHidden/>
              </w:rPr>
              <w:tab/>
            </w:r>
            <w:r>
              <w:rPr>
                <w:noProof/>
                <w:webHidden/>
              </w:rPr>
              <w:fldChar w:fldCharType="begin"/>
            </w:r>
            <w:r>
              <w:rPr>
                <w:noProof/>
                <w:webHidden/>
              </w:rPr>
              <w:instrText xml:space="preserve"> PAGEREF _Toc178586372 \h </w:instrText>
            </w:r>
            <w:r>
              <w:rPr>
                <w:noProof/>
                <w:webHidden/>
              </w:rPr>
            </w:r>
            <w:r>
              <w:rPr>
                <w:noProof/>
                <w:webHidden/>
              </w:rPr>
              <w:fldChar w:fldCharType="separate"/>
            </w:r>
            <w:r w:rsidR="00D36C9B">
              <w:rPr>
                <w:noProof/>
                <w:webHidden/>
              </w:rPr>
              <w:t>33</w:t>
            </w:r>
            <w:r>
              <w:rPr>
                <w:noProof/>
                <w:webHidden/>
              </w:rPr>
              <w:fldChar w:fldCharType="end"/>
            </w:r>
          </w:hyperlink>
        </w:p>
        <w:p w14:paraId="453AF177" w14:textId="72FA0B89" w:rsidR="003B2D82" w:rsidRDefault="003B2D82">
          <w:pPr>
            <w:pStyle w:val="Saturs2"/>
            <w:rPr>
              <w:rFonts w:eastAsiaTheme="minorEastAsia"/>
              <w:noProof/>
              <w:kern w:val="2"/>
              <w:sz w:val="24"/>
              <w:szCs w:val="24"/>
              <w:lang w:val="en-GB" w:eastAsia="en-GB"/>
              <w14:ligatures w14:val="standardContextual"/>
            </w:rPr>
          </w:pPr>
          <w:hyperlink w:anchor="_Toc178586373" w:history="1">
            <w:r w:rsidRPr="000B09D3">
              <w:rPr>
                <w:rStyle w:val="Hipersaite"/>
                <w:noProof/>
              </w:rPr>
              <w:t>4.3.</w:t>
            </w:r>
            <w:r>
              <w:rPr>
                <w:rFonts w:eastAsiaTheme="minorEastAsia"/>
                <w:noProof/>
                <w:kern w:val="2"/>
                <w:sz w:val="24"/>
                <w:szCs w:val="24"/>
                <w:lang w:val="en-GB" w:eastAsia="en-GB"/>
                <w14:ligatures w14:val="standardContextual"/>
              </w:rPr>
              <w:tab/>
            </w:r>
            <w:r w:rsidRPr="000B09D3">
              <w:rPr>
                <w:rStyle w:val="Hipersaite"/>
                <w:noProof/>
              </w:rPr>
              <w:t>Determining Value for Money</w:t>
            </w:r>
            <w:r>
              <w:rPr>
                <w:noProof/>
                <w:webHidden/>
              </w:rPr>
              <w:tab/>
            </w:r>
            <w:r>
              <w:rPr>
                <w:noProof/>
                <w:webHidden/>
              </w:rPr>
              <w:fldChar w:fldCharType="begin"/>
            </w:r>
            <w:r>
              <w:rPr>
                <w:noProof/>
                <w:webHidden/>
              </w:rPr>
              <w:instrText xml:space="preserve"> PAGEREF _Toc178586373 \h </w:instrText>
            </w:r>
            <w:r>
              <w:rPr>
                <w:noProof/>
                <w:webHidden/>
              </w:rPr>
            </w:r>
            <w:r>
              <w:rPr>
                <w:noProof/>
                <w:webHidden/>
              </w:rPr>
              <w:fldChar w:fldCharType="separate"/>
            </w:r>
            <w:r w:rsidR="00D36C9B">
              <w:rPr>
                <w:noProof/>
                <w:webHidden/>
              </w:rPr>
              <w:t>40</w:t>
            </w:r>
            <w:r>
              <w:rPr>
                <w:noProof/>
                <w:webHidden/>
              </w:rPr>
              <w:fldChar w:fldCharType="end"/>
            </w:r>
          </w:hyperlink>
        </w:p>
        <w:p w14:paraId="014E46DD" w14:textId="37BA1E1E" w:rsidR="003B2D82" w:rsidRDefault="003B2D82">
          <w:pPr>
            <w:pStyle w:val="Saturs1"/>
            <w:rPr>
              <w:rFonts w:eastAsiaTheme="minorEastAsia"/>
              <w:noProof/>
              <w:kern w:val="2"/>
              <w:sz w:val="24"/>
              <w:szCs w:val="24"/>
              <w:lang w:val="en-GB" w:eastAsia="en-GB"/>
              <w14:ligatures w14:val="standardContextual"/>
            </w:rPr>
          </w:pPr>
          <w:hyperlink w:anchor="_Toc178586374" w:history="1">
            <w:r w:rsidRPr="000B09D3">
              <w:rPr>
                <w:rStyle w:val="Hipersaite"/>
                <w:noProof/>
              </w:rPr>
              <w:t>Annex A: Schematic Representation of the Development of FEC</w:t>
            </w:r>
            <w:r>
              <w:rPr>
                <w:noProof/>
                <w:webHidden/>
              </w:rPr>
              <w:tab/>
            </w:r>
            <w:r>
              <w:rPr>
                <w:noProof/>
                <w:webHidden/>
              </w:rPr>
              <w:fldChar w:fldCharType="begin"/>
            </w:r>
            <w:r>
              <w:rPr>
                <w:noProof/>
                <w:webHidden/>
              </w:rPr>
              <w:instrText xml:space="preserve"> PAGEREF _Toc178586374 \h </w:instrText>
            </w:r>
            <w:r>
              <w:rPr>
                <w:noProof/>
                <w:webHidden/>
              </w:rPr>
            </w:r>
            <w:r>
              <w:rPr>
                <w:noProof/>
                <w:webHidden/>
              </w:rPr>
              <w:fldChar w:fldCharType="separate"/>
            </w:r>
            <w:r w:rsidR="00D36C9B">
              <w:rPr>
                <w:noProof/>
                <w:webHidden/>
              </w:rPr>
              <w:t>42</w:t>
            </w:r>
            <w:r>
              <w:rPr>
                <w:noProof/>
                <w:webHidden/>
              </w:rPr>
              <w:fldChar w:fldCharType="end"/>
            </w:r>
          </w:hyperlink>
        </w:p>
        <w:p w14:paraId="33013D97" w14:textId="03F545BD" w:rsidR="003B2D82" w:rsidRDefault="003B2D82">
          <w:pPr>
            <w:pStyle w:val="Saturs1"/>
            <w:rPr>
              <w:rFonts w:eastAsiaTheme="minorEastAsia"/>
              <w:noProof/>
              <w:kern w:val="2"/>
              <w:sz w:val="24"/>
              <w:szCs w:val="24"/>
              <w:lang w:val="en-GB" w:eastAsia="en-GB"/>
              <w14:ligatures w14:val="standardContextual"/>
            </w:rPr>
          </w:pPr>
          <w:hyperlink w:anchor="_Toc178586375" w:history="1">
            <w:r w:rsidRPr="000B09D3">
              <w:rPr>
                <w:rStyle w:val="Hipersaite"/>
                <w:noProof/>
              </w:rPr>
              <w:t>Annex B. A List of Sources of Information Used</w:t>
            </w:r>
            <w:r>
              <w:rPr>
                <w:noProof/>
                <w:webHidden/>
              </w:rPr>
              <w:tab/>
            </w:r>
            <w:r>
              <w:rPr>
                <w:noProof/>
                <w:webHidden/>
              </w:rPr>
              <w:fldChar w:fldCharType="begin"/>
            </w:r>
            <w:r>
              <w:rPr>
                <w:noProof/>
                <w:webHidden/>
              </w:rPr>
              <w:instrText xml:space="preserve"> PAGEREF _Toc178586375 \h </w:instrText>
            </w:r>
            <w:r>
              <w:rPr>
                <w:noProof/>
                <w:webHidden/>
              </w:rPr>
            </w:r>
            <w:r>
              <w:rPr>
                <w:noProof/>
                <w:webHidden/>
              </w:rPr>
              <w:fldChar w:fldCharType="separate"/>
            </w:r>
            <w:r w:rsidR="00D36C9B">
              <w:rPr>
                <w:noProof/>
                <w:webHidden/>
              </w:rPr>
              <w:t>43</w:t>
            </w:r>
            <w:r>
              <w:rPr>
                <w:noProof/>
                <w:webHidden/>
              </w:rPr>
              <w:fldChar w:fldCharType="end"/>
            </w:r>
          </w:hyperlink>
        </w:p>
        <w:p w14:paraId="51A49143" w14:textId="4372F120" w:rsidR="003B2D82" w:rsidRDefault="003B2D82">
          <w:pPr>
            <w:pStyle w:val="Saturs1"/>
            <w:rPr>
              <w:rFonts w:eastAsiaTheme="minorEastAsia"/>
              <w:noProof/>
              <w:kern w:val="2"/>
              <w:sz w:val="24"/>
              <w:szCs w:val="24"/>
              <w:lang w:val="en-GB" w:eastAsia="en-GB"/>
              <w14:ligatures w14:val="standardContextual"/>
            </w:rPr>
          </w:pPr>
          <w:hyperlink w:anchor="_Toc178586376" w:history="1">
            <w:r w:rsidRPr="000B09D3">
              <w:rPr>
                <w:rStyle w:val="Hipersaite"/>
                <w:noProof/>
              </w:rPr>
              <w:t>Annex C. Financial Model Assumptions Sheet</w:t>
            </w:r>
            <w:r>
              <w:rPr>
                <w:noProof/>
                <w:webHidden/>
              </w:rPr>
              <w:tab/>
            </w:r>
            <w:r>
              <w:rPr>
                <w:noProof/>
                <w:webHidden/>
              </w:rPr>
              <w:fldChar w:fldCharType="begin"/>
            </w:r>
            <w:r>
              <w:rPr>
                <w:noProof/>
                <w:webHidden/>
              </w:rPr>
              <w:instrText xml:space="preserve"> PAGEREF _Toc178586376 \h </w:instrText>
            </w:r>
            <w:r>
              <w:rPr>
                <w:noProof/>
                <w:webHidden/>
              </w:rPr>
            </w:r>
            <w:r>
              <w:rPr>
                <w:noProof/>
                <w:webHidden/>
              </w:rPr>
              <w:fldChar w:fldCharType="separate"/>
            </w:r>
            <w:r w:rsidR="00D36C9B">
              <w:rPr>
                <w:noProof/>
                <w:webHidden/>
              </w:rPr>
              <w:t>47</w:t>
            </w:r>
            <w:r>
              <w:rPr>
                <w:noProof/>
                <w:webHidden/>
              </w:rPr>
              <w:fldChar w:fldCharType="end"/>
            </w:r>
          </w:hyperlink>
        </w:p>
        <w:p w14:paraId="3165A0A7" w14:textId="3C5A7265" w:rsidR="003B2D82" w:rsidRDefault="003B2D82">
          <w:pPr>
            <w:pStyle w:val="Saturs1"/>
            <w:rPr>
              <w:rFonts w:eastAsiaTheme="minorEastAsia"/>
              <w:noProof/>
              <w:kern w:val="2"/>
              <w:sz w:val="24"/>
              <w:szCs w:val="24"/>
              <w:lang w:val="en-GB" w:eastAsia="en-GB"/>
              <w14:ligatures w14:val="standardContextual"/>
            </w:rPr>
          </w:pPr>
          <w:hyperlink w:anchor="_Toc178586377" w:history="1">
            <w:r w:rsidRPr="000B09D3">
              <w:rPr>
                <w:rStyle w:val="Hipersaite"/>
                <w:noProof/>
              </w:rPr>
              <w:t>Annex D. Financial Model Summary Sheet</w:t>
            </w:r>
            <w:r>
              <w:rPr>
                <w:noProof/>
                <w:webHidden/>
              </w:rPr>
              <w:tab/>
            </w:r>
            <w:r>
              <w:rPr>
                <w:noProof/>
                <w:webHidden/>
              </w:rPr>
              <w:fldChar w:fldCharType="begin"/>
            </w:r>
            <w:r>
              <w:rPr>
                <w:noProof/>
                <w:webHidden/>
              </w:rPr>
              <w:instrText xml:space="preserve"> PAGEREF _Toc178586377 \h </w:instrText>
            </w:r>
            <w:r>
              <w:rPr>
                <w:noProof/>
                <w:webHidden/>
              </w:rPr>
            </w:r>
            <w:r>
              <w:rPr>
                <w:noProof/>
                <w:webHidden/>
              </w:rPr>
              <w:fldChar w:fldCharType="separate"/>
            </w:r>
            <w:r w:rsidR="00D36C9B">
              <w:rPr>
                <w:noProof/>
                <w:webHidden/>
              </w:rPr>
              <w:t>51</w:t>
            </w:r>
            <w:r>
              <w:rPr>
                <w:noProof/>
                <w:webHidden/>
              </w:rPr>
              <w:fldChar w:fldCharType="end"/>
            </w:r>
          </w:hyperlink>
        </w:p>
        <w:p w14:paraId="22D0F8A4" w14:textId="56FCDF18" w:rsidR="003B2D82" w:rsidRDefault="003B2D82">
          <w:pPr>
            <w:pStyle w:val="Saturs1"/>
            <w:rPr>
              <w:rFonts w:eastAsiaTheme="minorEastAsia"/>
              <w:noProof/>
              <w:kern w:val="2"/>
              <w:sz w:val="24"/>
              <w:szCs w:val="24"/>
              <w:lang w:val="en-GB" w:eastAsia="en-GB"/>
              <w14:ligatures w14:val="standardContextual"/>
            </w:rPr>
          </w:pPr>
          <w:hyperlink w:anchor="_Toc178586378" w:history="1">
            <w:r w:rsidRPr="000B09D3">
              <w:rPr>
                <w:rStyle w:val="Hipersaite"/>
                <w:noProof/>
              </w:rPr>
              <w:t>Annex E. Financial Model Sensitivity Analysis Sheet</w:t>
            </w:r>
            <w:r>
              <w:rPr>
                <w:noProof/>
                <w:webHidden/>
              </w:rPr>
              <w:tab/>
            </w:r>
            <w:r>
              <w:rPr>
                <w:noProof/>
                <w:webHidden/>
              </w:rPr>
              <w:fldChar w:fldCharType="begin"/>
            </w:r>
            <w:r>
              <w:rPr>
                <w:noProof/>
                <w:webHidden/>
              </w:rPr>
              <w:instrText xml:space="preserve"> PAGEREF _Toc178586378 \h </w:instrText>
            </w:r>
            <w:r>
              <w:rPr>
                <w:noProof/>
                <w:webHidden/>
              </w:rPr>
            </w:r>
            <w:r>
              <w:rPr>
                <w:noProof/>
                <w:webHidden/>
              </w:rPr>
              <w:fldChar w:fldCharType="separate"/>
            </w:r>
            <w:r w:rsidR="00D36C9B">
              <w:rPr>
                <w:noProof/>
                <w:webHidden/>
              </w:rPr>
              <w:t>52</w:t>
            </w:r>
            <w:r>
              <w:rPr>
                <w:noProof/>
                <w:webHidden/>
              </w:rPr>
              <w:fldChar w:fldCharType="end"/>
            </w:r>
          </w:hyperlink>
        </w:p>
        <w:p w14:paraId="065CFB4E" w14:textId="45DF7A7A" w:rsidR="008844C8" w:rsidRPr="0015600C" w:rsidRDefault="008844C8">
          <w:r w:rsidRPr="6F549DE0">
            <w:fldChar w:fldCharType="end"/>
          </w:r>
        </w:p>
      </w:sdtContent>
    </w:sdt>
    <w:p w14:paraId="5C20A0F9" w14:textId="17293671" w:rsidR="00CB5B0C" w:rsidRPr="00382259" w:rsidRDefault="00CB5B0C" w:rsidP="00584235">
      <w:pPr>
        <w:pStyle w:val="Virsraksts1"/>
        <w:rPr>
          <w:rFonts w:ascii="Verdana" w:hAnsi="Verdana"/>
          <w:color w:val="75777A"/>
        </w:rPr>
      </w:pPr>
      <w:r>
        <w:br w:type="page"/>
      </w:r>
      <w:bookmarkStart w:id="0" w:name="_Toc3246826"/>
      <w:bookmarkStart w:id="1" w:name="_Toc3249535"/>
      <w:bookmarkStart w:id="2" w:name="_Toc3759950"/>
      <w:bookmarkStart w:id="3" w:name="_Toc3804987"/>
      <w:bookmarkStart w:id="4" w:name="_Toc178586350"/>
      <w:r>
        <w:rPr>
          <w:rFonts w:ascii="Verdana" w:hAnsi="Verdana"/>
          <w:color w:val="75777A"/>
        </w:rPr>
        <w:lastRenderedPageBreak/>
        <w:t>Abbreviations and Terms</w:t>
      </w:r>
      <w:bookmarkStart w:id="5" w:name="_Toc3205476"/>
      <w:bookmarkEnd w:id="0"/>
      <w:bookmarkEnd w:id="1"/>
      <w:bookmarkEnd w:id="2"/>
      <w:bookmarkEnd w:id="3"/>
      <w:bookmarkEnd w:id="4"/>
      <w:bookmarkEnd w:id="5"/>
    </w:p>
    <w:p w14:paraId="6ACC6112" w14:textId="17293671" w:rsidR="00CB5B0C" w:rsidRPr="00382259" w:rsidRDefault="00CB5B0C" w:rsidP="00CB5B0C">
      <w:pPr>
        <w:jc w:val="center"/>
        <w:rPr>
          <w:rFonts w:ascii="Verdana" w:hAnsi="Verdana"/>
          <w:sz w:val="40"/>
          <w:szCs w:val="40"/>
          <w:lang w:val="lv-LV"/>
        </w:rPr>
      </w:pPr>
    </w:p>
    <w:tbl>
      <w:tblPr>
        <w:tblStyle w:val="Sarakstatabula2-izclums6"/>
        <w:tblW w:w="9129" w:type="dxa"/>
        <w:tblLook w:val="04A0" w:firstRow="1" w:lastRow="0" w:firstColumn="1" w:lastColumn="0" w:noHBand="0" w:noVBand="1"/>
      </w:tblPr>
      <w:tblGrid>
        <w:gridCol w:w="1001"/>
        <w:gridCol w:w="1938"/>
        <w:gridCol w:w="6190"/>
      </w:tblGrid>
      <w:tr w:rsidR="00345464" w:rsidRPr="00746F6D" w14:paraId="40E337B9" w14:textId="77777777" w:rsidTr="4ED8B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44A11FD1" w14:textId="77777777" w:rsidR="00345464" w:rsidRPr="00B85545" w:rsidRDefault="00345464" w:rsidP="008B6449">
            <w:pPr>
              <w:pStyle w:val="Sarakstarindkopa"/>
              <w:numPr>
                <w:ilvl w:val="0"/>
                <w:numId w:val="23"/>
              </w:numPr>
              <w:rPr>
                <w:rFonts w:cstheme="minorHAnsi"/>
                <w:b w:val="0"/>
                <w:sz w:val="18"/>
                <w:szCs w:val="18"/>
                <w:lang w:val="lv-LV"/>
              </w:rPr>
            </w:pPr>
          </w:p>
        </w:tc>
        <w:tc>
          <w:tcPr>
            <w:tcW w:w="1938" w:type="dxa"/>
          </w:tcPr>
          <w:p w14:paraId="744E6073" w14:textId="5DE943DD" w:rsidR="00345464" w:rsidRPr="005D67DB" w:rsidRDefault="00345464" w:rsidP="007217EE">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rPr>
              <w:t>LPFDS:</w:t>
            </w:r>
          </w:p>
        </w:tc>
        <w:tc>
          <w:tcPr>
            <w:tcW w:w="6190" w:type="dxa"/>
            <w:shd w:val="clear" w:color="auto" w:fill="auto"/>
          </w:tcPr>
          <w:p w14:paraId="7DD71F93" w14:textId="0D679C67" w:rsidR="00345464" w:rsidRPr="00BA564C" w:rsidRDefault="00345464" w:rsidP="7DB09CA3">
            <w:pPr>
              <w:jc w:val="both"/>
              <w:cnfStyle w:val="100000000000" w:firstRow="1" w:lastRow="0" w:firstColumn="0" w:lastColumn="0" w:oddVBand="0" w:evenVBand="0" w:oddHBand="0" w:evenHBand="0" w:firstRowFirstColumn="0" w:firstRowLastColumn="0" w:lastRowFirstColumn="0" w:lastRowLastColumn="0"/>
              <w:rPr>
                <w:b w:val="0"/>
                <w:bCs w:val="0"/>
                <w:sz w:val="18"/>
                <w:szCs w:val="18"/>
              </w:rPr>
            </w:pPr>
            <w:hyperlink r:id="rId12" w:history="1">
              <w:r w:rsidRPr="00DC318B">
                <w:rPr>
                  <w:rStyle w:val="Hipersaite"/>
                  <w:b w:val="0"/>
                  <w:bCs w:val="0"/>
                  <w:sz w:val="18"/>
                </w:rPr>
                <w:t>Law on</w:t>
              </w:r>
            </w:hyperlink>
            <w:r>
              <w:rPr>
                <w:b w:val="0"/>
                <w:sz w:val="18"/>
              </w:rPr>
              <w:t xml:space="preserve"> Procurements in the Field of Defence and Security.</w:t>
            </w:r>
          </w:p>
        </w:tc>
      </w:tr>
      <w:tr w:rsidR="00345464" w:rsidRPr="005D67DB" w14:paraId="32C0E375"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67DD8EA5" w14:textId="77777777" w:rsidR="00345464" w:rsidRPr="00B85545" w:rsidRDefault="00345464" w:rsidP="008B6449">
            <w:pPr>
              <w:pStyle w:val="Sarakstarindkopa"/>
              <w:numPr>
                <w:ilvl w:val="0"/>
                <w:numId w:val="23"/>
              </w:numPr>
              <w:rPr>
                <w:rFonts w:cstheme="minorHAnsi"/>
                <w:b w:val="0"/>
                <w:sz w:val="18"/>
                <w:szCs w:val="18"/>
                <w:lang w:val="lv-LV"/>
              </w:rPr>
            </w:pPr>
          </w:p>
        </w:tc>
        <w:tc>
          <w:tcPr>
            <w:tcW w:w="1938" w:type="dxa"/>
          </w:tcPr>
          <w:p w14:paraId="39B632FF"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Aid Law:</w:t>
            </w:r>
          </w:p>
        </w:tc>
        <w:tc>
          <w:tcPr>
            <w:tcW w:w="6190" w:type="dxa"/>
          </w:tcPr>
          <w:p w14:paraId="1DCF3F6C" w14:textId="5B8333E7"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sz w:val="18"/>
                <w:szCs w:val="18"/>
              </w:rPr>
            </w:pPr>
            <w:hyperlink r:id="rId13" w:history="1">
              <w:r w:rsidRPr="003B11AE">
                <w:rPr>
                  <w:rStyle w:val="Hipersaite"/>
                  <w:sz w:val="18"/>
                </w:rPr>
                <w:t>Law on</w:t>
              </w:r>
            </w:hyperlink>
            <w:r>
              <w:rPr>
                <w:sz w:val="18"/>
              </w:rPr>
              <w:t xml:space="preserve"> Control of Aid for Commercial Activity.</w:t>
            </w:r>
          </w:p>
        </w:tc>
      </w:tr>
      <w:tr w:rsidR="000131DE" w:rsidRPr="005D67DB" w14:paraId="2A0541A6"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29925514" w14:textId="77777777" w:rsidR="000131DE" w:rsidRPr="00B85545" w:rsidRDefault="000131DE" w:rsidP="00B90F12">
            <w:pPr>
              <w:pStyle w:val="Sarakstarindkopa"/>
              <w:numPr>
                <w:ilvl w:val="0"/>
                <w:numId w:val="23"/>
              </w:numPr>
              <w:rPr>
                <w:rFonts w:cstheme="minorHAnsi"/>
                <w:b w:val="0"/>
                <w:sz w:val="18"/>
                <w:szCs w:val="18"/>
                <w:lang w:val="lv-LV"/>
              </w:rPr>
            </w:pPr>
          </w:p>
        </w:tc>
        <w:tc>
          <w:tcPr>
            <w:tcW w:w="1938" w:type="dxa"/>
          </w:tcPr>
          <w:p w14:paraId="6DD69B9B" w14:textId="4103A9DC" w:rsidR="000131DE" w:rsidRPr="005D67DB" w:rsidRDefault="000131DE"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Baseline Model:</w:t>
            </w:r>
          </w:p>
        </w:tc>
        <w:tc>
          <w:tcPr>
            <w:tcW w:w="6190" w:type="dxa"/>
          </w:tcPr>
          <w:p w14:paraId="5D1C841D" w14:textId="5B2B6187" w:rsidR="000131DE" w:rsidRPr="000131DE" w:rsidRDefault="064C8007" w:rsidP="064C800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Traditional public procurement model.</w:t>
            </w:r>
          </w:p>
        </w:tc>
      </w:tr>
      <w:tr w:rsidR="00345464" w:rsidRPr="00746F6D" w14:paraId="086FEFC7"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2CE2D573" w14:textId="77777777" w:rsidR="00345464" w:rsidRPr="00B85545" w:rsidRDefault="00345464" w:rsidP="008B6449">
            <w:pPr>
              <w:pStyle w:val="Sarakstarindkopa"/>
              <w:numPr>
                <w:ilvl w:val="0"/>
                <w:numId w:val="23"/>
              </w:numPr>
              <w:rPr>
                <w:b w:val="0"/>
                <w:sz w:val="18"/>
                <w:lang w:val="lv-LV"/>
              </w:rPr>
            </w:pPr>
          </w:p>
        </w:tc>
        <w:tc>
          <w:tcPr>
            <w:tcW w:w="1938" w:type="dxa"/>
          </w:tcPr>
          <w:p w14:paraId="15235D5E"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CFCA:</w:t>
            </w:r>
          </w:p>
        </w:tc>
        <w:tc>
          <w:tcPr>
            <w:tcW w:w="6190" w:type="dxa"/>
          </w:tcPr>
          <w:p w14:paraId="08C1A8A8" w14:textId="4CB0F862" w:rsidR="00345464" w:rsidRPr="0070111F" w:rsidRDefault="00345464" w:rsidP="064C800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hd w:val="clear" w:color="auto" w:fill="E7E6E6" w:themeFill="background2"/>
              </w:rPr>
              <w:t xml:space="preserve">The Central Finance and Contracting Agency, which is the PPP </w:t>
            </w:r>
            <w:r w:rsidR="00710267">
              <w:rPr>
                <w:sz w:val="18"/>
                <w:shd w:val="clear" w:color="auto" w:fill="E7E6E6" w:themeFill="background2"/>
              </w:rPr>
              <w:t>Monitoring</w:t>
            </w:r>
            <w:r>
              <w:rPr>
                <w:sz w:val="18"/>
                <w:shd w:val="clear" w:color="auto" w:fill="E7E6E6" w:themeFill="background2"/>
              </w:rPr>
              <w:t xml:space="preserve"> </w:t>
            </w:r>
            <w:r w:rsidR="00C70572">
              <w:rPr>
                <w:sz w:val="18"/>
                <w:shd w:val="clear" w:color="auto" w:fill="E7E6E6" w:themeFill="background2"/>
              </w:rPr>
              <w:t>A</w:t>
            </w:r>
            <w:r>
              <w:rPr>
                <w:sz w:val="18"/>
                <w:shd w:val="clear" w:color="auto" w:fill="E7E6E6" w:themeFill="background2"/>
              </w:rPr>
              <w:t xml:space="preserve">uthority under the PPP Law and also acts as the PPP </w:t>
            </w:r>
            <w:r w:rsidR="00710267">
              <w:rPr>
                <w:sz w:val="18"/>
                <w:shd w:val="clear" w:color="auto" w:fill="E7E6E6" w:themeFill="background2"/>
              </w:rPr>
              <w:t xml:space="preserve">Competence </w:t>
            </w:r>
            <w:r>
              <w:rPr>
                <w:sz w:val="18"/>
                <w:shd w:val="clear" w:color="auto" w:fill="E7E6E6" w:themeFill="background2"/>
              </w:rPr>
              <w:t xml:space="preserve">Centre. Should the </w:t>
            </w:r>
            <w:r w:rsidR="00710267">
              <w:rPr>
                <w:sz w:val="18"/>
                <w:shd w:val="clear" w:color="auto" w:fill="E7E6E6" w:themeFill="background2"/>
              </w:rPr>
              <w:t>Monitoring A</w:t>
            </w:r>
            <w:r>
              <w:rPr>
                <w:sz w:val="18"/>
                <w:shd w:val="clear" w:color="auto" w:fill="E7E6E6" w:themeFill="background2"/>
              </w:rPr>
              <w:t xml:space="preserve">uthority's responsibilities be transferred to another body in the future, any reference in the Guidelines to the CFCA should be understood as a reference to the </w:t>
            </w:r>
            <w:r w:rsidR="00710267">
              <w:rPr>
                <w:sz w:val="18"/>
                <w:shd w:val="clear" w:color="auto" w:fill="E7E6E6" w:themeFill="background2"/>
              </w:rPr>
              <w:t>Monitoring A</w:t>
            </w:r>
            <w:r>
              <w:rPr>
                <w:sz w:val="18"/>
                <w:shd w:val="clear" w:color="auto" w:fill="E7E6E6" w:themeFill="background2"/>
              </w:rPr>
              <w:t>uthority</w:t>
            </w:r>
            <w:r>
              <w:rPr>
                <w:sz w:val="18"/>
              </w:rPr>
              <w:t>.</w:t>
            </w:r>
          </w:p>
        </w:tc>
      </w:tr>
      <w:tr w:rsidR="00345464" w:rsidRPr="005D67DB" w14:paraId="0E6F09A0"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494E685B" w14:textId="77777777" w:rsidR="00345464" w:rsidRPr="00B85545" w:rsidRDefault="00345464" w:rsidP="008B6449">
            <w:pPr>
              <w:pStyle w:val="Sarakstarindkopa"/>
              <w:numPr>
                <w:ilvl w:val="0"/>
                <w:numId w:val="23"/>
              </w:numPr>
              <w:rPr>
                <w:rFonts w:cstheme="minorHAnsi"/>
                <w:b w:val="0"/>
                <w:sz w:val="18"/>
                <w:szCs w:val="18"/>
                <w:lang w:val="lv-LV"/>
              </w:rPr>
            </w:pPr>
          </w:p>
        </w:tc>
        <w:tc>
          <w:tcPr>
            <w:tcW w:w="1938" w:type="dxa"/>
          </w:tcPr>
          <w:p w14:paraId="60063456"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CL:</w:t>
            </w:r>
          </w:p>
        </w:tc>
        <w:tc>
          <w:tcPr>
            <w:tcW w:w="6190" w:type="dxa"/>
          </w:tcPr>
          <w:p w14:paraId="6912B9CE" w14:textId="3D523CA2"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hyperlink r:id="rId14" w:history="1">
              <w:r w:rsidRPr="00E33263">
                <w:rPr>
                  <w:rStyle w:val="Hipersaite"/>
                  <w:sz w:val="18"/>
                </w:rPr>
                <w:t>Civil Law</w:t>
              </w:r>
            </w:hyperlink>
            <w:r>
              <w:rPr>
                <w:sz w:val="18"/>
              </w:rPr>
              <w:t>.</w:t>
            </w:r>
          </w:p>
        </w:tc>
      </w:tr>
      <w:tr w:rsidR="7949AB19" w:rsidRPr="00746F6D" w14:paraId="0F447D66"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20F5E7C1" w14:textId="2BB0BA18" w:rsidR="7949AB19" w:rsidRPr="00B85545" w:rsidRDefault="7949AB19" w:rsidP="7949AB19">
            <w:pPr>
              <w:pStyle w:val="Sarakstarindkopa"/>
              <w:numPr>
                <w:ilvl w:val="0"/>
                <w:numId w:val="23"/>
              </w:numPr>
              <w:rPr>
                <w:b w:val="0"/>
                <w:sz w:val="18"/>
                <w:szCs w:val="18"/>
                <w:lang w:val="lv-LV"/>
              </w:rPr>
            </w:pPr>
          </w:p>
        </w:tc>
        <w:tc>
          <w:tcPr>
            <w:tcW w:w="1938" w:type="dxa"/>
          </w:tcPr>
          <w:p w14:paraId="6F0A7B6C" w14:textId="019A7F63" w:rsidR="7949AB19" w:rsidRDefault="5456C133" w:rsidP="007217EE">
            <w:pPr>
              <w:cnfStyle w:val="000000100000" w:firstRow="0" w:lastRow="0" w:firstColumn="0" w:lastColumn="0" w:oddVBand="0" w:evenVBand="0" w:oddHBand="1" w:evenHBand="0" w:firstRowFirstColumn="0" w:firstRowLastColumn="0" w:lastRowFirstColumn="0" w:lastRowLastColumn="0"/>
              <w:rPr>
                <w:b/>
                <w:bCs/>
                <w:sz w:val="18"/>
                <w:szCs w:val="18"/>
                <w:highlight w:val="cyan"/>
              </w:rPr>
            </w:pPr>
            <w:r>
              <w:rPr>
                <w:b/>
                <w:sz w:val="18"/>
              </w:rPr>
              <w:t>Discount rate:</w:t>
            </w:r>
          </w:p>
        </w:tc>
        <w:tc>
          <w:tcPr>
            <w:tcW w:w="6190" w:type="dxa"/>
          </w:tcPr>
          <w:p w14:paraId="5555136A" w14:textId="5605E1BB" w:rsidR="7949AB19" w:rsidRDefault="5456C133" w:rsidP="0043417E">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The interest rate used in discounting cash flows to determine the net present value of future cash flows.</w:t>
            </w:r>
          </w:p>
        </w:tc>
      </w:tr>
      <w:tr w:rsidR="004F2721" w:rsidRPr="00746F6D" w14:paraId="321700EC"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65A63826" w14:textId="226DF005" w:rsidR="7949AB19" w:rsidRPr="00B85545" w:rsidRDefault="7949AB19" w:rsidP="7949AB19">
            <w:pPr>
              <w:pStyle w:val="Sarakstarindkopa"/>
              <w:numPr>
                <w:ilvl w:val="0"/>
                <w:numId w:val="23"/>
              </w:numPr>
              <w:rPr>
                <w:b w:val="0"/>
                <w:sz w:val="18"/>
                <w:szCs w:val="18"/>
                <w:lang w:val="lv-LV"/>
              </w:rPr>
            </w:pPr>
          </w:p>
        </w:tc>
        <w:tc>
          <w:tcPr>
            <w:tcW w:w="1938" w:type="dxa"/>
          </w:tcPr>
          <w:p w14:paraId="3151FD26" w14:textId="1EFC76DD" w:rsidR="004F2721" w:rsidRPr="005D67DB" w:rsidRDefault="004F2721"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DSCR:</w:t>
            </w:r>
          </w:p>
        </w:tc>
        <w:tc>
          <w:tcPr>
            <w:tcW w:w="6190" w:type="dxa"/>
          </w:tcPr>
          <w:p w14:paraId="31695CB9" w14:textId="1F7E33B6" w:rsidR="004F2721" w:rsidRPr="00924251" w:rsidRDefault="064C8007" w:rsidP="064C8007">
            <w:pPr>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Verdana" w:hAnsi="Verdana"/>
                <w:sz w:val="18"/>
              </w:rPr>
              <w:t>Debt service coverage ratio.</w:t>
            </w:r>
            <w:r w:rsidR="00140520">
              <w:rPr>
                <w:rFonts w:ascii="Verdana" w:hAnsi="Verdana"/>
                <w:sz w:val="18"/>
              </w:rPr>
              <w:t xml:space="preserve"> </w:t>
            </w:r>
            <w:r>
              <w:rPr>
                <w:rFonts w:ascii="Verdana" w:hAnsi="Verdana"/>
                <w:sz w:val="18"/>
              </w:rPr>
              <w:t>This is a financial indicator that provides information about the borrower's ability to cover its debt service obligations over a given period. It is calculated by dividing the cash flow available to cover debt service obligations by the total amount of debt service obligations during the reporting period.</w:t>
            </w:r>
          </w:p>
        </w:tc>
      </w:tr>
      <w:tr w:rsidR="00345464" w:rsidRPr="00746F6D" w14:paraId="76FEC0A5"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3A3F3CAC" w14:textId="1085AD4A" w:rsidR="7949AB19" w:rsidRPr="00B85545" w:rsidRDefault="7949AB19" w:rsidP="7949AB19">
            <w:pPr>
              <w:pStyle w:val="Sarakstarindkopa"/>
              <w:numPr>
                <w:ilvl w:val="0"/>
                <w:numId w:val="23"/>
              </w:numPr>
              <w:rPr>
                <w:b w:val="0"/>
                <w:sz w:val="18"/>
                <w:szCs w:val="18"/>
                <w:lang w:val="lv-LV"/>
              </w:rPr>
            </w:pPr>
          </w:p>
        </w:tc>
        <w:tc>
          <w:tcPr>
            <w:tcW w:w="1938" w:type="dxa"/>
          </w:tcPr>
          <w:p w14:paraId="72112BEC" w14:textId="1ECCD35A"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b/>
                <w:sz w:val="18"/>
                <w:szCs w:val="18"/>
              </w:rPr>
            </w:pPr>
            <w:r>
              <w:rPr>
                <w:b/>
                <w:sz w:val="18"/>
              </w:rPr>
              <w:t>ECBA:</w:t>
            </w:r>
          </w:p>
        </w:tc>
        <w:tc>
          <w:tcPr>
            <w:tcW w:w="6190" w:type="dxa"/>
          </w:tcPr>
          <w:p w14:paraId="17CEE39D" w14:textId="3029EE05"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sz w:val="18"/>
              </w:rPr>
              <w:t>Economic cost-benefit analysis.</w:t>
            </w:r>
          </w:p>
        </w:tc>
      </w:tr>
      <w:tr w:rsidR="00345464" w:rsidRPr="005D67DB" w14:paraId="3478E02F"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01FCA02E" w14:textId="2EDF8E7C" w:rsidR="7949AB19" w:rsidRPr="00B85545" w:rsidRDefault="7949AB19" w:rsidP="7949AB19">
            <w:pPr>
              <w:pStyle w:val="Sarakstarindkopa"/>
              <w:numPr>
                <w:ilvl w:val="0"/>
                <w:numId w:val="23"/>
              </w:numPr>
              <w:rPr>
                <w:b w:val="0"/>
                <w:sz w:val="18"/>
                <w:szCs w:val="18"/>
                <w:lang w:val="lv-LV"/>
              </w:rPr>
            </w:pPr>
          </w:p>
        </w:tc>
        <w:tc>
          <w:tcPr>
            <w:tcW w:w="1938" w:type="dxa"/>
          </w:tcPr>
          <w:p w14:paraId="502831A5" w14:textId="00FE2BAF"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EC:</w:t>
            </w:r>
          </w:p>
        </w:tc>
        <w:tc>
          <w:tcPr>
            <w:tcW w:w="6190" w:type="dxa"/>
          </w:tcPr>
          <w:p w14:paraId="3105541E" w14:textId="7DFC950B"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rPr>
              <w:t>European Commission.</w:t>
            </w:r>
          </w:p>
        </w:tc>
      </w:tr>
      <w:tr w:rsidR="000E6FFD" w:rsidRPr="00746F6D" w14:paraId="2D2F9530"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23E05915" w14:textId="7DEDBDBD" w:rsidR="7949AB19" w:rsidRPr="00B85545" w:rsidRDefault="7949AB19" w:rsidP="7949AB19">
            <w:pPr>
              <w:pStyle w:val="Sarakstarindkopa"/>
              <w:numPr>
                <w:ilvl w:val="0"/>
                <w:numId w:val="23"/>
              </w:numPr>
              <w:rPr>
                <w:b w:val="0"/>
                <w:sz w:val="18"/>
                <w:szCs w:val="18"/>
                <w:lang w:val="lv-LV"/>
              </w:rPr>
            </w:pPr>
          </w:p>
        </w:tc>
        <w:tc>
          <w:tcPr>
            <w:tcW w:w="1938" w:type="dxa"/>
          </w:tcPr>
          <w:p w14:paraId="37180653" w14:textId="61EA32B0" w:rsidR="000E6FFD" w:rsidRPr="334261B3" w:rsidRDefault="000E6FFD" w:rsidP="007217EE">
            <w:pPr>
              <w:cnfStyle w:val="000000100000" w:firstRow="0" w:lastRow="0" w:firstColumn="0" w:lastColumn="0" w:oddVBand="0" w:evenVBand="0" w:oddHBand="1" w:evenHBand="0" w:firstRowFirstColumn="0" w:firstRowLastColumn="0" w:lastRowFirstColumn="0" w:lastRowLastColumn="0"/>
              <w:rPr>
                <w:b/>
                <w:sz w:val="18"/>
                <w:szCs w:val="18"/>
              </w:rPr>
            </w:pPr>
            <w:r>
              <w:rPr>
                <w:b/>
                <w:sz w:val="18"/>
              </w:rPr>
              <w:t>ESA 2010:</w:t>
            </w:r>
          </w:p>
        </w:tc>
        <w:tc>
          <w:tcPr>
            <w:tcW w:w="6190" w:type="dxa"/>
          </w:tcPr>
          <w:p w14:paraId="2FB77C7D" w14:textId="20D9DEF0" w:rsidR="000E6FFD" w:rsidRPr="000E6FFD" w:rsidRDefault="000E6FFD" w:rsidP="0048711E">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The European System of National and Regional Accounts referred to in Article 1(1) of Regulation (EU) No 549/2013 is an internationally compatible accounting framework designed to provide a systematic and detailed description of a common economy (i.e. a region, country or group of countries), its components and its relations with other common economies.</w:t>
            </w:r>
          </w:p>
        </w:tc>
      </w:tr>
      <w:tr w:rsidR="00345464" w14:paraId="69D9DAF9"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1DCA051C" w14:textId="61034EDA" w:rsidR="7949AB19" w:rsidRPr="00B85545" w:rsidRDefault="7949AB19" w:rsidP="7949AB19">
            <w:pPr>
              <w:pStyle w:val="Sarakstarindkopa"/>
              <w:numPr>
                <w:ilvl w:val="0"/>
                <w:numId w:val="23"/>
              </w:numPr>
              <w:rPr>
                <w:b w:val="0"/>
                <w:sz w:val="18"/>
                <w:szCs w:val="18"/>
                <w:lang w:val="lv-LV"/>
              </w:rPr>
            </w:pPr>
          </w:p>
        </w:tc>
        <w:tc>
          <w:tcPr>
            <w:tcW w:w="1938" w:type="dxa"/>
          </w:tcPr>
          <w:p w14:paraId="0522352A" w14:textId="1515EF87" w:rsidR="00345464" w:rsidRPr="00714F21" w:rsidRDefault="00345464" w:rsidP="007217EE">
            <w:pPr>
              <w:cnfStyle w:val="000000000000" w:firstRow="0" w:lastRow="0" w:firstColumn="0" w:lastColumn="0" w:oddVBand="0" w:evenVBand="0" w:oddHBand="0" w:evenHBand="0" w:firstRowFirstColumn="0" w:firstRowLastColumn="0" w:lastRowFirstColumn="0" w:lastRowLastColumn="0"/>
              <w:rPr>
                <w:b/>
                <w:bCs/>
                <w:sz w:val="18"/>
                <w:szCs w:val="18"/>
              </w:rPr>
            </w:pPr>
            <w:r>
              <w:rPr>
                <w:b/>
                <w:sz w:val="18"/>
              </w:rPr>
              <w:t>EU:</w:t>
            </w:r>
          </w:p>
        </w:tc>
        <w:tc>
          <w:tcPr>
            <w:tcW w:w="6190" w:type="dxa"/>
          </w:tcPr>
          <w:p w14:paraId="747BEEDC" w14:textId="0A493D99" w:rsidR="00345464" w:rsidRPr="00714F21" w:rsidRDefault="00FA52BD" w:rsidP="00714F2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European Union.</w:t>
            </w:r>
          </w:p>
        </w:tc>
      </w:tr>
      <w:tr w:rsidR="00345464" w:rsidRPr="005D67DB" w14:paraId="76D7431F"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7279F275" w14:textId="72622DE0" w:rsidR="7949AB19" w:rsidRPr="00B85545" w:rsidRDefault="7949AB19" w:rsidP="7949AB19">
            <w:pPr>
              <w:pStyle w:val="Sarakstarindkopa"/>
              <w:numPr>
                <w:ilvl w:val="0"/>
                <w:numId w:val="23"/>
              </w:numPr>
              <w:rPr>
                <w:b w:val="0"/>
                <w:sz w:val="18"/>
                <w:szCs w:val="18"/>
                <w:lang w:val="lv-LV"/>
              </w:rPr>
            </w:pPr>
          </w:p>
        </w:tc>
        <w:tc>
          <w:tcPr>
            <w:tcW w:w="1938" w:type="dxa"/>
          </w:tcPr>
          <w:p w14:paraId="765B6D3C" w14:textId="66742305"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b/>
                <w:sz w:val="18"/>
                <w:szCs w:val="18"/>
              </w:rPr>
            </w:pPr>
            <w:r>
              <w:rPr>
                <w:b/>
                <w:sz w:val="18"/>
              </w:rPr>
              <w:t>EPEC:</w:t>
            </w:r>
          </w:p>
        </w:tc>
        <w:tc>
          <w:tcPr>
            <w:tcW w:w="6190" w:type="dxa"/>
          </w:tcPr>
          <w:p w14:paraId="2C7A9C9F" w14:textId="72EEE5ED" w:rsidR="00345464" w:rsidRPr="005D67DB" w:rsidRDefault="5F0D7D7A" w:rsidP="5F0D7D7A">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European PPP Expertise Centre. </w:t>
            </w:r>
          </w:p>
        </w:tc>
      </w:tr>
      <w:tr w:rsidR="003067B9" w:rsidRPr="00746F6D" w14:paraId="55931CE4"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658AB78A" w14:textId="3684786A" w:rsidR="7949AB19" w:rsidRPr="00B85545" w:rsidRDefault="7949AB19" w:rsidP="7949AB19">
            <w:pPr>
              <w:pStyle w:val="Sarakstarindkopa"/>
              <w:numPr>
                <w:ilvl w:val="0"/>
                <w:numId w:val="23"/>
              </w:numPr>
              <w:rPr>
                <w:b w:val="0"/>
                <w:sz w:val="18"/>
                <w:szCs w:val="18"/>
                <w:lang w:val="lv-LV"/>
              </w:rPr>
            </w:pPr>
          </w:p>
        </w:tc>
        <w:tc>
          <w:tcPr>
            <w:tcW w:w="1938" w:type="dxa"/>
          </w:tcPr>
          <w:p w14:paraId="2D20CD55" w14:textId="0EE72446" w:rsidR="003067B9" w:rsidRPr="005D67DB" w:rsidRDefault="003067B9"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Eurostat:</w:t>
            </w:r>
          </w:p>
        </w:tc>
        <w:tc>
          <w:tcPr>
            <w:tcW w:w="6190" w:type="dxa"/>
          </w:tcPr>
          <w:p w14:paraId="5E71FA10" w14:textId="70627F03" w:rsidR="003067B9" w:rsidRPr="005D67DB" w:rsidRDefault="334261B3" w:rsidP="00FA52BD">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The EU statistical authority referred to in Article 6(1) of Regulation (EC) No 223/2009 which develops, produces and disseminates European statistics in accordance with the principles of professional independence, impartiality, objectivity, reliability, statistical confidentiality and cost-effectiveness. Eurostat provides, inter alia, ex-ante or ex-post </w:t>
            </w:r>
            <w:r w:rsidR="006A6738">
              <w:rPr>
                <w:sz w:val="18"/>
              </w:rPr>
              <w:t>advice</w:t>
            </w:r>
            <w:r>
              <w:rPr>
                <w:sz w:val="18"/>
              </w:rPr>
              <w:t xml:space="preserve"> on the compliance of a Partnership Contract with statistical off-balance sheet treatment.</w:t>
            </w:r>
          </w:p>
        </w:tc>
      </w:tr>
      <w:tr w:rsidR="00345464" w:rsidRPr="00746F6D" w14:paraId="5381DC82"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6E6ADCCB" w14:textId="2542F438" w:rsidR="7949AB19" w:rsidRPr="00B85545" w:rsidRDefault="7949AB19" w:rsidP="7949AB19">
            <w:pPr>
              <w:pStyle w:val="Sarakstarindkopa"/>
              <w:numPr>
                <w:ilvl w:val="0"/>
                <w:numId w:val="23"/>
              </w:numPr>
              <w:rPr>
                <w:b w:val="0"/>
                <w:sz w:val="18"/>
                <w:szCs w:val="18"/>
                <w:lang w:val="lv-LV"/>
              </w:rPr>
            </w:pPr>
          </w:p>
        </w:tc>
        <w:tc>
          <w:tcPr>
            <w:tcW w:w="1938" w:type="dxa"/>
          </w:tcPr>
          <w:p w14:paraId="437281BD" w14:textId="636EE541"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b/>
                <w:sz w:val="18"/>
                <w:szCs w:val="18"/>
              </w:rPr>
            </w:pPr>
            <w:r>
              <w:rPr>
                <w:b/>
                <w:sz w:val="18"/>
              </w:rPr>
              <w:t>Ex-ante:</w:t>
            </w:r>
          </w:p>
        </w:tc>
        <w:tc>
          <w:tcPr>
            <w:tcW w:w="6190" w:type="dxa"/>
          </w:tcPr>
          <w:p w14:paraId="1AE80E86" w14:textId="0DAF98B1" w:rsidR="00345464" w:rsidRPr="005D67DB" w:rsidRDefault="5F0D7D7A" w:rsidP="5F0D7D7A">
            <w:pPr>
              <w:jc w:val="both"/>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18"/>
                <w:szCs w:val="18"/>
              </w:rPr>
            </w:pPr>
            <w:r>
              <w:rPr>
                <w:color w:val="000000" w:themeColor="text1"/>
                <w:sz w:val="18"/>
              </w:rPr>
              <w:t xml:space="preserve">Eurostat's </w:t>
            </w:r>
            <w:r w:rsidR="006A6738">
              <w:rPr>
                <w:color w:val="000000" w:themeColor="text1"/>
                <w:sz w:val="18"/>
              </w:rPr>
              <w:t xml:space="preserve">advice </w:t>
            </w:r>
            <w:r>
              <w:rPr>
                <w:color w:val="000000" w:themeColor="text1"/>
                <w:sz w:val="18"/>
              </w:rPr>
              <w:t>on the compliance of a Partnership Contract with statistical off-balance sheet treatment, received before the conclusion of the Partnership Contract.</w:t>
            </w:r>
          </w:p>
        </w:tc>
      </w:tr>
      <w:tr w:rsidR="00345464" w:rsidRPr="00746F6D" w14:paraId="14EA433D"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4F8CB73B" w14:textId="27AF9874" w:rsidR="7949AB19" w:rsidRPr="00B85545" w:rsidRDefault="7949AB19" w:rsidP="7949AB19">
            <w:pPr>
              <w:pStyle w:val="Sarakstarindkopa"/>
              <w:numPr>
                <w:ilvl w:val="0"/>
                <w:numId w:val="23"/>
              </w:numPr>
              <w:rPr>
                <w:b w:val="0"/>
                <w:sz w:val="18"/>
                <w:szCs w:val="18"/>
                <w:lang w:val="lv-LV"/>
              </w:rPr>
            </w:pPr>
          </w:p>
        </w:tc>
        <w:tc>
          <w:tcPr>
            <w:tcW w:w="1938" w:type="dxa"/>
          </w:tcPr>
          <w:p w14:paraId="559A68AF" w14:textId="32E7BCD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Ex-post:</w:t>
            </w:r>
          </w:p>
        </w:tc>
        <w:tc>
          <w:tcPr>
            <w:tcW w:w="6190" w:type="dxa"/>
          </w:tcPr>
          <w:p w14:paraId="1FAEEDEC" w14:textId="248188DB" w:rsidR="00345464" w:rsidRPr="005D67DB" w:rsidRDefault="5F0D7D7A" w:rsidP="5F0D7D7A">
            <w:pPr>
              <w:jc w:val="both"/>
              <w:cnfStyle w:val="000000000000" w:firstRow="0" w:lastRow="0" w:firstColumn="0" w:lastColumn="0" w:oddVBand="0" w:evenVBand="0" w:oddHBand="0" w:evenHBand="0" w:firstRowFirstColumn="0" w:firstRowLastColumn="0" w:lastRowFirstColumn="0" w:lastRowLastColumn="0"/>
              <w:rPr>
                <w:sz w:val="18"/>
                <w:szCs w:val="18"/>
              </w:rPr>
            </w:pPr>
            <w:r>
              <w:rPr>
                <w:color w:val="000000" w:themeColor="text1"/>
                <w:sz w:val="18"/>
              </w:rPr>
              <w:t xml:space="preserve">Eurostat's </w:t>
            </w:r>
            <w:r w:rsidR="006A6738">
              <w:rPr>
                <w:color w:val="000000" w:themeColor="text1"/>
                <w:sz w:val="18"/>
              </w:rPr>
              <w:t xml:space="preserve">advice </w:t>
            </w:r>
            <w:r>
              <w:rPr>
                <w:color w:val="000000" w:themeColor="text1"/>
                <w:sz w:val="18"/>
              </w:rPr>
              <w:t xml:space="preserve">on the compliance of a Partnership Contract with statistical off-balance sheet treatment, received after the conclusion of the Partnership Contract. </w:t>
            </w:r>
          </w:p>
        </w:tc>
      </w:tr>
      <w:tr w:rsidR="6615BDDD" w14:paraId="4138E7F0"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17797FCE" w14:textId="300DEB63" w:rsidR="7949AB19" w:rsidRPr="00B85545" w:rsidRDefault="7949AB19" w:rsidP="7949AB19">
            <w:pPr>
              <w:pStyle w:val="Sarakstarindkopa"/>
              <w:numPr>
                <w:ilvl w:val="0"/>
                <w:numId w:val="23"/>
              </w:numPr>
              <w:rPr>
                <w:b w:val="0"/>
                <w:sz w:val="18"/>
                <w:szCs w:val="18"/>
                <w:lang w:val="lv-LV"/>
              </w:rPr>
            </w:pPr>
          </w:p>
        </w:tc>
        <w:tc>
          <w:tcPr>
            <w:tcW w:w="1938" w:type="dxa"/>
          </w:tcPr>
          <w:p w14:paraId="1CD57A91" w14:textId="08D988A8" w:rsidR="6615BDDD" w:rsidRDefault="03904FBB" w:rsidP="007217EE">
            <w:pPr>
              <w:cnfStyle w:val="000000100000" w:firstRow="0" w:lastRow="0" w:firstColumn="0" w:lastColumn="0" w:oddVBand="0" w:evenVBand="0" w:oddHBand="1" w:evenHBand="0" w:firstRowFirstColumn="0" w:firstRowLastColumn="0" w:lastRowFirstColumn="0" w:lastRowLastColumn="0"/>
              <w:rPr>
                <w:b/>
                <w:bCs/>
                <w:sz w:val="18"/>
                <w:szCs w:val="18"/>
              </w:rPr>
            </w:pPr>
            <w:r>
              <w:rPr>
                <w:b/>
                <w:sz w:val="18"/>
              </w:rPr>
              <w:t>IRR:</w:t>
            </w:r>
          </w:p>
        </w:tc>
        <w:tc>
          <w:tcPr>
            <w:tcW w:w="6190" w:type="dxa"/>
          </w:tcPr>
          <w:p w14:paraId="1158DB9F" w14:textId="3F0FDCC3" w:rsidR="6615BDDD" w:rsidRDefault="03904FBB" w:rsidP="6615BDDD">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Internal rate of return. </w:t>
            </w:r>
          </w:p>
        </w:tc>
      </w:tr>
      <w:tr w:rsidR="00345464" w:rsidRPr="005D67DB" w14:paraId="02185BE7"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23C2849A" w14:textId="1DCF0ACF" w:rsidR="7949AB19" w:rsidRPr="00B85545" w:rsidRDefault="7949AB19" w:rsidP="7949AB19">
            <w:pPr>
              <w:pStyle w:val="Sarakstarindkopa"/>
              <w:numPr>
                <w:ilvl w:val="0"/>
                <w:numId w:val="23"/>
              </w:numPr>
              <w:rPr>
                <w:b w:val="0"/>
                <w:sz w:val="18"/>
                <w:szCs w:val="18"/>
                <w:lang w:val="lv-LV"/>
              </w:rPr>
            </w:pPr>
          </w:p>
        </w:tc>
        <w:tc>
          <w:tcPr>
            <w:tcW w:w="1938" w:type="dxa"/>
          </w:tcPr>
          <w:p w14:paraId="0F01B6C2"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FEC:</w:t>
            </w:r>
          </w:p>
        </w:tc>
        <w:tc>
          <w:tcPr>
            <w:tcW w:w="6190" w:type="dxa"/>
          </w:tcPr>
          <w:p w14:paraId="4FCCE274" w14:textId="1B9AA808"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rPr>
              <w:t>Financial and economic calculations.</w:t>
            </w:r>
          </w:p>
        </w:tc>
      </w:tr>
      <w:tr w:rsidR="00FA52BD" w:rsidRPr="00746F6D" w14:paraId="3049871F"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6AC3F4EF" w14:textId="6E64E3FB" w:rsidR="7949AB19" w:rsidRPr="00B85545" w:rsidRDefault="7949AB19" w:rsidP="7949AB19">
            <w:pPr>
              <w:pStyle w:val="Sarakstarindkopa"/>
              <w:numPr>
                <w:ilvl w:val="0"/>
                <w:numId w:val="23"/>
              </w:numPr>
              <w:rPr>
                <w:b w:val="0"/>
                <w:bCs w:val="0"/>
                <w:sz w:val="18"/>
                <w:szCs w:val="18"/>
                <w:lang w:val="lv-LV"/>
              </w:rPr>
            </w:pPr>
          </w:p>
        </w:tc>
        <w:tc>
          <w:tcPr>
            <w:tcW w:w="1938" w:type="dxa"/>
          </w:tcPr>
          <w:p w14:paraId="719CD8D0" w14:textId="40E63818" w:rsidR="00FA52BD" w:rsidRPr="005D67DB" w:rsidRDefault="00FA52BD" w:rsidP="007217EE">
            <w:pPr>
              <w:cnfStyle w:val="000000100000" w:firstRow="0" w:lastRow="0" w:firstColumn="0" w:lastColumn="0" w:oddVBand="0" w:evenVBand="0" w:oddHBand="1" w:evenHBand="0" w:firstRowFirstColumn="0" w:firstRowLastColumn="0" w:lastRowFirstColumn="0" w:lastRowLastColumn="0"/>
              <w:rPr>
                <w:b/>
                <w:sz w:val="18"/>
                <w:szCs w:val="18"/>
              </w:rPr>
            </w:pPr>
            <w:r>
              <w:rPr>
                <w:b/>
                <w:sz w:val="18"/>
              </w:rPr>
              <w:t>Financier:</w:t>
            </w:r>
          </w:p>
        </w:tc>
        <w:tc>
          <w:tcPr>
            <w:tcW w:w="6190" w:type="dxa"/>
          </w:tcPr>
          <w:p w14:paraId="2936A44B" w14:textId="7331028B" w:rsidR="00FA52BD" w:rsidRPr="005D67DB" w:rsidRDefault="334261B3" w:rsidP="0048711E">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An economic unit that provides all or part of the funding required to finance a Partnership Contract. Such an economic unit can be, for example, an institutional credit establishment, any other credit establishment, any type of foundation, etc. </w:t>
            </w:r>
          </w:p>
        </w:tc>
      </w:tr>
      <w:tr w:rsidR="00FA52BD" w:rsidRPr="00746F6D" w14:paraId="1DF78C43"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7CD3ACF5" w14:textId="32BD58B9" w:rsidR="7949AB19" w:rsidRPr="00B85545" w:rsidRDefault="7949AB19" w:rsidP="7949AB19">
            <w:pPr>
              <w:pStyle w:val="Sarakstarindkopa"/>
              <w:numPr>
                <w:ilvl w:val="0"/>
                <w:numId w:val="23"/>
              </w:numPr>
              <w:rPr>
                <w:b w:val="0"/>
                <w:bCs w:val="0"/>
                <w:sz w:val="18"/>
                <w:szCs w:val="18"/>
                <w:lang w:val="lv-LV"/>
              </w:rPr>
            </w:pPr>
          </w:p>
        </w:tc>
        <w:tc>
          <w:tcPr>
            <w:tcW w:w="1938" w:type="dxa"/>
          </w:tcPr>
          <w:p w14:paraId="0F6BD960" w14:textId="73541710" w:rsidR="00FA52BD" w:rsidRDefault="00FA52BD"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Financing Contract:</w:t>
            </w:r>
          </w:p>
        </w:tc>
        <w:tc>
          <w:tcPr>
            <w:tcW w:w="6190" w:type="dxa"/>
          </w:tcPr>
          <w:p w14:paraId="377EFE89" w14:textId="186C0923" w:rsidR="00FA52BD" w:rsidRDefault="334261B3" w:rsidP="0048711E">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A contract that is concluded to </w:t>
            </w:r>
            <w:r w:rsidR="00D52A77">
              <w:rPr>
                <w:sz w:val="18"/>
              </w:rPr>
              <w:t>attract</w:t>
            </w:r>
            <w:r>
              <w:rPr>
                <w:sz w:val="18"/>
              </w:rPr>
              <w:t xml:space="preserve"> and secure funding for the implementation of a Partnership Contract.</w:t>
            </w:r>
          </w:p>
        </w:tc>
      </w:tr>
      <w:tr w:rsidR="00E725AA" w:rsidRPr="00746F6D" w14:paraId="597FFB54"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56F6D753" w14:textId="77777777" w:rsidR="00E725AA" w:rsidRPr="00B85545" w:rsidRDefault="00E725AA" w:rsidP="00B90F12">
            <w:pPr>
              <w:pStyle w:val="Sarakstarindkopa"/>
              <w:numPr>
                <w:ilvl w:val="0"/>
                <w:numId w:val="23"/>
              </w:numPr>
              <w:rPr>
                <w:rFonts w:cstheme="minorHAnsi"/>
                <w:b w:val="0"/>
                <w:sz w:val="18"/>
                <w:szCs w:val="18"/>
                <w:lang w:val="lv-LV"/>
              </w:rPr>
            </w:pPr>
          </w:p>
        </w:tc>
        <w:tc>
          <w:tcPr>
            <w:tcW w:w="1938" w:type="dxa"/>
          </w:tcPr>
          <w:p w14:paraId="56AF78D9" w14:textId="7179967C" w:rsidR="00E725AA" w:rsidRPr="00E725AA" w:rsidRDefault="00E725AA" w:rsidP="007217EE">
            <w:pPr>
              <w:cnfStyle w:val="000000100000" w:firstRow="0" w:lastRow="0" w:firstColumn="0" w:lastColumn="0" w:oddVBand="0" w:evenVBand="0" w:oddHBand="1" w:evenHBand="0" w:firstRowFirstColumn="0" w:firstRowLastColumn="0" w:lastRowFirstColumn="0" w:lastRowLastColumn="0"/>
              <w:rPr>
                <w:b/>
                <w:sz w:val="18"/>
                <w:szCs w:val="18"/>
                <w:highlight w:val="cyan"/>
              </w:rPr>
            </w:pPr>
            <w:r>
              <w:rPr>
                <w:b/>
                <w:sz w:val="18"/>
              </w:rPr>
              <w:t>Financial Model:</w:t>
            </w:r>
          </w:p>
        </w:tc>
        <w:tc>
          <w:tcPr>
            <w:tcW w:w="6190" w:type="dxa"/>
          </w:tcPr>
          <w:p w14:paraId="24BBF3AD" w14:textId="5A2A9D93" w:rsidR="00E725AA" w:rsidRPr="334261B3" w:rsidRDefault="00E05205" w:rsidP="00E05205">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Excel file forming part of these Guidelines. </w:t>
            </w:r>
          </w:p>
        </w:tc>
      </w:tr>
      <w:tr w:rsidR="00F447A0" w:rsidRPr="00746F6D" w14:paraId="18C6D715" w14:textId="77777777" w:rsidTr="4ED8BBC5">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1F6E858B" w14:textId="2DA8B4D9" w:rsidR="7949AB19" w:rsidRPr="00B85545" w:rsidRDefault="7949AB19" w:rsidP="7949AB19">
            <w:pPr>
              <w:pStyle w:val="Sarakstarindkopa"/>
              <w:numPr>
                <w:ilvl w:val="0"/>
                <w:numId w:val="23"/>
              </w:numPr>
              <w:rPr>
                <w:b w:val="0"/>
                <w:sz w:val="18"/>
                <w:szCs w:val="18"/>
                <w:lang w:val="lv-LV"/>
              </w:rPr>
            </w:pPr>
          </w:p>
        </w:tc>
        <w:tc>
          <w:tcPr>
            <w:tcW w:w="1938" w:type="dxa"/>
            <w:shd w:val="clear" w:color="auto" w:fill="auto"/>
          </w:tcPr>
          <w:p w14:paraId="3108DAF9" w14:textId="370DC3F9" w:rsidR="00F447A0" w:rsidRPr="334261B3" w:rsidRDefault="00F447A0"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Financial close:</w:t>
            </w:r>
          </w:p>
        </w:tc>
        <w:tc>
          <w:tcPr>
            <w:tcW w:w="6190" w:type="dxa"/>
            <w:shd w:val="clear" w:color="auto" w:fill="auto"/>
          </w:tcPr>
          <w:p w14:paraId="3BC53D20" w14:textId="0FF489CC" w:rsidR="00F447A0" w:rsidRPr="334261B3" w:rsidRDefault="5C7E79CE" w:rsidP="0048711E">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Date on which the Financing Contract is signed. Depending on the structure and design of the PPP project, the financial close may </w:t>
            </w:r>
            <w:r>
              <w:rPr>
                <w:sz w:val="18"/>
              </w:rPr>
              <w:lastRenderedPageBreak/>
              <w:t>take place on the same date as the signing of the Partnership Contract or after the date of signing of the Partnership Contract.</w:t>
            </w:r>
          </w:p>
        </w:tc>
      </w:tr>
      <w:tr w:rsidR="00345464" w:rsidRPr="005D67DB" w14:paraId="74C24BEE"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58E87545" w14:textId="3ADEAC7D" w:rsidR="7949AB19" w:rsidRPr="00B85545" w:rsidRDefault="7949AB19" w:rsidP="7949AB19">
            <w:pPr>
              <w:pStyle w:val="Sarakstarindkopa"/>
              <w:numPr>
                <w:ilvl w:val="0"/>
                <w:numId w:val="23"/>
              </w:numPr>
              <w:rPr>
                <w:b w:val="0"/>
                <w:bCs w:val="0"/>
                <w:sz w:val="18"/>
                <w:szCs w:val="18"/>
                <w:lang w:val="lv-LV"/>
              </w:rPr>
            </w:pPr>
          </w:p>
        </w:tc>
        <w:tc>
          <w:tcPr>
            <w:tcW w:w="1938" w:type="dxa"/>
          </w:tcPr>
          <w:p w14:paraId="076A0B51"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MoF:</w:t>
            </w:r>
          </w:p>
        </w:tc>
        <w:tc>
          <w:tcPr>
            <w:tcW w:w="6190" w:type="dxa"/>
          </w:tcPr>
          <w:p w14:paraId="0A40D89A" w14:textId="76878F7D"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sz w:val="18"/>
              </w:rPr>
              <w:t>Ministry of Finance.</w:t>
            </w:r>
          </w:p>
        </w:tc>
      </w:tr>
      <w:tr w:rsidR="00345464" w:rsidRPr="005D67DB" w14:paraId="1F217263" w14:textId="77777777" w:rsidTr="4ED8BBC5">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7F537858" w14:textId="611B2866" w:rsidR="7949AB19" w:rsidRPr="00B85545" w:rsidRDefault="7949AB19" w:rsidP="7949AB19">
            <w:pPr>
              <w:pStyle w:val="Sarakstarindkopa"/>
              <w:numPr>
                <w:ilvl w:val="0"/>
                <w:numId w:val="23"/>
              </w:numPr>
              <w:rPr>
                <w:b w:val="0"/>
                <w:sz w:val="18"/>
                <w:szCs w:val="18"/>
                <w:lang w:val="lv-LV"/>
              </w:rPr>
            </w:pPr>
          </w:p>
        </w:tc>
        <w:tc>
          <w:tcPr>
            <w:tcW w:w="1938" w:type="dxa"/>
            <w:shd w:val="clear" w:color="auto" w:fill="auto"/>
          </w:tcPr>
          <w:p w14:paraId="48AE287C"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VFM:</w:t>
            </w:r>
          </w:p>
        </w:tc>
        <w:tc>
          <w:tcPr>
            <w:tcW w:w="6190" w:type="dxa"/>
            <w:shd w:val="clear" w:color="auto" w:fill="auto"/>
          </w:tcPr>
          <w:p w14:paraId="5C540A71" w14:textId="4A7F73F6"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Value for money. </w:t>
            </w:r>
          </w:p>
        </w:tc>
      </w:tr>
      <w:tr w:rsidR="00B80243" w:rsidRPr="00746F6D" w14:paraId="291B3856" w14:textId="77777777" w:rsidTr="009E0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6A0F78F4" w14:textId="77777777" w:rsidR="00B80243" w:rsidRPr="00B85545" w:rsidRDefault="00B80243" w:rsidP="7949AB19">
            <w:pPr>
              <w:pStyle w:val="Sarakstarindkopa"/>
              <w:numPr>
                <w:ilvl w:val="0"/>
                <w:numId w:val="23"/>
              </w:numPr>
              <w:rPr>
                <w:b w:val="0"/>
                <w:sz w:val="18"/>
                <w:szCs w:val="18"/>
                <w:lang w:val="lv-LV"/>
              </w:rPr>
            </w:pPr>
          </w:p>
        </w:tc>
        <w:tc>
          <w:tcPr>
            <w:tcW w:w="1938" w:type="dxa"/>
            <w:shd w:val="clear" w:color="auto" w:fill="E7E6E6" w:themeFill="background2"/>
          </w:tcPr>
          <w:p w14:paraId="6EA01B47" w14:textId="03EA7F48" w:rsidR="00B80243" w:rsidRPr="005D67DB" w:rsidRDefault="00B80243"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VFM corridor:</w:t>
            </w:r>
          </w:p>
        </w:tc>
        <w:tc>
          <w:tcPr>
            <w:tcW w:w="6190" w:type="dxa"/>
            <w:shd w:val="clear" w:color="auto" w:fill="E7E6E6" w:themeFill="background2"/>
          </w:tcPr>
          <w:p w14:paraId="0F436F8D" w14:textId="566DF488" w:rsidR="00B80243" w:rsidRPr="0504FE1B" w:rsidRDefault="00B80243" w:rsidP="00B80243">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The difference between the lowest and the highest VFM calculated within FEC.</w:t>
            </w:r>
          </w:p>
        </w:tc>
      </w:tr>
      <w:tr w:rsidR="03904FBB" w:rsidRPr="00746F6D" w14:paraId="35029FAB"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41E10DC1" w14:textId="55EBC021" w:rsidR="7949AB19" w:rsidRPr="00B85545" w:rsidRDefault="7949AB19" w:rsidP="7949AB19">
            <w:pPr>
              <w:pStyle w:val="Sarakstarindkopa"/>
              <w:numPr>
                <w:ilvl w:val="0"/>
                <w:numId w:val="23"/>
              </w:numPr>
              <w:rPr>
                <w:b w:val="0"/>
                <w:bCs w:val="0"/>
                <w:sz w:val="18"/>
                <w:szCs w:val="18"/>
                <w:lang w:val="lv-LV"/>
              </w:rPr>
            </w:pPr>
          </w:p>
        </w:tc>
        <w:tc>
          <w:tcPr>
            <w:tcW w:w="1938" w:type="dxa"/>
          </w:tcPr>
          <w:p w14:paraId="7B1C41C4" w14:textId="1BFFA7B8" w:rsidR="03904FBB" w:rsidRDefault="03904FBB" w:rsidP="007217EE">
            <w:pPr>
              <w:cnfStyle w:val="000000000000" w:firstRow="0" w:lastRow="0" w:firstColumn="0" w:lastColumn="0" w:oddVBand="0" w:evenVBand="0" w:oddHBand="0" w:evenHBand="0" w:firstRowFirstColumn="0" w:firstRowLastColumn="0" w:lastRowFirstColumn="0" w:lastRowLastColumn="0"/>
              <w:rPr>
                <w:b/>
                <w:bCs/>
                <w:sz w:val="18"/>
                <w:szCs w:val="18"/>
                <w:highlight w:val="cyan"/>
              </w:rPr>
            </w:pPr>
            <w:r>
              <w:rPr>
                <w:b/>
                <w:sz w:val="18"/>
              </w:rPr>
              <w:t>Procurement Procedure:</w:t>
            </w:r>
          </w:p>
        </w:tc>
        <w:tc>
          <w:tcPr>
            <w:tcW w:w="6190" w:type="dxa"/>
          </w:tcPr>
          <w:p w14:paraId="1904C1AE" w14:textId="6F12FE7C" w:rsidR="03904FBB" w:rsidRDefault="03904FBB" w:rsidP="00126735">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The procedure used to select a private partner. In the case of a Concession, the Concession Procedure under the </w:t>
            </w:r>
            <w:hyperlink r:id="rId15" w:history="1">
              <w:r w:rsidRPr="006D0337">
                <w:rPr>
                  <w:rStyle w:val="Hipersaite"/>
                  <w:sz w:val="18"/>
                </w:rPr>
                <w:t>PPP Law</w:t>
              </w:r>
            </w:hyperlink>
            <w:r>
              <w:rPr>
                <w:sz w:val="18"/>
              </w:rPr>
              <w:t xml:space="preserve"> applies to the selection of a concessionaire. For other PPP arrangements, as well as for delegation, the procurement procedure under the </w:t>
            </w:r>
            <w:hyperlink r:id="rId16" w:history="1">
              <w:r w:rsidRPr="004438A4">
                <w:rPr>
                  <w:rStyle w:val="Hipersaite"/>
                  <w:sz w:val="18"/>
                </w:rPr>
                <w:t>PPL</w:t>
              </w:r>
            </w:hyperlink>
            <w:r>
              <w:rPr>
                <w:sz w:val="18"/>
              </w:rPr>
              <w:t xml:space="preserve">, </w:t>
            </w:r>
            <w:hyperlink r:id="rId17" w:history="1">
              <w:r w:rsidRPr="004438A4">
                <w:rPr>
                  <w:rStyle w:val="Hipersaite"/>
                  <w:sz w:val="18"/>
                </w:rPr>
                <w:t>LPPSP</w:t>
              </w:r>
            </w:hyperlink>
            <w:r>
              <w:rPr>
                <w:sz w:val="18"/>
              </w:rPr>
              <w:t xml:space="preserve">, </w:t>
            </w:r>
            <w:hyperlink r:id="rId18" w:history="1">
              <w:r w:rsidRPr="00B626BE">
                <w:rPr>
                  <w:rStyle w:val="Hipersaite"/>
                  <w:sz w:val="18"/>
                </w:rPr>
                <w:t>LPFDS</w:t>
              </w:r>
            </w:hyperlink>
            <w:r>
              <w:rPr>
                <w:sz w:val="18"/>
              </w:rPr>
              <w:t xml:space="preserve"> shall apply, except in cases where the procurement procedure is not applicable as provided for in these laws. A reference to a Procurement Procedure shall also include a reference to a Concession Procedure.</w:t>
            </w:r>
          </w:p>
        </w:tc>
      </w:tr>
      <w:tr w:rsidR="00345464" w:rsidRPr="00746F6D" w14:paraId="41F26FBD" w14:textId="77777777" w:rsidTr="009E0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4EED9450" w14:textId="7B33A5A6"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3A992AF5"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Information Exchange Agreement:</w:t>
            </w:r>
          </w:p>
        </w:tc>
        <w:tc>
          <w:tcPr>
            <w:tcW w:w="6190" w:type="dxa"/>
            <w:shd w:val="clear" w:color="auto" w:fill="E7E6E6" w:themeFill="background2"/>
          </w:tcPr>
          <w:p w14:paraId="2111C655" w14:textId="07C8F857"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An agreement, which is concluded at the same time as a Partnership Contract and which governs the exchange of information between the public partner and the financier on the fulfilment of the private partner's obligations under the Partnership Contract and the Financing Contract.</w:t>
            </w:r>
          </w:p>
        </w:tc>
      </w:tr>
      <w:tr w:rsidR="00345464" w:rsidRPr="00746F6D" w14:paraId="7DCD2198"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33764EB0" w14:textId="53EDD89F" w:rsidR="7949AB19" w:rsidRPr="00B85545" w:rsidRDefault="7949AB19" w:rsidP="7949AB19">
            <w:pPr>
              <w:pStyle w:val="Sarakstarindkopa"/>
              <w:numPr>
                <w:ilvl w:val="0"/>
                <w:numId w:val="23"/>
              </w:numPr>
              <w:rPr>
                <w:b w:val="0"/>
                <w:bCs w:val="0"/>
                <w:sz w:val="18"/>
                <w:szCs w:val="18"/>
                <w:lang w:val="lv-LV"/>
              </w:rPr>
            </w:pPr>
          </w:p>
        </w:tc>
        <w:tc>
          <w:tcPr>
            <w:tcW w:w="1938" w:type="dxa"/>
          </w:tcPr>
          <w:p w14:paraId="297EC7F5"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Institutional PPP:</w:t>
            </w:r>
          </w:p>
        </w:tc>
        <w:tc>
          <w:tcPr>
            <w:tcW w:w="6190" w:type="dxa"/>
          </w:tcPr>
          <w:p w14:paraId="7FC9DA6A" w14:textId="236335E3" w:rsidR="00345464" w:rsidRPr="005D67DB" w:rsidRDefault="5F0D7D7A" w:rsidP="5F0D7D7A">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One of the three PPP arrangements (referred to in Paragraph 51 of this list and in Chapter 1.2 of the Guidelines), where a public partner and a private partner set up a joint venture which concludes a Partnership Contract as a private partner.</w:t>
            </w:r>
          </w:p>
        </w:tc>
      </w:tr>
      <w:tr w:rsidR="00345464" w:rsidRPr="00746F6D" w14:paraId="3F7ADED8" w14:textId="77777777" w:rsidTr="009E0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0DF6C759" w14:textId="0756D61C"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1D4032EA"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Law on Prevention of Squandering:</w:t>
            </w:r>
          </w:p>
        </w:tc>
        <w:tc>
          <w:tcPr>
            <w:tcW w:w="6190" w:type="dxa"/>
            <w:shd w:val="clear" w:color="auto" w:fill="E7E6E6" w:themeFill="background2"/>
          </w:tcPr>
          <w:p w14:paraId="42EDFFCB" w14:textId="73EB8435"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19" w:history="1">
              <w:r w:rsidRPr="00093FDF">
                <w:rPr>
                  <w:rStyle w:val="Hipersaite"/>
                  <w:sz w:val="18"/>
                </w:rPr>
                <w:t>Law on</w:t>
              </w:r>
            </w:hyperlink>
            <w:r>
              <w:rPr>
                <w:color w:val="000000" w:themeColor="text1"/>
                <w:sz w:val="18"/>
              </w:rPr>
              <w:t xml:space="preserve"> Prevention of Squandering of the Financial Resources and Property of a Public Entity.</w:t>
            </w:r>
          </w:p>
        </w:tc>
      </w:tr>
      <w:tr w:rsidR="00345464" w:rsidRPr="005D67DB" w14:paraId="77532D30"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3F0A21F7" w14:textId="5B5C4B54" w:rsidR="7949AB19" w:rsidRPr="00B85545" w:rsidRDefault="7949AB19" w:rsidP="7949AB19">
            <w:pPr>
              <w:pStyle w:val="Sarakstarindkopa"/>
              <w:numPr>
                <w:ilvl w:val="0"/>
                <w:numId w:val="23"/>
              </w:numPr>
              <w:rPr>
                <w:b w:val="0"/>
                <w:bCs w:val="0"/>
                <w:sz w:val="18"/>
                <w:szCs w:val="18"/>
                <w:lang w:val="lv-LV"/>
              </w:rPr>
            </w:pPr>
          </w:p>
        </w:tc>
        <w:tc>
          <w:tcPr>
            <w:tcW w:w="1938" w:type="dxa"/>
          </w:tcPr>
          <w:p w14:paraId="613422DC"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CcL:</w:t>
            </w:r>
          </w:p>
        </w:tc>
        <w:tc>
          <w:tcPr>
            <w:tcW w:w="6190" w:type="dxa"/>
          </w:tcPr>
          <w:p w14:paraId="282A3C2C" w14:textId="40BE0F0C"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hyperlink r:id="rId20" w:history="1">
              <w:r w:rsidRPr="005C2146">
                <w:rPr>
                  <w:rStyle w:val="Hipersaite"/>
                  <w:sz w:val="18"/>
                </w:rPr>
                <w:t>Commercial Law</w:t>
              </w:r>
            </w:hyperlink>
            <w:r>
              <w:rPr>
                <w:sz w:val="18"/>
              </w:rPr>
              <w:t>.</w:t>
            </w:r>
          </w:p>
        </w:tc>
      </w:tr>
      <w:tr w:rsidR="00345464" w:rsidRPr="005D67DB" w14:paraId="358EE90B" w14:textId="77777777" w:rsidTr="009E0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34DA5C33" w14:textId="0D5B417C"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19320AD1"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CtL:</w:t>
            </w:r>
          </w:p>
        </w:tc>
        <w:tc>
          <w:tcPr>
            <w:tcW w:w="6190" w:type="dxa"/>
            <w:shd w:val="clear" w:color="auto" w:fill="E7E6E6" w:themeFill="background2"/>
          </w:tcPr>
          <w:p w14:paraId="2FD5BBB5" w14:textId="03ACE16C"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21" w:history="1">
              <w:r w:rsidRPr="00074E12">
                <w:rPr>
                  <w:rStyle w:val="Hipersaite"/>
                  <w:sz w:val="18"/>
                </w:rPr>
                <w:t>Competition Law</w:t>
              </w:r>
            </w:hyperlink>
            <w:r>
              <w:rPr>
                <w:sz w:val="18"/>
              </w:rPr>
              <w:t>.</w:t>
            </w:r>
          </w:p>
        </w:tc>
      </w:tr>
      <w:tr w:rsidR="00345464" w:rsidRPr="00746F6D" w14:paraId="205A6728"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5C72DE95" w14:textId="371775F9" w:rsidR="7949AB19" w:rsidRPr="00B85545" w:rsidRDefault="7949AB19" w:rsidP="7949AB19">
            <w:pPr>
              <w:pStyle w:val="Sarakstarindkopa"/>
              <w:numPr>
                <w:ilvl w:val="0"/>
                <w:numId w:val="23"/>
              </w:numPr>
              <w:rPr>
                <w:b w:val="0"/>
                <w:bCs w:val="0"/>
                <w:sz w:val="18"/>
                <w:szCs w:val="18"/>
                <w:lang w:val="lv-LV"/>
              </w:rPr>
            </w:pPr>
          </w:p>
        </w:tc>
        <w:tc>
          <w:tcPr>
            <w:tcW w:w="1938" w:type="dxa"/>
          </w:tcPr>
          <w:p w14:paraId="7BCFDF8F"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Concession:</w:t>
            </w:r>
          </w:p>
        </w:tc>
        <w:tc>
          <w:tcPr>
            <w:tcW w:w="6190" w:type="dxa"/>
          </w:tcPr>
          <w:p w14:paraId="70C067C8" w14:textId="66CA7133" w:rsidR="00345464" w:rsidRPr="00714F21" w:rsidRDefault="5F0D7D7A" w:rsidP="064C800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One of the three PPP arrangements (referred to in Paragraph 51 of this list and in Chapter 1.2 of the Guidelines) implemented on the basis of a Concession Contract.</w:t>
            </w:r>
          </w:p>
        </w:tc>
      </w:tr>
      <w:tr w:rsidR="00345464" w:rsidRPr="00746F6D" w14:paraId="18BEADC0" w14:textId="77777777" w:rsidTr="009E0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22A8A141" w14:textId="534D2249"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39C773AB"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Concession Contract:</w:t>
            </w:r>
          </w:p>
        </w:tc>
        <w:tc>
          <w:tcPr>
            <w:tcW w:w="6190" w:type="dxa"/>
            <w:shd w:val="clear" w:color="auto" w:fill="E7E6E6" w:themeFill="background2"/>
          </w:tcPr>
          <w:p w14:paraId="33AD41B6" w14:textId="741B4E0E" w:rsidR="00345464" w:rsidRPr="005D67DB" w:rsidRDefault="0504FE1B" w:rsidP="0048711E">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A Partnership Contract, on the basis of which only one of the three PPP arrangements (referred to in Paragraph 31 of this list and in Chapter 1.2 of the Guidelines) can be implemented, i.e. a Concession.</w:t>
            </w:r>
          </w:p>
        </w:tc>
      </w:tr>
      <w:tr w:rsidR="03904FBB" w:rsidRPr="00746F6D" w14:paraId="54BBBDE9" w14:textId="77777777" w:rsidTr="009E01B7">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19851D81" w14:textId="5A5A997E" w:rsidR="7949AB19" w:rsidRPr="00E11584" w:rsidRDefault="7949AB19" w:rsidP="7949AB19">
            <w:pPr>
              <w:pStyle w:val="Sarakstarindkopa"/>
              <w:numPr>
                <w:ilvl w:val="0"/>
                <w:numId w:val="23"/>
              </w:numPr>
              <w:rPr>
                <w:b w:val="0"/>
                <w:bCs w:val="0"/>
                <w:sz w:val="18"/>
                <w:szCs w:val="18"/>
                <w:lang w:val="lv-LV"/>
              </w:rPr>
            </w:pPr>
          </w:p>
        </w:tc>
        <w:tc>
          <w:tcPr>
            <w:tcW w:w="1938" w:type="dxa"/>
            <w:shd w:val="clear" w:color="auto" w:fill="auto"/>
          </w:tcPr>
          <w:p w14:paraId="5E7014EA" w14:textId="6F8FD482" w:rsidR="03904FBB" w:rsidRPr="00E11584" w:rsidRDefault="03904FBB" w:rsidP="007217EE">
            <w:pPr>
              <w:cnfStyle w:val="000000000000" w:firstRow="0" w:lastRow="0" w:firstColumn="0" w:lastColumn="0" w:oddVBand="0" w:evenVBand="0" w:oddHBand="0" w:evenHBand="0" w:firstRowFirstColumn="0" w:firstRowLastColumn="0" w:lastRowFirstColumn="0" w:lastRowLastColumn="0"/>
              <w:rPr>
                <w:b/>
                <w:bCs/>
                <w:sz w:val="18"/>
                <w:szCs w:val="18"/>
              </w:rPr>
            </w:pPr>
            <w:r>
              <w:rPr>
                <w:b/>
                <w:sz w:val="18"/>
              </w:rPr>
              <w:t>Concession Procedure:</w:t>
            </w:r>
          </w:p>
        </w:tc>
        <w:tc>
          <w:tcPr>
            <w:tcW w:w="6190" w:type="dxa"/>
            <w:shd w:val="clear" w:color="auto" w:fill="auto"/>
          </w:tcPr>
          <w:p w14:paraId="11DA64CD" w14:textId="450BFEAF" w:rsidR="03904FBB" w:rsidRDefault="03904FBB" w:rsidP="03904FBB">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A procedure set out in the PPP Law for selecting a concessionaire for a particular Concession.</w:t>
            </w:r>
          </w:p>
        </w:tc>
      </w:tr>
      <w:tr w:rsidR="00997939" w:rsidRPr="00746F6D" w14:paraId="4187BA5C" w14:textId="77777777" w:rsidTr="009E0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73650D27" w14:textId="77777777" w:rsidR="00997939" w:rsidRPr="00B85545" w:rsidRDefault="00997939" w:rsidP="7949AB19">
            <w:pPr>
              <w:pStyle w:val="Sarakstarindkopa"/>
              <w:numPr>
                <w:ilvl w:val="0"/>
                <w:numId w:val="23"/>
              </w:numPr>
              <w:rPr>
                <w:b w:val="0"/>
                <w:sz w:val="18"/>
                <w:szCs w:val="18"/>
                <w:lang w:val="lv-LV"/>
              </w:rPr>
            </w:pPr>
          </w:p>
        </w:tc>
        <w:tc>
          <w:tcPr>
            <w:tcW w:w="1938" w:type="dxa"/>
            <w:shd w:val="clear" w:color="auto" w:fill="E7E6E6" w:themeFill="background2"/>
          </w:tcPr>
          <w:p w14:paraId="06B68456" w14:textId="0773C634" w:rsidR="00997939" w:rsidRPr="334261B3" w:rsidRDefault="00997939" w:rsidP="007217EE">
            <w:pPr>
              <w:cnfStyle w:val="000000100000" w:firstRow="0" w:lastRow="0" w:firstColumn="0" w:lastColumn="0" w:oddVBand="0" w:evenVBand="0" w:oddHBand="1" w:evenHBand="0" w:firstRowFirstColumn="0" w:firstRowLastColumn="0" w:lastRowFirstColumn="0" w:lastRowLastColumn="0"/>
              <w:rPr>
                <w:b/>
                <w:sz w:val="18"/>
                <w:szCs w:val="18"/>
              </w:rPr>
            </w:pPr>
            <w:r>
              <w:rPr>
                <w:b/>
                <w:sz w:val="18"/>
              </w:rPr>
              <w:t>Principle of competitive neutrality:</w:t>
            </w:r>
          </w:p>
        </w:tc>
        <w:tc>
          <w:tcPr>
            <w:tcW w:w="6190" w:type="dxa"/>
            <w:shd w:val="clear" w:color="auto" w:fill="E7E6E6" w:themeFill="background2"/>
          </w:tcPr>
          <w:p w14:paraId="22FF91C3" w14:textId="3A947458" w:rsidR="00997939" w:rsidRPr="5F0D7D7A" w:rsidRDefault="00997939" w:rsidP="00997939">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The assumption that both a public partner and a private partner face the same conditions in their business activities (e.g. prices, taxes) and that the public partner does not have any competitive advantage (advantage of the public partner over the private partner) simply because of its status.</w:t>
            </w:r>
          </w:p>
        </w:tc>
      </w:tr>
      <w:tr w:rsidR="00E508A1" w:rsidRPr="00746F6D" w14:paraId="5B98CBC1" w14:textId="77777777" w:rsidTr="4ED8BBC5">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0F017653" w14:textId="7685D020" w:rsidR="7949AB19" w:rsidRPr="00B85545" w:rsidRDefault="7949AB19" w:rsidP="7949AB19">
            <w:pPr>
              <w:pStyle w:val="Sarakstarindkopa"/>
              <w:numPr>
                <w:ilvl w:val="0"/>
                <w:numId w:val="23"/>
              </w:numPr>
              <w:rPr>
                <w:b w:val="0"/>
                <w:sz w:val="18"/>
                <w:szCs w:val="18"/>
                <w:lang w:val="lv-LV"/>
              </w:rPr>
            </w:pPr>
          </w:p>
        </w:tc>
        <w:tc>
          <w:tcPr>
            <w:tcW w:w="1938" w:type="dxa"/>
            <w:shd w:val="clear" w:color="auto" w:fill="auto"/>
          </w:tcPr>
          <w:p w14:paraId="63CB20C0" w14:textId="26A712C2" w:rsidR="00E508A1" w:rsidRPr="005D67DB" w:rsidRDefault="00E508A1"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Contract price corridor:</w:t>
            </w:r>
          </w:p>
        </w:tc>
        <w:tc>
          <w:tcPr>
            <w:tcW w:w="6190" w:type="dxa"/>
            <w:shd w:val="clear" w:color="auto" w:fill="auto"/>
          </w:tcPr>
          <w:p w14:paraId="02B457CC" w14:textId="22FD0594" w:rsidR="00E508A1" w:rsidRPr="005D67DB" w:rsidRDefault="5F0D7D7A" w:rsidP="5F0D7D7A">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The potential contract price corridor for the Partnership Contract calculated within FEC. This is the difference between the potential lowest and highest potential Partnership Contract Price calculated within FEC.</w:t>
            </w:r>
          </w:p>
        </w:tc>
      </w:tr>
      <w:tr w:rsidR="00345464" w:rsidRPr="00746F6D" w14:paraId="61A85DCF"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214DF64B" w14:textId="1D135AFF" w:rsidR="7949AB19" w:rsidRPr="00B85545" w:rsidRDefault="7949AB19" w:rsidP="7949AB19">
            <w:pPr>
              <w:pStyle w:val="Sarakstarindkopa"/>
              <w:numPr>
                <w:ilvl w:val="0"/>
                <w:numId w:val="23"/>
              </w:numPr>
              <w:rPr>
                <w:b w:val="0"/>
                <w:sz w:val="18"/>
                <w:szCs w:val="18"/>
                <w:lang w:val="lv-LV"/>
              </w:rPr>
            </w:pPr>
          </w:p>
        </w:tc>
        <w:tc>
          <w:tcPr>
            <w:tcW w:w="1938" w:type="dxa"/>
          </w:tcPr>
          <w:p w14:paraId="670CD26E"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Contractual PPP:</w:t>
            </w:r>
          </w:p>
        </w:tc>
        <w:tc>
          <w:tcPr>
            <w:tcW w:w="6190" w:type="dxa"/>
          </w:tcPr>
          <w:p w14:paraId="71F1BB39" w14:textId="6A7F7E2A" w:rsidR="00345464" w:rsidRPr="00714F21" w:rsidRDefault="5F0D7D7A" w:rsidP="064C800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One of the three PPP arrangements (referred to in Paragraph 51 of this list and in Chapter 1.2 of the Guidelines), where a public partner and a private partner cooperate on the basis of a Partnership Contract.</w:t>
            </w:r>
          </w:p>
        </w:tc>
      </w:tr>
      <w:tr w:rsidR="00A73EE0" w:rsidRPr="00746F6D" w14:paraId="43F9DC8B" w14:textId="77777777" w:rsidTr="4ED8BBC5">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336702AA" w14:textId="356D90E1" w:rsidR="7949AB19" w:rsidRPr="00B85545" w:rsidRDefault="7949AB19" w:rsidP="7949AB19">
            <w:pPr>
              <w:pStyle w:val="Sarakstarindkopa"/>
              <w:numPr>
                <w:ilvl w:val="0"/>
                <w:numId w:val="23"/>
              </w:numPr>
              <w:rPr>
                <w:b w:val="0"/>
                <w:sz w:val="18"/>
                <w:szCs w:val="18"/>
                <w:lang w:val="lv-LV"/>
              </w:rPr>
            </w:pPr>
          </w:p>
        </w:tc>
        <w:tc>
          <w:tcPr>
            <w:tcW w:w="1938" w:type="dxa"/>
            <w:shd w:val="clear" w:color="auto" w:fill="auto"/>
          </w:tcPr>
          <w:p w14:paraId="63B8698B" w14:textId="65048A56" w:rsidR="00A73EE0" w:rsidRPr="005D67DB" w:rsidRDefault="00A73EE0"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LLCR:</w:t>
            </w:r>
          </w:p>
        </w:tc>
        <w:tc>
          <w:tcPr>
            <w:tcW w:w="6190" w:type="dxa"/>
            <w:shd w:val="clear" w:color="auto" w:fill="auto"/>
          </w:tcPr>
          <w:p w14:paraId="34B5F80D" w14:textId="4CA7B949" w:rsidR="00A73EE0" w:rsidRPr="00A73EE0" w:rsidRDefault="4ED8BBC5" w:rsidP="4ED8BBC5">
            <w:pPr>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Verdana" w:hAnsi="Verdana"/>
                <w:sz w:val="18"/>
              </w:rPr>
              <w:t>Loan life coverage ratio. It is a financial indicator used to measure the solvency of a borrower. It is calculated by dividing the net present value of the cash flows available for debt service over the remaining term of the loan agreement by the outstanding amount of the loan during the reporting period.</w:t>
            </w:r>
          </w:p>
        </w:tc>
      </w:tr>
      <w:tr w:rsidR="00345464" w:rsidRPr="00746F6D" w14:paraId="77F1198B"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59420C1B" w14:textId="7E04E9D4" w:rsidR="7949AB19" w:rsidRPr="00B85545" w:rsidRDefault="7949AB19" w:rsidP="7949AB19">
            <w:pPr>
              <w:pStyle w:val="Sarakstarindkopa"/>
              <w:numPr>
                <w:ilvl w:val="0"/>
                <w:numId w:val="23"/>
              </w:numPr>
              <w:rPr>
                <w:b w:val="0"/>
                <w:bCs w:val="0"/>
                <w:sz w:val="18"/>
                <w:szCs w:val="18"/>
                <w:lang w:val="lv-LV"/>
              </w:rPr>
            </w:pPr>
          </w:p>
        </w:tc>
        <w:tc>
          <w:tcPr>
            <w:tcW w:w="1938" w:type="dxa"/>
          </w:tcPr>
          <w:p w14:paraId="5DCF2CD1"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CR 107:</w:t>
            </w:r>
          </w:p>
        </w:tc>
        <w:tc>
          <w:tcPr>
            <w:tcW w:w="6190" w:type="dxa"/>
          </w:tcPr>
          <w:p w14:paraId="6FF7291C" w14:textId="58D704D1"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22" w:history="1">
              <w:r w:rsidRPr="00D169AF">
                <w:rPr>
                  <w:rStyle w:val="Hipersaite"/>
                  <w:sz w:val="18"/>
                </w:rPr>
                <w:t>Cabinet Regulation of</w:t>
              </w:r>
            </w:hyperlink>
            <w:r>
              <w:rPr>
                <w:color w:val="000000" w:themeColor="text1"/>
                <w:sz w:val="18"/>
              </w:rPr>
              <w:t xml:space="preserve"> 28 February 2017 No 107 "Tendering Procedures for Procurement Procedures and Design Contests".</w:t>
            </w:r>
          </w:p>
        </w:tc>
      </w:tr>
      <w:tr w:rsidR="00345464" w:rsidRPr="00746F6D" w14:paraId="5711B389" w14:textId="77777777" w:rsidTr="4ED8BBC5">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3239E41A" w14:textId="6935A0BE" w:rsidR="7949AB19" w:rsidRPr="00B85545" w:rsidRDefault="7949AB19" w:rsidP="7949AB19">
            <w:pPr>
              <w:pStyle w:val="Sarakstarindkopa"/>
              <w:numPr>
                <w:ilvl w:val="0"/>
                <w:numId w:val="23"/>
              </w:numPr>
              <w:rPr>
                <w:b w:val="0"/>
                <w:sz w:val="18"/>
                <w:szCs w:val="18"/>
                <w:lang w:val="lv-LV"/>
              </w:rPr>
            </w:pPr>
          </w:p>
        </w:tc>
        <w:tc>
          <w:tcPr>
            <w:tcW w:w="1938" w:type="dxa"/>
            <w:shd w:val="clear" w:color="auto" w:fill="auto"/>
          </w:tcPr>
          <w:p w14:paraId="4EFBC627"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CR 1152:</w:t>
            </w:r>
          </w:p>
        </w:tc>
        <w:tc>
          <w:tcPr>
            <w:tcW w:w="6190" w:type="dxa"/>
            <w:shd w:val="clear" w:color="auto" w:fill="auto"/>
          </w:tcPr>
          <w:p w14:paraId="2BEDA64D" w14:textId="3F247DC7"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hyperlink r:id="rId23" w:history="1">
              <w:r w:rsidRPr="005A7F67">
                <w:rPr>
                  <w:rStyle w:val="Hipersaite"/>
                  <w:sz w:val="18"/>
                </w:rPr>
                <w:t>Cabinet Regulation of</w:t>
              </w:r>
            </w:hyperlink>
            <w:r>
              <w:rPr>
                <w:color w:val="000000" w:themeColor="text1"/>
                <w:sz w:val="18"/>
              </w:rPr>
              <w:t xml:space="preserve"> 6 October 2009 No 1152 "Procedure for the Conduct of Financial and Economic Calculations, Determination of the Type of a Public-Private Partnership Contract and the Provision of an Opinion Regarding Financial and Economic Calculations".</w:t>
            </w:r>
          </w:p>
        </w:tc>
      </w:tr>
      <w:tr w:rsidR="00225E34" w:rsidRPr="00746F6D" w14:paraId="48A61B46"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276427EC" w14:textId="6A4E1BFB" w:rsidR="7949AB19" w:rsidRPr="00B85545" w:rsidRDefault="7949AB19" w:rsidP="7949AB19">
            <w:pPr>
              <w:pStyle w:val="Sarakstarindkopa"/>
              <w:numPr>
                <w:ilvl w:val="0"/>
                <w:numId w:val="23"/>
              </w:numPr>
              <w:rPr>
                <w:b w:val="0"/>
                <w:bCs w:val="0"/>
                <w:sz w:val="18"/>
                <w:szCs w:val="18"/>
                <w:lang w:val="lv-LV"/>
              </w:rPr>
            </w:pPr>
          </w:p>
        </w:tc>
        <w:tc>
          <w:tcPr>
            <w:tcW w:w="1938" w:type="dxa"/>
          </w:tcPr>
          <w:p w14:paraId="0267CB00" w14:textId="46E5F41D" w:rsidR="00225E34" w:rsidRPr="005D67DB" w:rsidRDefault="00225E3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MMRA:</w:t>
            </w:r>
          </w:p>
        </w:tc>
        <w:tc>
          <w:tcPr>
            <w:tcW w:w="6190" w:type="dxa"/>
          </w:tcPr>
          <w:p w14:paraId="62E364FD" w14:textId="49BD277A" w:rsidR="00225E34" w:rsidRPr="005D67DB" w:rsidRDefault="00225E34" w:rsidP="00225E34">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Major maintenance reserve account - a reserve fund account that is set up to accumulate maintenance costs for the totals of specified future periods.</w:t>
            </w:r>
          </w:p>
        </w:tc>
      </w:tr>
      <w:tr w:rsidR="00345464" w:rsidRPr="005D67DB" w14:paraId="0EC48300" w14:textId="77777777" w:rsidTr="4ED8BBC5">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7D440E5D" w14:textId="1DF955BF" w:rsidR="7949AB19" w:rsidRPr="00B85545" w:rsidRDefault="7949AB19" w:rsidP="7949AB19">
            <w:pPr>
              <w:pStyle w:val="Sarakstarindkopa"/>
              <w:numPr>
                <w:ilvl w:val="0"/>
                <w:numId w:val="23"/>
              </w:numPr>
              <w:rPr>
                <w:b w:val="0"/>
                <w:sz w:val="18"/>
                <w:szCs w:val="18"/>
                <w:lang w:val="lv-LV"/>
              </w:rPr>
            </w:pPr>
          </w:p>
        </w:tc>
        <w:tc>
          <w:tcPr>
            <w:tcW w:w="1938" w:type="dxa"/>
            <w:shd w:val="clear" w:color="auto" w:fill="auto"/>
          </w:tcPr>
          <w:p w14:paraId="65833CAB" w14:textId="0339EF5B"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NPV:</w:t>
            </w:r>
          </w:p>
        </w:tc>
        <w:tc>
          <w:tcPr>
            <w:tcW w:w="6190" w:type="dxa"/>
            <w:shd w:val="clear" w:color="auto" w:fill="auto"/>
          </w:tcPr>
          <w:p w14:paraId="76BB6953" w14:textId="4CE4CFFD" w:rsidR="00345464" w:rsidRPr="005D67DB" w:rsidRDefault="5F0D7D7A" w:rsidP="5F0D7D7A">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Net present value. </w:t>
            </w:r>
          </w:p>
        </w:tc>
      </w:tr>
      <w:tr w:rsidR="00345464" w:rsidRPr="00746F6D" w14:paraId="56745DFE"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0870FE95" w14:textId="1D23EC2A" w:rsidR="7949AB19" w:rsidRPr="00B85545" w:rsidRDefault="7949AB19" w:rsidP="7949AB19">
            <w:pPr>
              <w:pStyle w:val="Sarakstarindkopa"/>
              <w:numPr>
                <w:ilvl w:val="0"/>
                <w:numId w:val="23"/>
              </w:numPr>
              <w:rPr>
                <w:b w:val="0"/>
                <w:bCs w:val="0"/>
                <w:sz w:val="18"/>
                <w:szCs w:val="18"/>
                <w:lang w:val="lv-LV"/>
              </w:rPr>
            </w:pPr>
          </w:p>
        </w:tc>
        <w:tc>
          <w:tcPr>
            <w:tcW w:w="1938" w:type="dxa"/>
          </w:tcPr>
          <w:p w14:paraId="3CF968DA"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Partnership Contract:</w:t>
            </w:r>
          </w:p>
        </w:tc>
        <w:tc>
          <w:tcPr>
            <w:tcW w:w="6190" w:type="dxa"/>
          </w:tcPr>
          <w:p w14:paraId="4738507B" w14:textId="04B0E57C" w:rsidR="00345464" w:rsidRPr="005D67DB" w:rsidRDefault="5F0D7D7A" w:rsidP="5F0D7D7A">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A public-private partnership contract to implement one of the three PPP arrangements: Contractual PPP, Concession or Institutional PPP. Reference in the text to a Partnership Contract shall also include a reference to a Concession Contract.</w:t>
            </w:r>
          </w:p>
        </w:tc>
      </w:tr>
      <w:tr w:rsidR="00D51C44" w:rsidRPr="00746F6D" w14:paraId="094193F3"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5898ABA6" w14:textId="77777777" w:rsidR="00D51C44" w:rsidRPr="00B85545" w:rsidRDefault="00D51C44" w:rsidP="7949AB19">
            <w:pPr>
              <w:pStyle w:val="Sarakstarindkopa"/>
              <w:numPr>
                <w:ilvl w:val="0"/>
                <w:numId w:val="23"/>
              </w:numPr>
              <w:rPr>
                <w:b w:val="0"/>
                <w:bCs w:val="0"/>
                <w:sz w:val="18"/>
                <w:szCs w:val="18"/>
                <w:lang w:val="lv-LV"/>
              </w:rPr>
            </w:pPr>
          </w:p>
        </w:tc>
        <w:tc>
          <w:tcPr>
            <w:tcW w:w="1938" w:type="dxa"/>
          </w:tcPr>
          <w:p w14:paraId="73FDD3BF" w14:textId="4A73ED8C" w:rsidR="00D51C44" w:rsidRPr="005D67DB" w:rsidRDefault="00D51C44" w:rsidP="007217EE">
            <w:pPr>
              <w:cnfStyle w:val="000000000000" w:firstRow="0" w:lastRow="0" w:firstColumn="0" w:lastColumn="0" w:oddVBand="0" w:evenVBand="0" w:oddHBand="0" w:evenHBand="0" w:firstRowFirstColumn="0" w:firstRowLastColumn="0" w:lastRowFirstColumn="0" w:lastRowLastColumn="0"/>
              <w:rPr>
                <w:b/>
                <w:bCs/>
                <w:sz w:val="18"/>
                <w:szCs w:val="18"/>
              </w:rPr>
            </w:pPr>
            <w:r>
              <w:rPr>
                <w:b/>
                <w:sz w:val="18"/>
              </w:rPr>
              <w:t>Life cycle of a Partnership Contract:</w:t>
            </w:r>
          </w:p>
        </w:tc>
        <w:tc>
          <w:tcPr>
            <w:tcW w:w="6190" w:type="dxa"/>
          </w:tcPr>
          <w:p w14:paraId="6BB13B6C" w14:textId="6453E600" w:rsidR="00D51C44" w:rsidRPr="007F7F3A" w:rsidRDefault="00D51C44" w:rsidP="007C792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color w:val="000000" w:themeColor="text1"/>
                <w:sz w:val="18"/>
              </w:rPr>
              <w:t>The period from the date of conclusion of a Partnership Contract until the full performance of all obligations and duties of all parties under the Partnership Contract, including without limitation the performance of all warranty and service obligations under the Partnership Contract, including after the expiry of the term of the Partnership Contract, and the settlement of claims and disputes arising out of or in connection with the Partnership Contract, whether by negotiation or in court, including after the expiry of the term of the Partnership Contract.</w:t>
            </w:r>
            <w:r>
              <w:rPr>
                <w:rFonts w:ascii="Calibri" w:hAnsi="Calibri"/>
              </w:rPr>
              <w:t> </w:t>
            </w:r>
          </w:p>
        </w:tc>
      </w:tr>
      <w:tr w:rsidR="00345464" w:rsidRPr="00746F6D" w14:paraId="4C8BE808"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3FD99FF7" w14:textId="15BD5953"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38972E1B"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Governance Law:</w:t>
            </w:r>
          </w:p>
        </w:tc>
        <w:tc>
          <w:tcPr>
            <w:tcW w:w="6190" w:type="dxa"/>
            <w:shd w:val="clear" w:color="auto" w:fill="E7E6E6" w:themeFill="background2"/>
          </w:tcPr>
          <w:p w14:paraId="1AD08506" w14:textId="1CD70F39"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24" w:history="1">
              <w:r w:rsidRPr="00F553B0">
                <w:rPr>
                  <w:rStyle w:val="Hipersaite"/>
                  <w:sz w:val="18"/>
                </w:rPr>
                <w:t>Law on</w:t>
              </w:r>
            </w:hyperlink>
            <w:r>
              <w:rPr>
                <w:color w:val="000000" w:themeColor="text1"/>
                <w:sz w:val="18"/>
              </w:rPr>
              <w:t xml:space="preserve"> Governance of Capital Shares of Public Entity and Management of Capital Companies Thereof.</w:t>
            </w:r>
          </w:p>
        </w:tc>
      </w:tr>
      <w:tr w:rsidR="00345464" w:rsidRPr="005D67DB" w14:paraId="6AFB07F0"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4942455B" w14:textId="57C79DBE" w:rsidR="7949AB19" w:rsidRPr="00B85545" w:rsidRDefault="7949AB19" w:rsidP="7949AB19">
            <w:pPr>
              <w:pStyle w:val="Sarakstarindkopa"/>
              <w:numPr>
                <w:ilvl w:val="0"/>
                <w:numId w:val="23"/>
              </w:numPr>
              <w:rPr>
                <w:b w:val="0"/>
                <w:sz w:val="18"/>
                <w:szCs w:val="18"/>
                <w:lang w:val="lv-LV"/>
              </w:rPr>
            </w:pPr>
          </w:p>
        </w:tc>
        <w:tc>
          <w:tcPr>
            <w:tcW w:w="1938" w:type="dxa"/>
          </w:tcPr>
          <w:p w14:paraId="03A5589C"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PPL:</w:t>
            </w:r>
          </w:p>
        </w:tc>
        <w:tc>
          <w:tcPr>
            <w:tcW w:w="6190" w:type="dxa"/>
          </w:tcPr>
          <w:p w14:paraId="794519C8" w14:textId="2470B2D9"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hyperlink r:id="rId25" w:history="1">
              <w:r w:rsidRPr="00ED7D3F">
                <w:rPr>
                  <w:rStyle w:val="Hipersaite"/>
                  <w:sz w:val="18"/>
                </w:rPr>
                <w:t>Public Procurement Law</w:t>
              </w:r>
            </w:hyperlink>
            <w:r>
              <w:rPr>
                <w:sz w:val="18"/>
              </w:rPr>
              <w:t>.</w:t>
            </w:r>
          </w:p>
        </w:tc>
      </w:tr>
      <w:tr w:rsidR="007E3D58" w:rsidRPr="00746F6D" w14:paraId="7CB5B4D5"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3ED41EDB" w14:textId="77777777" w:rsidR="007E3D58" w:rsidRPr="00B85545" w:rsidRDefault="007E3D58" w:rsidP="7949AB19">
            <w:pPr>
              <w:pStyle w:val="Sarakstarindkopa"/>
              <w:numPr>
                <w:ilvl w:val="0"/>
                <w:numId w:val="23"/>
              </w:numPr>
              <w:rPr>
                <w:b w:val="0"/>
                <w:sz w:val="18"/>
                <w:szCs w:val="18"/>
                <w:lang w:val="lv-LV"/>
              </w:rPr>
            </w:pPr>
          </w:p>
        </w:tc>
        <w:tc>
          <w:tcPr>
            <w:tcW w:w="1938" w:type="dxa"/>
          </w:tcPr>
          <w:p w14:paraId="6AB090CC" w14:textId="3C89C930" w:rsidR="007E3D58" w:rsidRPr="005D67DB" w:rsidRDefault="007E3D58"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Availability payment:</w:t>
            </w:r>
          </w:p>
        </w:tc>
        <w:tc>
          <w:tcPr>
            <w:tcW w:w="6190" w:type="dxa"/>
          </w:tcPr>
          <w:p w14:paraId="12AFC8C4" w14:textId="0170527B" w:rsidR="007E3D58" w:rsidRPr="005D67DB" w:rsidRDefault="00E11584" w:rsidP="00C82AA4">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Payment from a public partner to a private partner </w:t>
            </w:r>
            <w:r>
              <w:rPr>
                <w:rFonts w:ascii="Verdana" w:hAnsi="Verdana"/>
                <w:color w:val="000000" w:themeColor="text1"/>
                <w:sz w:val="20"/>
              </w:rPr>
              <w:t xml:space="preserve">for </w:t>
            </w:r>
            <w:r>
              <w:rPr>
                <w:rFonts w:ascii="Verdana" w:hAnsi="Verdana"/>
                <w:color w:val="000000" w:themeColor="text1"/>
                <w:sz w:val="18"/>
              </w:rPr>
              <w:t xml:space="preserve">the availability of a facility or service during the period of availability of the Partnership </w:t>
            </w:r>
            <w:r w:rsidRPr="00140520">
              <w:rPr>
                <w:sz w:val="18"/>
                <w:szCs w:val="18"/>
              </w:rPr>
              <w:t>Contract.</w:t>
            </w:r>
          </w:p>
        </w:tc>
      </w:tr>
      <w:tr w:rsidR="001F1927" w:rsidRPr="00746F6D" w14:paraId="1D5185E1"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38617F77" w14:textId="77777777" w:rsidR="001F1927" w:rsidRPr="00B85545" w:rsidRDefault="001F1927" w:rsidP="7949AB19">
            <w:pPr>
              <w:pStyle w:val="Sarakstarindkopa"/>
              <w:numPr>
                <w:ilvl w:val="0"/>
                <w:numId w:val="23"/>
              </w:numPr>
              <w:rPr>
                <w:b w:val="0"/>
                <w:sz w:val="18"/>
                <w:szCs w:val="18"/>
                <w:lang w:val="lv-LV"/>
              </w:rPr>
            </w:pPr>
          </w:p>
        </w:tc>
        <w:tc>
          <w:tcPr>
            <w:tcW w:w="1938" w:type="dxa"/>
          </w:tcPr>
          <w:p w14:paraId="0F63C7E2" w14:textId="0E60A569" w:rsidR="001F1927" w:rsidRPr="00C82AA4" w:rsidRDefault="001F1927" w:rsidP="007217EE">
            <w:pPr>
              <w:cnfStyle w:val="000000000000" w:firstRow="0" w:lastRow="0" w:firstColumn="0" w:lastColumn="0" w:oddVBand="0" w:evenVBand="0" w:oddHBand="0" w:evenHBand="0" w:firstRowFirstColumn="0" w:firstRowLastColumn="0" w:lastRowFirstColumn="0" w:lastRowLastColumn="0"/>
              <w:rPr>
                <w:b/>
                <w:bCs/>
                <w:sz w:val="18"/>
                <w:szCs w:val="18"/>
              </w:rPr>
            </w:pPr>
            <w:r>
              <w:rPr>
                <w:b/>
                <w:sz w:val="18"/>
              </w:rPr>
              <w:t>Period of availability:</w:t>
            </w:r>
          </w:p>
        </w:tc>
        <w:tc>
          <w:tcPr>
            <w:tcW w:w="6190" w:type="dxa"/>
          </w:tcPr>
          <w:p w14:paraId="01F7DFCE" w14:textId="07505987" w:rsidR="001F1927" w:rsidRPr="007F7F3A" w:rsidRDefault="001F1927" w:rsidP="064C800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The period during which a building constructed or reconstructed and/or services implemented under the PPP project are available for use.</w:t>
            </w:r>
          </w:p>
        </w:tc>
      </w:tr>
      <w:tr w:rsidR="00A73EE0" w:rsidRPr="00746F6D" w14:paraId="0C640E74"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12599465" w14:textId="2BBC7209"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2F18DB9C" w14:textId="2549726F" w:rsidR="00A73EE0" w:rsidRPr="005D67DB" w:rsidRDefault="00A73EE0"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PLCR:</w:t>
            </w:r>
          </w:p>
        </w:tc>
        <w:tc>
          <w:tcPr>
            <w:tcW w:w="6190" w:type="dxa"/>
            <w:shd w:val="clear" w:color="auto" w:fill="E7E6E6" w:themeFill="background2"/>
          </w:tcPr>
          <w:p w14:paraId="67ADAA1D" w14:textId="597C04D4" w:rsidR="00A73EE0" w:rsidRPr="00954532" w:rsidRDefault="4ED8BBC5" w:rsidP="4ED8BBC5">
            <w:pPr>
              <w:jc w:val="both"/>
              <w:cnfStyle w:val="000000100000" w:firstRow="0" w:lastRow="0" w:firstColumn="0" w:lastColumn="0" w:oddVBand="0" w:evenVBand="0" w:oddHBand="1" w:evenHBand="0" w:firstRowFirstColumn="0" w:firstRowLastColumn="0" w:lastRowFirstColumn="0" w:lastRowLastColumn="0"/>
              <w:rPr>
                <w:sz w:val="18"/>
                <w:szCs w:val="18"/>
              </w:rPr>
            </w:pPr>
            <w:r>
              <w:rPr>
                <w:rFonts w:ascii="Verdana" w:hAnsi="Verdana"/>
                <w:sz w:val="18"/>
              </w:rPr>
              <w:t>Project life coverage ratio. It is a financial indicator used to measure the solvency of a borrower. It is the ratio of the net present value of cash flows over the remaining life of a Partnership Contract to the outstanding balance of debt during the reporting period.</w:t>
            </w:r>
          </w:p>
        </w:tc>
      </w:tr>
      <w:tr w:rsidR="00345464" w:rsidRPr="005D67DB" w14:paraId="2602170D"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052962EA" w14:textId="06838869" w:rsidR="7949AB19" w:rsidRPr="00B85545" w:rsidRDefault="7949AB19" w:rsidP="7949AB19">
            <w:pPr>
              <w:pStyle w:val="Sarakstarindkopa"/>
              <w:numPr>
                <w:ilvl w:val="0"/>
                <w:numId w:val="23"/>
              </w:numPr>
              <w:rPr>
                <w:b w:val="0"/>
                <w:bCs w:val="0"/>
                <w:sz w:val="18"/>
                <w:szCs w:val="18"/>
                <w:lang w:val="lv-LV"/>
              </w:rPr>
            </w:pPr>
          </w:p>
        </w:tc>
        <w:tc>
          <w:tcPr>
            <w:tcW w:w="1938" w:type="dxa"/>
          </w:tcPr>
          <w:p w14:paraId="49972D52"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PPP Law:</w:t>
            </w:r>
          </w:p>
        </w:tc>
        <w:tc>
          <w:tcPr>
            <w:tcW w:w="6190" w:type="dxa"/>
          </w:tcPr>
          <w:p w14:paraId="47B280C0" w14:textId="7A050914"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hyperlink r:id="rId26" w:history="1">
              <w:r w:rsidRPr="00C71B35">
                <w:rPr>
                  <w:rStyle w:val="Hipersaite"/>
                  <w:sz w:val="18"/>
                </w:rPr>
                <w:t>Law on</w:t>
              </w:r>
            </w:hyperlink>
            <w:r>
              <w:rPr>
                <w:sz w:val="18"/>
              </w:rPr>
              <w:t xml:space="preserve"> Public-Private Partnership.</w:t>
            </w:r>
          </w:p>
        </w:tc>
      </w:tr>
      <w:tr w:rsidR="00345464" w:rsidRPr="00746F6D" w14:paraId="7585F1E8"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2A6C452C" w14:textId="25FFF384"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281FADE6"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PPP models:</w:t>
            </w:r>
          </w:p>
        </w:tc>
        <w:tc>
          <w:tcPr>
            <w:tcW w:w="6190" w:type="dxa"/>
            <w:shd w:val="clear" w:color="auto" w:fill="E7E6E6" w:themeFill="background2"/>
          </w:tcPr>
          <w:p w14:paraId="625F1A6F" w14:textId="1BA67DD4" w:rsidR="00345464" w:rsidRPr="005D67DB" w:rsidRDefault="5F0D7D7A" w:rsidP="5F0D7D7A">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Models widely used in practice that can be implemented within a PPP arrangement, depending on the range of construction works and/or services involved in a particular PPP project, as well as the division of responsibilities and risks between a public partner and a private partner.</w:t>
            </w:r>
          </w:p>
        </w:tc>
      </w:tr>
      <w:tr w:rsidR="00345464" w:rsidRPr="00746F6D" w14:paraId="0B28B571"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0E3EB825" w14:textId="1EF6A703" w:rsidR="7949AB19" w:rsidRPr="00B85545" w:rsidRDefault="7949AB19" w:rsidP="7949AB19">
            <w:pPr>
              <w:pStyle w:val="Sarakstarindkopa"/>
              <w:numPr>
                <w:ilvl w:val="0"/>
                <w:numId w:val="23"/>
              </w:numPr>
              <w:rPr>
                <w:b w:val="0"/>
                <w:bCs w:val="0"/>
                <w:sz w:val="18"/>
                <w:szCs w:val="18"/>
                <w:lang w:val="lv-LV"/>
              </w:rPr>
            </w:pPr>
          </w:p>
        </w:tc>
        <w:tc>
          <w:tcPr>
            <w:tcW w:w="1938" w:type="dxa"/>
          </w:tcPr>
          <w:p w14:paraId="09E83C63"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PPP arrangements:</w:t>
            </w:r>
          </w:p>
        </w:tc>
        <w:tc>
          <w:tcPr>
            <w:tcW w:w="6190" w:type="dxa"/>
          </w:tcPr>
          <w:p w14:paraId="2D615C8F" w14:textId="3566914B"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Contractual PPP, Concession and Institutional PPP together.</w:t>
            </w:r>
          </w:p>
        </w:tc>
      </w:tr>
      <w:tr w:rsidR="00345464" w:rsidRPr="005D67DB" w14:paraId="7CF7DEBA"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18CA29F7" w14:textId="5C8D3A37"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3548F212" w14:textId="77777777" w:rsidR="00345464" w:rsidRPr="00CF411D"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PPP:</w:t>
            </w:r>
          </w:p>
        </w:tc>
        <w:tc>
          <w:tcPr>
            <w:tcW w:w="6190" w:type="dxa"/>
            <w:shd w:val="clear" w:color="auto" w:fill="E7E6E6" w:themeFill="background2"/>
          </w:tcPr>
          <w:p w14:paraId="4A7B7302" w14:textId="3AFFD017" w:rsidR="00345464" w:rsidRPr="005D67DB" w:rsidRDefault="00345464" w:rsidP="0048711E">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sz w:val="18"/>
              </w:rPr>
              <w:t>Public-private partnership.</w:t>
            </w:r>
          </w:p>
        </w:tc>
      </w:tr>
      <w:tr w:rsidR="3B720127" w:rsidRPr="00746F6D" w14:paraId="0DD6CF37"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08F85E74" w14:textId="0A9D68DF" w:rsidR="7949AB19" w:rsidRPr="00B85545" w:rsidRDefault="7949AB19" w:rsidP="7949AB19">
            <w:pPr>
              <w:pStyle w:val="Sarakstarindkopa"/>
              <w:numPr>
                <w:ilvl w:val="0"/>
                <w:numId w:val="23"/>
              </w:numPr>
              <w:rPr>
                <w:b w:val="0"/>
                <w:bCs w:val="0"/>
                <w:sz w:val="18"/>
                <w:szCs w:val="18"/>
                <w:lang w:val="lv-LV"/>
              </w:rPr>
            </w:pPr>
          </w:p>
        </w:tc>
        <w:tc>
          <w:tcPr>
            <w:tcW w:w="1938" w:type="dxa"/>
          </w:tcPr>
          <w:p w14:paraId="5B925659" w14:textId="650771E7" w:rsidR="3B720127" w:rsidRPr="00CF411D" w:rsidRDefault="00B85545"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PPP project:</w:t>
            </w:r>
          </w:p>
        </w:tc>
        <w:tc>
          <w:tcPr>
            <w:tcW w:w="6190" w:type="dxa"/>
          </w:tcPr>
          <w:p w14:paraId="45808273" w14:textId="1B911545" w:rsidR="3B720127" w:rsidRDefault="0504FE1B" w:rsidP="0504FE1B">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A project designed to meet a specific societal need and to be implemented through one of the PPP arrangements and PPP models for which FEC are being developed.</w:t>
            </w:r>
          </w:p>
        </w:tc>
      </w:tr>
      <w:tr w:rsidR="6615BDDD" w:rsidRPr="00746F6D" w14:paraId="26B6F4FB"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3982B911" w14:textId="7D502FA6" w:rsidR="7949AB19" w:rsidRPr="00B85545" w:rsidRDefault="7949AB19" w:rsidP="7949AB19">
            <w:pPr>
              <w:pStyle w:val="Sarakstarindkopa"/>
              <w:numPr>
                <w:ilvl w:val="0"/>
                <w:numId w:val="23"/>
              </w:numPr>
              <w:rPr>
                <w:b w:val="0"/>
                <w:sz w:val="18"/>
                <w:szCs w:val="18"/>
                <w:lang w:val="lv-LV"/>
              </w:rPr>
            </w:pPr>
          </w:p>
        </w:tc>
        <w:tc>
          <w:tcPr>
            <w:tcW w:w="1938" w:type="dxa"/>
            <w:shd w:val="clear" w:color="auto" w:fill="E7E6E6" w:themeFill="background2"/>
          </w:tcPr>
          <w:p w14:paraId="72AEB279" w14:textId="76274A80" w:rsidR="6615BDDD" w:rsidRDefault="03904FBB" w:rsidP="007217EE">
            <w:pPr>
              <w:cnfStyle w:val="000000100000" w:firstRow="0" w:lastRow="0" w:firstColumn="0" w:lastColumn="0" w:oddVBand="0" w:evenVBand="0" w:oddHBand="1" w:evenHBand="0" w:firstRowFirstColumn="0" w:firstRowLastColumn="0" w:lastRowFirstColumn="0" w:lastRowLastColumn="0"/>
              <w:rPr>
                <w:b/>
                <w:bCs/>
                <w:sz w:val="18"/>
                <w:szCs w:val="18"/>
                <w:highlight w:val="cyan"/>
              </w:rPr>
            </w:pPr>
            <w:r>
              <w:rPr>
                <w:b/>
                <w:sz w:val="18"/>
              </w:rPr>
              <w:t>Senior debt:</w:t>
            </w:r>
          </w:p>
        </w:tc>
        <w:tc>
          <w:tcPr>
            <w:tcW w:w="6190" w:type="dxa"/>
            <w:shd w:val="clear" w:color="auto" w:fill="E7E6E6" w:themeFill="background2"/>
          </w:tcPr>
          <w:p w14:paraId="05B6C5DA" w14:textId="166B27CB" w:rsidR="6615BDDD" w:rsidRDefault="3C3B93B7" w:rsidP="3C3B93B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Senior debt is a loan that has a higher priority than other loans or securities, measured by the creditor's claims on the borrower's assets and earnings.</w:t>
            </w:r>
          </w:p>
        </w:tc>
      </w:tr>
      <w:tr w:rsidR="0052461C" w:rsidRPr="00746F6D" w14:paraId="1D92B3F2" w14:textId="77777777" w:rsidTr="4ED8BBC5">
        <w:tc>
          <w:tcPr>
            <w:cnfStyle w:val="001000000000" w:firstRow="0" w:lastRow="0" w:firstColumn="1" w:lastColumn="0" w:oddVBand="0" w:evenVBand="0" w:oddHBand="0" w:evenHBand="0" w:firstRowFirstColumn="0" w:firstRowLastColumn="0" w:lastRowFirstColumn="0" w:lastRowLastColumn="0"/>
            <w:tcW w:w="1001" w:type="dxa"/>
            <w:shd w:val="clear" w:color="auto" w:fill="auto"/>
          </w:tcPr>
          <w:p w14:paraId="1ADE0620" w14:textId="77777777" w:rsidR="0052461C" w:rsidRPr="00B85545" w:rsidRDefault="0052461C" w:rsidP="7949AB19">
            <w:pPr>
              <w:pStyle w:val="Sarakstarindkopa"/>
              <w:numPr>
                <w:ilvl w:val="0"/>
                <w:numId w:val="23"/>
              </w:numPr>
              <w:rPr>
                <w:b w:val="0"/>
                <w:sz w:val="18"/>
                <w:szCs w:val="18"/>
                <w:lang w:val="lv-LV"/>
              </w:rPr>
            </w:pPr>
          </w:p>
        </w:tc>
        <w:tc>
          <w:tcPr>
            <w:tcW w:w="1938" w:type="dxa"/>
            <w:shd w:val="clear" w:color="auto" w:fill="auto"/>
          </w:tcPr>
          <w:p w14:paraId="529DA7DB" w14:textId="635FDA7A" w:rsidR="0052461C" w:rsidRPr="00CF411D" w:rsidRDefault="0052461C" w:rsidP="007217EE">
            <w:pPr>
              <w:cnfStyle w:val="000000000000" w:firstRow="0" w:lastRow="0" w:firstColumn="0" w:lastColumn="0" w:oddVBand="0" w:evenVBand="0" w:oddHBand="0" w:evenHBand="0" w:firstRowFirstColumn="0" w:firstRowLastColumn="0" w:lastRowFirstColumn="0" w:lastRowLastColumn="0"/>
              <w:rPr>
                <w:b/>
                <w:bCs/>
                <w:sz w:val="18"/>
                <w:szCs w:val="18"/>
              </w:rPr>
            </w:pPr>
            <w:r>
              <w:rPr>
                <w:b/>
                <w:sz w:val="18"/>
              </w:rPr>
              <w:t>Risk base:</w:t>
            </w:r>
          </w:p>
        </w:tc>
        <w:tc>
          <w:tcPr>
            <w:tcW w:w="6190" w:type="dxa"/>
            <w:shd w:val="clear" w:color="auto" w:fill="auto"/>
          </w:tcPr>
          <w:p w14:paraId="053D592D" w14:textId="49D7BE03" w:rsidR="0052461C" w:rsidRPr="3C3B93B7" w:rsidRDefault="0052461C" w:rsidP="3C3B93B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Project-related costs and revenues affected by occurrence of a risk.</w:t>
            </w:r>
          </w:p>
        </w:tc>
      </w:tr>
      <w:tr w:rsidR="007E3D58" w:rsidRPr="00746F6D" w14:paraId="5F02A2A1"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278AFD62" w14:textId="77777777" w:rsidR="007E3D58" w:rsidRPr="00B85545" w:rsidRDefault="007E3D58" w:rsidP="7949AB19">
            <w:pPr>
              <w:pStyle w:val="Sarakstarindkopa"/>
              <w:numPr>
                <w:ilvl w:val="0"/>
                <w:numId w:val="23"/>
              </w:numPr>
              <w:rPr>
                <w:b w:val="0"/>
                <w:sz w:val="18"/>
                <w:szCs w:val="18"/>
                <w:lang w:val="lv-LV"/>
              </w:rPr>
            </w:pPr>
          </w:p>
        </w:tc>
        <w:tc>
          <w:tcPr>
            <w:tcW w:w="1938" w:type="dxa"/>
            <w:shd w:val="clear" w:color="auto" w:fill="E7E6E6" w:themeFill="background2"/>
          </w:tcPr>
          <w:p w14:paraId="1A275C7D" w14:textId="1CA692AE" w:rsidR="007E3D58" w:rsidRDefault="007E3D58" w:rsidP="007217EE">
            <w:pPr>
              <w:cnfStyle w:val="000000100000" w:firstRow="0" w:lastRow="0" w:firstColumn="0" w:lastColumn="0" w:oddVBand="0" w:evenVBand="0" w:oddHBand="1" w:evenHBand="0" w:firstRowFirstColumn="0" w:firstRowLastColumn="0" w:lastRowFirstColumn="0" w:lastRowLastColumn="0"/>
              <w:rPr>
                <w:b/>
                <w:bCs/>
                <w:sz w:val="18"/>
                <w:szCs w:val="18"/>
              </w:rPr>
            </w:pPr>
            <w:r>
              <w:rPr>
                <w:b/>
                <w:sz w:val="18"/>
              </w:rPr>
              <w:t>Risk probability:</w:t>
            </w:r>
          </w:p>
        </w:tc>
        <w:tc>
          <w:tcPr>
            <w:tcW w:w="6190" w:type="dxa"/>
            <w:shd w:val="clear" w:color="auto" w:fill="E7E6E6" w:themeFill="background2"/>
          </w:tcPr>
          <w:p w14:paraId="7313F09D" w14:textId="751A920A" w:rsidR="007E3D58" w:rsidRDefault="007E3D58" w:rsidP="3C3B93B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The probability with which a risk is assessed to occur.</w:t>
            </w:r>
          </w:p>
        </w:tc>
      </w:tr>
      <w:tr w:rsidR="00225E34" w14:paraId="2645CFEC"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33A4287D" w14:textId="6919301C" w:rsidR="7949AB19" w:rsidRPr="00B85545" w:rsidRDefault="7949AB19" w:rsidP="7949AB19">
            <w:pPr>
              <w:pStyle w:val="Sarakstarindkopa"/>
              <w:numPr>
                <w:ilvl w:val="0"/>
                <w:numId w:val="23"/>
              </w:numPr>
              <w:rPr>
                <w:b w:val="0"/>
                <w:bCs w:val="0"/>
                <w:sz w:val="18"/>
                <w:szCs w:val="18"/>
                <w:lang w:val="lv-LV"/>
              </w:rPr>
            </w:pPr>
          </w:p>
        </w:tc>
        <w:tc>
          <w:tcPr>
            <w:tcW w:w="1938" w:type="dxa"/>
          </w:tcPr>
          <w:p w14:paraId="0FE6157D" w14:textId="2724D347" w:rsidR="00225E34" w:rsidRPr="0043417E" w:rsidRDefault="00225E34" w:rsidP="007217EE">
            <w:pPr>
              <w:cnfStyle w:val="000000000000" w:firstRow="0" w:lastRow="0" w:firstColumn="0" w:lastColumn="0" w:oddVBand="0" w:evenVBand="0" w:oddHBand="0" w:evenHBand="0" w:firstRowFirstColumn="0" w:firstRowLastColumn="0" w:lastRowFirstColumn="0" w:lastRowLastColumn="0"/>
              <w:rPr>
                <w:b/>
                <w:sz w:val="18"/>
                <w:szCs w:val="18"/>
              </w:rPr>
            </w:pPr>
            <w:r>
              <w:rPr>
                <w:b/>
                <w:sz w:val="18"/>
              </w:rPr>
              <w:t>Credit tail:</w:t>
            </w:r>
          </w:p>
        </w:tc>
        <w:tc>
          <w:tcPr>
            <w:tcW w:w="6190" w:type="dxa"/>
          </w:tcPr>
          <w:p w14:paraId="5E9CCC85" w14:textId="48544464" w:rsidR="00225E34" w:rsidRPr="00225E34" w:rsidRDefault="00225E34" w:rsidP="00225E34">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The difference between the maturity of the Partnership Contract and the maturity of the loan. </w:t>
            </w:r>
          </w:p>
          <w:p w14:paraId="08D31E80" w14:textId="77777777" w:rsidR="00225E34" w:rsidRPr="5F0D7D7A" w:rsidRDefault="00225E34" w:rsidP="5F0D7D7A">
            <w:pPr>
              <w:jc w:val="both"/>
              <w:cnfStyle w:val="000000000000" w:firstRow="0" w:lastRow="0" w:firstColumn="0" w:lastColumn="0" w:oddVBand="0" w:evenVBand="0" w:oddHBand="0" w:evenHBand="0" w:firstRowFirstColumn="0" w:firstRowLastColumn="0" w:lastRowFirstColumn="0" w:lastRowLastColumn="0"/>
              <w:rPr>
                <w:sz w:val="18"/>
                <w:szCs w:val="18"/>
                <w:lang w:val="lv-LV"/>
              </w:rPr>
            </w:pPr>
          </w:p>
        </w:tc>
      </w:tr>
      <w:tr w:rsidR="00345464" w:rsidRPr="00746F6D" w14:paraId="04C21565"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4596D4BD" w14:textId="1A5A8460" w:rsidR="7949AB19" w:rsidRPr="00B85545" w:rsidRDefault="7949AB19" w:rsidP="7949AB19">
            <w:pPr>
              <w:pStyle w:val="Sarakstarindkopa"/>
              <w:numPr>
                <w:ilvl w:val="0"/>
                <w:numId w:val="23"/>
              </w:numPr>
              <w:rPr>
                <w:b w:val="0"/>
                <w:bCs w:val="0"/>
                <w:sz w:val="18"/>
                <w:szCs w:val="18"/>
                <w:lang w:val="lv-LV"/>
              </w:rPr>
            </w:pPr>
          </w:p>
        </w:tc>
        <w:tc>
          <w:tcPr>
            <w:tcW w:w="1938" w:type="dxa"/>
            <w:shd w:val="clear" w:color="auto" w:fill="E7E6E6" w:themeFill="background2"/>
          </w:tcPr>
          <w:p w14:paraId="40022A2C" w14:textId="17C2D556" w:rsidR="00345464" w:rsidRPr="00714F21" w:rsidRDefault="00E508A1" w:rsidP="007217EE">
            <w:pPr>
              <w:cnfStyle w:val="000000100000" w:firstRow="0" w:lastRow="0" w:firstColumn="0" w:lastColumn="0" w:oddVBand="0" w:evenVBand="0" w:oddHBand="1" w:evenHBand="0" w:firstRowFirstColumn="0" w:firstRowLastColumn="0" w:lastRowFirstColumn="0" w:lastRowLastColumn="0"/>
              <w:rPr>
                <w:b/>
                <w:bCs/>
                <w:sz w:val="18"/>
                <w:szCs w:val="18"/>
              </w:rPr>
            </w:pPr>
            <w:r>
              <w:rPr>
                <w:b/>
                <w:sz w:val="18"/>
              </w:rPr>
              <w:t>Social impact:</w:t>
            </w:r>
          </w:p>
        </w:tc>
        <w:tc>
          <w:tcPr>
            <w:tcW w:w="6190" w:type="dxa"/>
            <w:shd w:val="clear" w:color="auto" w:fill="E7E6E6" w:themeFill="background2"/>
          </w:tcPr>
          <w:p w14:paraId="20A045F2" w14:textId="43D7D911" w:rsidR="00345464" w:rsidRPr="00714F21" w:rsidRDefault="5F0D7D7A" w:rsidP="5F0D7D7A">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The long-term social change that will be achieved as a result of the PPP project.</w:t>
            </w:r>
          </w:p>
        </w:tc>
      </w:tr>
      <w:tr w:rsidR="6D134DF5" w:rsidRPr="00746F6D" w14:paraId="761A1A71"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7B0CEC5A" w14:textId="6F561D7B" w:rsidR="7949AB19" w:rsidRPr="00B85545" w:rsidRDefault="7949AB19" w:rsidP="7949AB19">
            <w:pPr>
              <w:pStyle w:val="Sarakstarindkopa"/>
              <w:numPr>
                <w:ilvl w:val="0"/>
                <w:numId w:val="23"/>
              </w:numPr>
              <w:rPr>
                <w:b w:val="0"/>
                <w:sz w:val="18"/>
                <w:szCs w:val="18"/>
                <w:lang w:val="lv-LV"/>
              </w:rPr>
            </w:pPr>
          </w:p>
        </w:tc>
        <w:tc>
          <w:tcPr>
            <w:tcW w:w="1938" w:type="dxa"/>
          </w:tcPr>
          <w:p w14:paraId="4BD55C65" w14:textId="04B938E5" w:rsidR="6D134DF5" w:rsidRDefault="03904FBB" w:rsidP="007217EE">
            <w:pPr>
              <w:cnfStyle w:val="000000000000" w:firstRow="0" w:lastRow="0" w:firstColumn="0" w:lastColumn="0" w:oddVBand="0" w:evenVBand="0" w:oddHBand="0" w:evenHBand="0" w:firstRowFirstColumn="0" w:firstRowLastColumn="0" w:lastRowFirstColumn="0" w:lastRowLastColumn="0"/>
              <w:rPr>
                <w:b/>
                <w:sz w:val="18"/>
                <w:szCs w:val="18"/>
                <w:highlight w:val="cyan"/>
              </w:rPr>
            </w:pPr>
            <w:r>
              <w:rPr>
                <w:b/>
                <w:sz w:val="18"/>
              </w:rPr>
              <w:t>Subordinated capital:</w:t>
            </w:r>
          </w:p>
        </w:tc>
        <w:tc>
          <w:tcPr>
            <w:tcW w:w="6190" w:type="dxa"/>
          </w:tcPr>
          <w:p w14:paraId="3F7041C9" w14:textId="0AC08977" w:rsidR="6D134DF5" w:rsidRDefault="3C3B93B7" w:rsidP="3C3B93B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Subordinated Capital is a loan that has a lower priority than other loans or securities, measured by the creditor's claims on the borrower's assets and earnings. In the event of a default by the borrower, the claims of the subordinated creditor are not satisfied until the claims of the senior creditors have been satisfied in full.</w:t>
            </w:r>
          </w:p>
        </w:tc>
      </w:tr>
      <w:tr w:rsidR="00225E34" w:rsidRPr="00D3047E" w14:paraId="454FA1BE"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shd w:val="clear" w:color="auto" w:fill="E7E6E6" w:themeFill="background2"/>
          </w:tcPr>
          <w:p w14:paraId="7B68C92F" w14:textId="2085FCAA" w:rsidR="7949AB19" w:rsidRPr="00B85545" w:rsidRDefault="7949AB19" w:rsidP="7949AB19">
            <w:pPr>
              <w:pStyle w:val="Sarakstarindkopa"/>
              <w:numPr>
                <w:ilvl w:val="0"/>
                <w:numId w:val="23"/>
              </w:numPr>
              <w:rPr>
                <w:b w:val="0"/>
                <w:bCs w:val="0"/>
                <w:sz w:val="18"/>
                <w:szCs w:val="18"/>
                <w:lang w:val="lv-LV"/>
              </w:rPr>
            </w:pPr>
          </w:p>
        </w:tc>
        <w:tc>
          <w:tcPr>
            <w:tcW w:w="1938" w:type="dxa"/>
            <w:shd w:val="clear" w:color="auto" w:fill="E7E6E6" w:themeFill="background2"/>
          </w:tcPr>
          <w:p w14:paraId="4E6E6959" w14:textId="08593EF5" w:rsidR="00225E34" w:rsidRPr="005D67DB" w:rsidRDefault="00225E3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SWAP:</w:t>
            </w:r>
          </w:p>
        </w:tc>
        <w:tc>
          <w:tcPr>
            <w:tcW w:w="6190" w:type="dxa"/>
            <w:shd w:val="clear" w:color="auto" w:fill="E7E6E6" w:themeFill="background2"/>
          </w:tcPr>
          <w:p w14:paraId="7CCC5116" w14:textId="64BB22AF" w:rsidR="00225E34" w:rsidRPr="005D67DB" w:rsidRDefault="00225E34" w:rsidP="0048711E">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Interest rate swap.</w:t>
            </w:r>
          </w:p>
        </w:tc>
      </w:tr>
      <w:tr w:rsidR="00345464" w:rsidRPr="00746F6D" w14:paraId="598C0604" w14:textId="77777777" w:rsidTr="4ED8BBC5">
        <w:tc>
          <w:tcPr>
            <w:cnfStyle w:val="001000000000" w:firstRow="0" w:lastRow="0" w:firstColumn="1" w:lastColumn="0" w:oddVBand="0" w:evenVBand="0" w:oddHBand="0" w:evenHBand="0" w:firstRowFirstColumn="0" w:firstRowLastColumn="0" w:lastRowFirstColumn="0" w:lastRowLastColumn="0"/>
            <w:tcW w:w="1001" w:type="dxa"/>
          </w:tcPr>
          <w:p w14:paraId="2765F1BE" w14:textId="44265F55" w:rsidR="7949AB19" w:rsidRPr="00B85545" w:rsidRDefault="7949AB19" w:rsidP="7949AB19">
            <w:pPr>
              <w:pStyle w:val="Sarakstarindkopa"/>
              <w:numPr>
                <w:ilvl w:val="0"/>
                <w:numId w:val="23"/>
              </w:numPr>
              <w:rPr>
                <w:b w:val="0"/>
                <w:bCs w:val="0"/>
                <w:sz w:val="18"/>
                <w:szCs w:val="18"/>
                <w:lang w:val="lv-LV"/>
              </w:rPr>
            </w:pPr>
          </w:p>
        </w:tc>
        <w:tc>
          <w:tcPr>
            <w:tcW w:w="1938" w:type="dxa"/>
          </w:tcPr>
          <w:p w14:paraId="489B3A5F" w14:textId="77777777" w:rsidR="00345464" w:rsidRPr="005D67DB" w:rsidRDefault="00345464" w:rsidP="007217E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b/>
                <w:sz w:val="18"/>
              </w:rPr>
              <w:t>LPPSP:</w:t>
            </w:r>
          </w:p>
        </w:tc>
        <w:tc>
          <w:tcPr>
            <w:tcW w:w="6190" w:type="dxa"/>
          </w:tcPr>
          <w:p w14:paraId="061B1F4A" w14:textId="01145B9E" w:rsidR="00345464" w:rsidRPr="005D67DB" w:rsidRDefault="00345464" w:rsidP="0048711E">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hyperlink r:id="rId27" w:history="1">
              <w:r w:rsidRPr="00560231">
                <w:rPr>
                  <w:rStyle w:val="Hipersaite"/>
                  <w:sz w:val="18"/>
                </w:rPr>
                <w:t>Law on</w:t>
              </w:r>
            </w:hyperlink>
            <w:r>
              <w:rPr>
                <w:sz w:val="18"/>
              </w:rPr>
              <w:t xml:space="preserve"> the Procurements of Public Service Providers.</w:t>
            </w:r>
          </w:p>
        </w:tc>
      </w:tr>
      <w:tr w:rsidR="00345464" w:rsidRPr="005D67DB" w14:paraId="04FBA885" w14:textId="77777777" w:rsidTr="4ED8B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Pr>
          <w:p w14:paraId="6BCFA0C4" w14:textId="6C6BE078" w:rsidR="00345464" w:rsidRPr="00B85545" w:rsidRDefault="00345464" w:rsidP="008B6449">
            <w:pPr>
              <w:pStyle w:val="Sarakstarindkopa"/>
              <w:numPr>
                <w:ilvl w:val="0"/>
                <w:numId w:val="23"/>
              </w:numPr>
              <w:rPr>
                <w:b w:val="0"/>
                <w:bCs w:val="0"/>
                <w:sz w:val="18"/>
                <w:szCs w:val="18"/>
                <w:lang w:val="lv-LV"/>
              </w:rPr>
            </w:pPr>
          </w:p>
        </w:tc>
        <w:tc>
          <w:tcPr>
            <w:tcW w:w="1938" w:type="dxa"/>
          </w:tcPr>
          <w:p w14:paraId="17576CD3" w14:textId="77777777" w:rsidR="00345464" w:rsidRPr="005D67DB" w:rsidRDefault="00345464" w:rsidP="007217EE">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b/>
                <w:sz w:val="18"/>
              </w:rPr>
              <w:t>SASL:</w:t>
            </w:r>
          </w:p>
        </w:tc>
        <w:tc>
          <w:tcPr>
            <w:tcW w:w="6190" w:type="dxa"/>
          </w:tcPr>
          <w:p w14:paraId="0FF6AA9B" w14:textId="5464A34F" w:rsidR="00345464" w:rsidRPr="005D67DB" w:rsidRDefault="5F0D7D7A" w:rsidP="064C8007">
            <w:pPr>
              <w:jc w:val="both"/>
              <w:cnfStyle w:val="000000100000" w:firstRow="0" w:lastRow="0" w:firstColumn="0" w:lastColumn="0" w:oddVBand="0" w:evenVBand="0" w:oddHBand="1" w:evenHBand="0" w:firstRowFirstColumn="0" w:firstRowLastColumn="0" w:lastRowFirstColumn="0" w:lastRowLastColumn="0"/>
              <w:rPr>
                <w:sz w:val="18"/>
                <w:szCs w:val="18"/>
              </w:rPr>
            </w:pPr>
            <w:hyperlink r:id="rId28" w:history="1">
              <w:r w:rsidRPr="00F86485">
                <w:rPr>
                  <w:rStyle w:val="Hipersaite"/>
                  <w:sz w:val="18"/>
                </w:rPr>
                <w:t>State Administration Structure Law</w:t>
              </w:r>
            </w:hyperlink>
            <w:r>
              <w:rPr>
                <w:sz w:val="18"/>
              </w:rPr>
              <w:t>.</w:t>
            </w:r>
          </w:p>
        </w:tc>
      </w:tr>
    </w:tbl>
    <w:p w14:paraId="3A18A528" w14:textId="77777777" w:rsidR="00B80243" w:rsidRDefault="00B80243" w:rsidP="00660772">
      <w:pPr>
        <w:pStyle w:val="Virsraksts1"/>
        <w:spacing w:after="240"/>
        <w:rPr>
          <w:rFonts w:ascii="Verdana" w:hAnsi="Verdana"/>
          <w:color w:val="75777A"/>
        </w:rPr>
      </w:pPr>
      <w:bookmarkStart w:id="6" w:name="_Toc3759951"/>
      <w:bookmarkStart w:id="7" w:name="_Toc3205477"/>
      <w:bookmarkStart w:id="8" w:name="_Toc3246827"/>
      <w:bookmarkStart w:id="9" w:name="_Toc3249536"/>
      <w:bookmarkStart w:id="10" w:name="_Toc3804988"/>
    </w:p>
    <w:p w14:paraId="2847C683" w14:textId="77777777" w:rsidR="00B80243" w:rsidRDefault="00B80243" w:rsidP="00B80243">
      <w:pPr>
        <w:rPr>
          <w:rFonts w:eastAsiaTheme="majorEastAsia" w:cstheme="majorBidi"/>
          <w:sz w:val="32"/>
          <w:szCs w:val="32"/>
        </w:rPr>
      </w:pPr>
      <w:r>
        <w:br w:type="page"/>
      </w:r>
    </w:p>
    <w:p w14:paraId="6166BD75" w14:textId="3A7B95AF" w:rsidR="00CB5B0C" w:rsidRPr="00382259" w:rsidRDefault="50721EAF" w:rsidP="00660772">
      <w:pPr>
        <w:pStyle w:val="Virsraksts1"/>
        <w:spacing w:after="240"/>
        <w:rPr>
          <w:rFonts w:ascii="Verdana" w:hAnsi="Verdana"/>
          <w:color w:val="75777A"/>
        </w:rPr>
      </w:pPr>
      <w:bookmarkStart w:id="11" w:name="_Toc178586351"/>
      <w:r>
        <w:rPr>
          <w:rFonts w:ascii="Verdana" w:hAnsi="Verdana"/>
          <w:color w:val="75777A"/>
        </w:rPr>
        <w:lastRenderedPageBreak/>
        <w:t>Introduction</w:t>
      </w:r>
      <w:bookmarkEnd w:id="6"/>
      <w:bookmarkEnd w:id="7"/>
      <w:bookmarkEnd w:id="8"/>
      <w:bookmarkEnd w:id="9"/>
      <w:bookmarkEnd w:id="10"/>
      <w:bookmarkEnd w:id="11"/>
    </w:p>
    <w:p w14:paraId="18C19E1B" w14:textId="16C5EBDA" w:rsidR="476CB92C" w:rsidRPr="005D67DB" w:rsidRDefault="476CB92C" w:rsidP="7DB09CA3">
      <w:pPr>
        <w:spacing w:after="240"/>
        <w:jc w:val="both"/>
        <w:rPr>
          <w:rFonts w:ascii="Verdana" w:hAnsi="Verdana"/>
          <w:sz w:val="18"/>
          <w:szCs w:val="18"/>
        </w:rPr>
      </w:pPr>
      <w:r>
        <w:rPr>
          <w:rFonts w:ascii="Verdana" w:hAnsi="Verdana"/>
          <w:sz w:val="18"/>
        </w:rPr>
        <w:t xml:space="preserve">The Guidelines on Financial and Economic Calculations for Public-Private Partnerships (hereinafter - the Guidelines) have been developed with the aim of unifying the understanding of PPP project implementers (in particular public administrations and local governments) on the structuring, planning and implementation of PPP projects in general, as well as to support the practical preparation of financial and economic calculations (hereinafter - FEC). </w:t>
      </w:r>
    </w:p>
    <w:p w14:paraId="662CF249" w14:textId="732A9277" w:rsidR="476CB92C" w:rsidRDefault="5BEC1A52" w:rsidP="00D74FB4">
      <w:pPr>
        <w:jc w:val="both"/>
        <w:rPr>
          <w:rFonts w:ascii="Verdana" w:hAnsi="Verdana"/>
          <w:sz w:val="18"/>
          <w:szCs w:val="18"/>
        </w:rPr>
      </w:pPr>
      <w:r>
        <w:rPr>
          <w:rFonts w:ascii="Verdana" w:hAnsi="Verdana"/>
          <w:sz w:val="18"/>
        </w:rPr>
        <w:t>The Guidelines consist of two interlinked files - the descriptive part of the Guidelines (Word file) and the Financial Model (Excel file). Both files are to be used together. The data and information they contain can be evaluated and used in conjunction with each other. The Guidelines are not exhaustive and the level of detail in the descriptive and calculation parts of FEC needs to be tailored to each planned PPP project (see waiver included in the Financial Model).</w:t>
      </w:r>
    </w:p>
    <w:p w14:paraId="28423057" w14:textId="02FF7358" w:rsidR="00FD052F" w:rsidRDefault="004B2DB9" w:rsidP="476CB92C">
      <w:pPr>
        <w:jc w:val="both"/>
        <w:rPr>
          <w:rFonts w:ascii="Verdana" w:hAnsi="Verdana"/>
          <w:sz w:val="18"/>
          <w:szCs w:val="18"/>
        </w:rPr>
      </w:pPr>
      <w:r>
        <w:rPr>
          <w:noProof/>
        </w:rPr>
        <w:drawing>
          <wp:anchor distT="0" distB="0" distL="114300" distR="114300" simplePos="0" relativeHeight="251658250" behindDoc="0" locked="0" layoutInCell="1" allowOverlap="1" wp14:anchorId="4D13401C" wp14:editId="04A12D2B">
            <wp:simplePos x="0" y="0"/>
            <wp:positionH relativeFrom="column">
              <wp:posOffset>-44450</wp:posOffset>
            </wp:positionH>
            <wp:positionV relativeFrom="paragraph">
              <wp:posOffset>3810</wp:posOffset>
            </wp:positionV>
            <wp:extent cx="2082800" cy="304800"/>
            <wp:effectExtent l="0" t="0" r="0" b="0"/>
            <wp:wrapSquare wrapText="bothSides"/>
            <wp:docPr id="803084705" name="Picture 80308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82800" cy="30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20F4010C" wp14:editId="2E682428">
            <wp:simplePos x="0" y="0"/>
            <wp:positionH relativeFrom="column">
              <wp:posOffset>-8255</wp:posOffset>
            </wp:positionH>
            <wp:positionV relativeFrom="paragraph">
              <wp:posOffset>308610</wp:posOffset>
            </wp:positionV>
            <wp:extent cx="1437005" cy="1174750"/>
            <wp:effectExtent l="0" t="0" r="0" b="6350"/>
            <wp:wrapSquare wrapText="bothSides"/>
            <wp:docPr id="803084706" name="Picture 80308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37005" cy="117475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18"/>
        </w:rPr>
        <w:t>The descriptive part of the Guidelines at the beginning of each sub-chapter visually illustrates its place in the overall context of the chapter.</w:t>
      </w:r>
    </w:p>
    <w:p w14:paraId="699421C3" w14:textId="676F2A20" w:rsidR="00FD052F" w:rsidRDefault="00CC7CF8" w:rsidP="00612537">
      <w:pPr>
        <w:ind w:left="720"/>
        <w:jc w:val="both"/>
        <w:rPr>
          <w:rFonts w:ascii="Verdana" w:hAnsi="Verdana"/>
          <w:sz w:val="18"/>
          <w:szCs w:val="18"/>
        </w:rPr>
      </w:pPr>
      <w:r w:rsidRPr="00CC7CF8">
        <w:rPr>
          <w:rFonts w:ascii="Verdana" w:hAnsi="Verdana"/>
          <w:noProof/>
          <w:sz w:val="18"/>
        </w:rPr>
        <mc:AlternateContent>
          <mc:Choice Requires="wps">
            <w:drawing>
              <wp:anchor distT="45720" distB="45720" distL="114300" distR="114300" simplePos="0" relativeHeight="251658273" behindDoc="0" locked="0" layoutInCell="1" allowOverlap="1" wp14:anchorId="152D35F7" wp14:editId="2D789EA0">
                <wp:simplePos x="0" y="0"/>
                <wp:positionH relativeFrom="margin">
                  <wp:posOffset>1117600</wp:posOffset>
                </wp:positionH>
                <wp:positionV relativeFrom="paragraph">
                  <wp:posOffset>1188085</wp:posOffset>
                </wp:positionV>
                <wp:extent cx="781050" cy="215900"/>
                <wp:effectExtent l="19050" t="19050" r="19050" b="12700"/>
                <wp:wrapNone/>
                <wp:docPr id="2073598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5900"/>
                        </a:xfrm>
                        <a:prstGeom prst="rect">
                          <a:avLst/>
                        </a:prstGeom>
                        <a:solidFill>
                          <a:srgbClr val="FFFFFF"/>
                        </a:solidFill>
                        <a:ln w="28575">
                          <a:solidFill>
                            <a:srgbClr val="92D050"/>
                          </a:solidFill>
                          <a:miter lim="800000"/>
                          <a:headEnd/>
                          <a:tailEnd/>
                        </a:ln>
                      </wps:spPr>
                      <wps:txbx>
                        <w:txbxContent>
                          <w:p w14:paraId="643A9513" w14:textId="4F321561" w:rsidR="00CC7CF8" w:rsidRPr="00CC7CF8" w:rsidRDefault="00CC7CF8" w:rsidP="00CC7CF8">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D35F7" id="_x0000_t202" coordsize="21600,21600" o:spt="202" path="m,l,21600r21600,l21600,xe">
                <v:stroke joinstyle="miter"/>
                <v:path gradientshapeok="t" o:connecttype="rect"/>
              </v:shapetype>
              <v:shape id="Text Box 2" o:spid="_x0000_s1026" type="#_x0000_t202" style="position:absolute;left:0;text-align:left;margin-left:88pt;margin-top:93.55pt;width:61.5pt;height:17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" strokecolor="#92d050" strokeweight="2.25pt">
                <v:textbox>
                  <w:txbxContent>
                    <w:p w14:paraId="643A9513" w14:textId="4F321561" w:rsidR="00CC7CF8" w:rsidRPr="00CC7CF8" w:rsidRDefault="00CC7CF8" w:rsidP="00CC7CF8">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272" behindDoc="0" locked="0" layoutInCell="1" allowOverlap="1" wp14:anchorId="6563443B" wp14:editId="6E05EBA6">
                <wp:simplePos x="0" y="0"/>
                <wp:positionH relativeFrom="margin">
                  <wp:align>left</wp:align>
                </wp:positionH>
                <wp:positionV relativeFrom="paragraph">
                  <wp:posOffset>1169035</wp:posOffset>
                </wp:positionV>
                <wp:extent cx="781050" cy="215900"/>
                <wp:effectExtent l="19050" t="19050" r="19050" b="12700"/>
                <wp:wrapNone/>
                <wp:docPr id="1894474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5900"/>
                        </a:xfrm>
                        <a:prstGeom prst="rect">
                          <a:avLst/>
                        </a:prstGeom>
                        <a:solidFill>
                          <a:srgbClr val="FFFFFF"/>
                        </a:solidFill>
                        <a:ln w="28575">
                          <a:solidFill>
                            <a:schemeClr val="accent1"/>
                          </a:solidFill>
                          <a:miter lim="800000"/>
                          <a:headEnd/>
                          <a:tailEnd/>
                        </a:ln>
                      </wps:spPr>
                      <wps:txbx>
                        <w:txbxContent>
                          <w:p w14:paraId="123522BD" w14:textId="06EF1064" w:rsidR="00CC7CF8" w:rsidRPr="00CC7CF8" w:rsidRDefault="00CC7CF8" w:rsidP="00CC7CF8">
                            <w:pPr>
                              <w:jc w:val="center"/>
                              <w:rPr>
                                <w:b/>
                                <w:bCs/>
                                <w:color w:val="86BC25" w:themeColor="accent1"/>
                                <w:sz w:val="12"/>
                                <w:szCs w:val="12"/>
                              </w:rPr>
                            </w:pPr>
                            <w:r w:rsidRPr="00CC7CF8">
                              <w:rPr>
                                <w:b/>
                                <w:bCs/>
                                <w:color w:val="86BC25" w:themeColor="accent1"/>
                                <w:sz w:val="12"/>
                                <w:szCs w:val="12"/>
                              </w:rPr>
                              <w:t>Objective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443B" id="_x0000_s1027" type="#_x0000_t202" style="position:absolute;left:0;text-align:left;margin-left:0;margin-top:92.05pt;width:61.5pt;height:17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" strokecolor="#86bc25 [3204]" strokeweight="2.25pt">
                <v:textbox>
                  <w:txbxContent>
                    <w:p w14:paraId="123522BD" w14:textId="06EF1064" w:rsidR="00CC7CF8" w:rsidRPr="00CC7CF8" w:rsidRDefault="00CC7CF8" w:rsidP="00CC7CF8">
                      <w:pPr>
                        <w:jc w:val="center"/>
                        <w:rPr>
                          <w:b/>
                          <w:bCs/>
                          <w:color w:val="86BC25" w:themeColor="accent1"/>
                          <w:sz w:val="12"/>
                          <w:szCs w:val="12"/>
                        </w:rPr>
                      </w:pPr>
                      <w:r w:rsidRPr="00CC7CF8">
                        <w:rPr>
                          <w:b/>
                          <w:bCs/>
                          <w:color w:val="86BC25" w:themeColor="accent1"/>
                          <w:sz w:val="12"/>
                          <w:szCs w:val="12"/>
                        </w:rPr>
                        <w:t>Objective</w:t>
                      </w:r>
                    </w:p>
                  </w:txbxContent>
                </v:textbox>
                <w10:wrap anchorx="margin"/>
              </v:shape>
            </w:pict>
          </mc:Fallback>
        </mc:AlternateContent>
      </w:r>
      <w:r w:rsidR="004B2DB9">
        <w:rPr>
          <w:noProof/>
        </w:rPr>
        <w:drawing>
          <wp:anchor distT="0" distB="0" distL="114300" distR="114300" simplePos="0" relativeHeight="251658252" behindDoc="0" locked="0" layoutInCell="1" allowOverlap="1" wp14:anchorId="7E8CAE16" wp14:editId="76F4080B">
            <wp:simplePos x="0" y="0"/>
            <wp:positionH relativeFrom="column">
              <wp:posOffset>0</wp:posOffset>
            </wp:positionH>
            <wp:positionV relativeFrom="paragraph">
              <wp:posOffset>1139190</wp:posOffset>
            </wp:positionV>
            <wp:extent cx="1930400" cy="330835"/>
            <wp:effectExtent l="0" t="0" r="0" b="0"/>
            <wp:wrapSquare wrapText="bothSides"/>
            <wp:docPr id="803084707" name="Picture 80308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30400" cy="330835"/>
                    </a:xfrm>
                    <a:prstGeom prst="rect">
                      <a:avLst/>
                    </a:prstGeom>
                  </pic:spPr>
                </pic:pic>
              </a:graphicData>
            </a:graphic>
            <wp14:sizeRelH relativeFrom="margin">
              <wp14:pctWidth>0</wp14:pctWidth>
            </wp14:sizeRelH>
            <wp14:sizeRelV relativeFrom="margin">
              <wp14:pctHeight>0</wp14:pctHeight>
            </wp14:sizeRelV>
          </wp:anchor>
        </w:drawing>
      </w:r>
      <w:r w:rsidR="004B2DB9">
        <w:rPr>
          <w:rFonts w:ascii="Verdana" w:hAnsi="Verdana"/>
          <w:sz w:val="18"/>
        </w:rPr>
        <w:t>This is followed by a reference to key documents that are recommended in addition to the descriptive part of the Guidelines in order to get a more in-depth view of the activities to be carried out at each stage of FEC. The abbreviated and/or translated name of the document is used in the reference, the full name of the document can be found in Table B of the Annex by searching for the full name corresponding to the indicated name in the column "Name of the document" in the column "Name used in the Guidelines".</w:t>
      </w:r>
    </w:p>
    <w:p w14:paraId="519EDB66" w14:textId="0FF42931" w:rsidR="00E725AA" w:rsidRDefault="5BEC1A52" w:rsidP="476CB92C">
      <w:pPr>
        <w:jc w:val="both"/>
        <w:rPr>
          <w:rFonts w:ascii="Verdana" w:hAnsi="Verdana"/>
          <w:sz w:val="18"/>
          <w:szCs w:val="18"/>
        </w:rPr>
      </w:pPr>
      <w:r>
        <w:rPr>
          <w:rFonts w:ascii="Verdana" w:hAnsi="Verdana"/>
          <w:sz w:val="18"/>
        </w:rPr>
        <w:t xml:space="preserve">Similarly, at the beginning of each sub-chapter, the key objective for the execution of the relevant FEC development stage and the </w:t>
      </w:r>
      <w:r w:rsidR="00CC7CF8">
        <w:rPr>
          <w:rFonts w:ascii="Verdana" w:hAnsi="Verdana"/>
          <w:sz w:val="18"/>
        </w:rPr>
        <w:t>outcome</w:t>
      </w:r>
      <w:r>
        <w:rPr>
          <w:rFonts w:ascii="Verdana" w:hAnsi="Verdana"/>
          <w:sz w:val="18"/>
        </w:rPr>
        <w:t xml:space="preserve"> to be achieved are highlighted.</w:t>
      </w:r>
    </w:p>
    <w:p w14:paraId="7BD02CE7" w14:textId="20A51C61" w:rsidR="00D57CA0" w:rsidRDefault="007E7DFB" w:rsidP="476CB92C">
      <w:pPr>
        <w:jc w:val="both"/>
        <w:rPr>
          <w:rFonts w:ascii="Verdana" w:hAnsi="Verdana"/>
          <w:sz w:val="18"/>
          <w:szCs w:val="18"/>
        </w:rPr>
      </w:pPr>
      <w:r>
        <w:rPr>
          <w:rFonts w:ascii="Verdana" w:hAnsi="Verdana"/>
          <w:sz w:val="18"/>
        </w:rPr>
        <w:t>The link between the information in a chapter and the information in another chapter of the Guidelines or in the Financial Model is visually highlighted on the right-hand side of the page behind the green line.</w:t>
      </w:r>
    </w:p>
    <w:p w14:paraId="1449EE73" w14:textId="17293671" w:rsidR="004B2DB9" w:rsidRDefault="5BEC1A52" w:rsidP="476CB92C">
      <w:pPr>
        <w:jc w:val="both"/>
        <w:rPr>
          <w:rFonts w:ascii="Verdana" w:hAnsi="Verdana"/>
          <w:sz w:val="18"/>
          <w:szCs w:val="18"/>
        </w:rPr>
      </w:pPr>
      <w:r>
        <w:rPr>
          <w:rFonts w:ascii="Verdana" w:hAnsi="Verdana"/>
          <w:sz w:val="18"/>
        </w:rPr>
        <w:t xml:space="preserve">The Financial Model is ready to use, complete with detailed instructions and explanations of the actions to be taken on each page of the Financial Model. Depending on the PPP arrangement and model to be analysed, as well as on the specificities of the PPP project, the Financial Model may be supplemented with additional new sections during the preparation of FEC, following the instructions given. </w:t>
      </w:r>
    </w:p>
    <w:p w14:paraId="6D8CF5CB" w14:textId="17293671" w:rsidR="004B2DB9" w:rsidRDefault="00DB0744" w:rsidP="476CB92C">
      <w:pPr>
        <w:jc w:val="both"/>
        <w:rPr>
          <w:rFonts w:ascii="Verdana" w:hAnsi="Verdana"/>
          <w:sz w:val="18"/>
          <w:szCs w:val="18"/>
        </w:rPr>
      </w:pPr>
      <w:r>
        <w:rPr>
          <w:noProof/>
        </w:rPr>
        <mc:AlternateContent>
          <mc:Choice Requires="wps">
            <w:drawing>
              <wp:anchor distT="0" distB="0" distL="114300" distR="114300" simplePos="0" relativeHeight="251658253" behindDoc="0" locked="0" layoutInCell="1" allowOverlap="1" wp14:anchorId="162EC3CC" wp14:editId="2F3033A8">
                <wp:simplePos x="0" y="0"/>
                <wp:positionH relativeFrom="column">
                  <wp:posOffset>0</wp:posOffset>
                </wp:positionH>
                <wp:positionV relativeFrom="paragraph">
                  <wp:posOffset>1905</wp:posOffset>
                </wp:positionV>
                <wp:extent cx="274320" cy="274320"/>
                <wp:effectExtent l="0" t="0" r="11430" b="11430"/>
                <wp:wrapSquare wrapText="bothSides"/>
                <wp:docPr id="11"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F83AA5" w14:textId="190FBD79" w:rsidR="00EF0F26" w:rsidRPr="00DB0744" w:rsidRDefault="00EF0F26" w:rsidP="00DB0744">
                            <w:pPr>
                              <w:pStyle w:val="Paraststmeklis"/>
                              <w:spacing w:after="0"/>
                              <w:rPr>
                                <w:lang w:val="lv-LV"/>
                              </w:rPr>
                            </w:pP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162EC3CC" id="Rounded Rectangle 23" o:spid="_x0000_s1028" style="position:absolute;left:0;text-align:left;margin-left:0;margin-top:.15pt;width:21.6pt;height:21.6pt;z-index:251658253;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" fillcolor="#86bc25 [3204]" strokecolor="#425d12 [1604]" strokeweight="2pt">
                <v:path arrowok="t"/>
                <v:textbox inset="3.6pt,,3.6pt">
                  <w:txbxContent>
                    <w:p w14:paraId="6AF83AA5" w14:textId="190FBD79" w:rsidR="00EF0F26" w:rsidRPr="00DB0744" w:rsidRDefault="00EF0F26" w:rsidP="00DB0744">
                      <w:pPr>
                        <w:pStyle w:val="Paraststmeklis"/>
                        <w:spacing w:after="0"/>
                        <w:rPr>
                          <w:lang w:val="lv-LV"/>
                        </w:rPr>
                      </w:pPr>
                    </w:p>
                  </w:txbxContent>
                </v:textbox>
                <w10:wrap type="square"/>
              </v:roundrect>
            </w:pict>
          </mc:Fallback>
        </mc:AlternateContent>
      </w:r>
      <w:r>
        <w:rPr>
          <w:rFonts w:ascii="Verdana" w:hAnsi="Verdana"/>
          <w:sz w:val="18"/>
        </w:rPr>
        <w:t xml:space="preserve">The key assumptions in the descriptive part of the Guidelines are linked to the same visual references in the Financial Model by visual references in the margin of the page. </w:t>
      </w:r>
    </w:p>
    <w:p w14:paraId="44CE7ED7" w14:textId="17293671" w:rsidR="00660772" w:rsidRPr="008911F0" w:rsidRDefault="00660772" w:rsidP="476CB92C">
      <w:pPr>
        <w:jc w:val="both"/>
        <w:rPr>
          <w:rFonts w:ascii="Verdana" w:hAnsi="Verdana"/>
          <w:sz w:val="18"/>
          <w:szCs w:val="18"/>
        </w:rPr>
      </w:pPr>
      <w:r>
        <w:rPr>
          <w:rFonts w:ascii="Verdana" w:hAnsi="Verdana"/>
          <w:sz w:val="18"/>
        </w:rPr>
        <w:t>The Guidelines have the following annexes:</w:t>
      </w:r>
    </w:p>
    <w:p w14:paraId="0C61A641" w14:textId="55C1D993" w:rsidR="004B2DB9" w:rsidRDefault="004B2DB9" w:rsidP="476CB92C">
      <w:pPr>
        <w:jc w:val="both"/>
        <w:rPr>
          <w:rFonts w:ascii="Verdana" w:hAnsi="Verdana"/>
          <w:sz w:val="18"/>
          <w:szCs w:val="18"/>
        </w:rPr>
      </w:pPr>
      <w:r>
        <w:rPr>
          <w:rStyle w:val="Hipersaite"/>
          <w:rFonts w:ascii="Verdana" w:hAnsi="Verdana"/>
          <w:color w:val="auto"/>
          <w:sz w:val="18"/>
          <w:u w:val="none"/>
        </w:rPr>
        <w:t>Annex A: Schematic Representation of the Development of FEC</w:t>
      </w:r>
      <w:r>
        <w:rPr>
          <w:rFonts w:ascii="Verdana" w:hAnsi="Verdana"/>
          <w:sz w:val="18"/>
        </w:rPr>
        <w:t>: The Annex schematically illustrates the activities to be carried out by a public partner to prepare FEC and submit them to the CFCA and the MoF for approval. The process starts with the activities that the public partner has to carry out before it reaches the decision to implement the PPP project and the related preparation of FEC. The sequence of individual activities may be changed or may be carried out in parallel, but the public partner must be able to answer all the questions in order to move forward through the activities indicated.</w:t>
      </w:r>
    </w:p>
    <w:p w14:paraId="0A8871A0" w14:textId="63F1277C" w:rsidR="476CB92C" w:rsidRDefault="6615BDDD" w:rsidP="476CB92C">
      <w:pPr>
        <w:jc w:val="both"/>
        <w:rPr>
          <w:rFonts w:ascii="Verdana" w:hAnsi="Verdana"/>
          <w:sz w:val="18"/>
          <w:szCs w:val="18"/>
        </w:rPr>
      </w:pPr>
      <w:r>
        <w:rPr>
          <w:rStyle w:val="Hipersaite"/>
          <w:rFonts w:ascii="Verdana" w:hAnsi="Verdana"/>
          <w:color w:val="auto"/>
          <w:sz w:val="18"/>
          <w:u w:val="none"/>
        </w:rPr>
        <w:t>Annex B. A List of Sources of Information Used</w:t>
      </w:r>
      <w:r>
        <w:rPr>
          <w:rFonts w:ascii="Verdana" w:hAnsi="Verdana"/>
          <w:sz w:val="18"/>
        </w:rPr>
        <w:t xml:space="preserve">: The Guidelines were drafted on the basis of laws and regulations, informative materials and other information that was up-to-date as of the date of drafting of the Guidelines, i.e. 18.03.2019. In preparing FEC, users of the Guidelines must take into account any amendments made to those documents or updated versions of those documents that enter into force after the specified date of the Guidelines. </w:t>
      </w:r>
    </w:p>
    <w:p w14:paraId="68C11CFF" w14:textId="17293671" w:rsidR="00660772" w:rsidRDefault="00660772" w:rsidP="476CB92C">
      <w:pPr>
        <w:jc w:val="both"/>
        <w:rPr>
          <w:sz w:val="18"/>
          <w:szCs w:val="18"/>
        </w:rPr>
      </w:pPr>
      <w:r>
        <w:rPr>
          <w:rFonts w:ascii="Verdana" w:hAnsi="Verdana"/>
          <w:sz w:val="18"/>
        </w:rPr>
        <w:lastRenderedPageBreak/>
        <w:t xml:space="preserve">Annex C. </w:t>
      </w:r>
      <w:r>
        <w:rPr>
          <w:sz w:val="18"/>
        </w:rPr>
        <w:t>Financial Model Assumptions Sheet</w:t>
      </w:r>
    </w:p>
    <w:p w14:paraId="1E168B06" w14:textId="17293671" w:rsidR="00660772" w:rsidRDefault="00660772" w:rsidP="476CB92C">
      <w:pPr>
        <w:jc w:val="both"/>
        <w:rPr>
          <w:sz w:val="18"/>
          <w:szCs w:val="18"/>
        </w:rPr>
      </w:pPr>
      <w:r>
        <w:rPr>
          <w:sz w:val="18"/>
        </w:rPr>
        <w:t>Annex D. Financial Model Summary Sheet</w:t>
      </w:r>
    </w:p>
    <w:p w14:paraId="30DC29D6" w14:textId="50A491AE" w:rsidR="00263EB4" w:rsidRDefault="00660772" w:rsidP="00A83CB6">
      <w:pPr>
        <w:jc w:val="both"/>
        <w:rPr>
          <w:sz w:val="18"/>
        </w:rPr>
      </w:pPr>
      <w:r>
        <w:rPr>
          <w:sz w:val="18"/>
        </w:rPr>
        <w:t>Annex E. Financial Model Sensitivity Analysis Sheet</w:t>
      </w:r>
    </w:p>
    <w:p w14:paraId="0A5D5E62" w14:textId="4451FDBA" w:rsidR="009E26C1" w:rsidRDefault="000848C3" w:rsidP="00A83CB6">
      <w:pPr>
        <w:jc w:val="both"/>
        <w:rPr>
          <w:sz w:val="18"/>
          <w:szCs w:val="18"/>
        </w:rPr>
      </w:pPr>
      <w:r>
        <w:rPr>
          <w:sz w:val="18"/>
          <w:szCs w:val="18"/>
        </w:rPr>
        <w:t xml:space="preserve">Simplified FEC guidelines are published on the CFCA’s website, which can also be used for the development of the FEC. The </w:t>
      </w:r>
      <w:r w:rsidRPr="000848C3">
        <w:rPr>
          <w:sz w:val="18"/>
          <w:szCs w:val="18"/>
        </w:rPr>
        <w:t>Financial and Economic Calculation</w:t>
      </w:r>
      <w:r>
        <w:rPr>
          <w:sz w:val="18"/>
          <w:szCs w:val="18"/>
        </w:rPr>
        <w:t>s</w:t>
      </w:r>
      <w:r w:rsidRPr="000848C3">
        <w:rPr>
          <w:sz w:val="18"/>
          <w:szCs w:val="18"/>
        </w:rPr>
        <w:t xml:space="preserve"> Form</w:t>
      </w:r>
      <w:r>
        <w:rPr>
          <w:sz w:val="18"/>
          <w:szCs w:val="18"/>
        </w:rPr>
        <w:t xml:space="preserve">, </w:t>
      </w:r>
      <w:r w:rsidRPr="000848C3">
        <w:rPr>
          <w:sz w:val="18"/>
          <w:szCs w:val="18"/>
        </w:rPr>
        <w:t xml:space="preserve">which has been developed on the basis of these </w:t>
      </w:r>
      <w:r>
        <w:rPr>
          <w:sz w:val="18"/>
          <w:szCs w:val="18"/>
        </w:rPr>
        <w:t>G</w:t>
      </w:r>
      <w:r w:rsidRPr="000848C3">
        <w:rPr>
          <w:sz w:val="18"/>
          <w:szCs w:val="18"/>
        </w:rPr>
        <w:t>uidelines,</w:t>
      </w:r>
      <w:r>
        <w:rPr>
          <w:sz w:val="18"/>
          <w:szCs w:val="18"/>
        </w:rPr>
        <w:t xml:space="preserve"> </w:t>
      </w:r>
      <w:r w:rsidR="00713FA2">
        <w:rPr>
          <w:sz w:val="18"/>
          <w:szCs w:val="18"/>
        </w:rPr>
        <w:t xml:space="preserve">shall also be used for the preparation of the FEC. </w:t>
      </w:r>
      <w:r w:rsidR="00713FA2" w:rsidRPr="000848C3">
        <w:rPr>
          <w:sz w:val="18"/>
          <w:szCs w:val="18"/>
        </w:rPr>
        <w:t xml:space="preserve">Both materials are available at </w:t>
      </w:r>
      <w:hyperlink r:id="rId32" w:history="1">
        <w:r w:rsidR="00713FA2" w:rsidRPr="00D42574">
          <w:rPr>
            <w:rStyle w:val="Hipersaite"/>
            <w:sz w:val="18"/>
            <w:szCs w:val="18"/>
          </w:rPr>
          <w:t>https://www.cfla.gov.lv/lv/finansu-un-ekonomiskie-aprekini</w:t>
        </w:r>
      </w:hyperlink>
      <w:r w:rsidR="00713FA2">
        <w:rPr>
          <w:sz w:val="18"/>
          <w:szCs w:val="18"/>
        </w:rPr>
        <w:t xml:space="preserve"> </w:t>
      </w:r>
      <w:r w:rsidR="00713FA2" w:rsidRPr="000848C3">
        <w:rPr>
          <w:sz w:val="18"/>
          <w:szCs w:val="18"/>
        </w:rPr>
        <w:t>(</w:t>
      </w:r>
      <w:r w:rsidR="00713FA2" w:rsidRPr="00713FA2">
        <w:rPr>
          <w:i/>
          <w:iCs/>
          <w:sz w:val="18"/>
          <w:szCs w:val="18"/>
        </w:rPr>
        <w:t>with updates to the FEC Guidelines on 25.09.2024</w:t>
      </w:r>
      <w:r w:rsidR="00713FA2" w:rsidRPr="000848C3">
        <w:rPr>
          <w:sz w:val="18"/>
          <w:szCs w:val="18"/>
        </w:rPr>
        <w:t>).</w:t>
      </w:r>
    </w:p>
    <w:p w14:paraId="2403E417" w14:textId="08F05C54" w:rsidR="000848C3" w:rsidRDefault="009E26C1" w:rsidP="000261BE">
      <w:pPr>
        <w:rPr>
          <w:sz w:val="18"/>
          <w:szCs w:val="18"/>
        </w:rPr>
      </w:pPr>
      <w:r>
        <w:rPr>
          <w:sz w:val="18"/>
          <w:szCs w:val="18"/>
        </w:rPr>
        <w:br w:type="page"/>
      </w:r>
    </w:p>
    <w:p w14:paraId="2167A5E6" w14:textId="3F945EB9" w:rsidR="002E1F5E" w:rsidRPr="0015600C" w:rsidRDefault="0048480E" w:rsidP="008B6449">
      <w:pPr>
        <w:pStyle w:val="Virsraksts1"/>
        <w:numPr>
          <w:ilvl w:val="0"/>
          <w:numId w:val="16"/>
        </w:numPr>
        <w:spacing w:line="480" w:lineRule="auto"/>
      </w:pPr>
      <w:bookmarkStart w:id="12" w:name="_PPP_process_un"/>
      <w:bookmarkStart w:id="13" w:name="_Toc3205478"/>
      <w:bookmarkStart w:id="14" w:name="_Toc3246828"/>
      <w:bookmarkStart w:id="15" w:name="_Toc3249537"/>
      <w:bookmarkStart w:id="16" w:name="_Toc3759952"/>
      <w:bookmarkStart w:id="17" w:name="_Toc3804989"/>
      <w:bookmarkStart w:id="18" w:name="_Toc178586352"/>
      <w:bookmarkEnd w:id="12"/>
      <w:r>
        <w:lastRenderedPageBreak/>
        <w:t>PPP Process and Regulatory Framework</w:t>
      </w:r>
      <w:bookmarkEnd w:id="13"/>
      <w:bookmarkEnd w:id="14"/>
      <w:bookmarkEnd w:id="15"/>
      <w:bookmarkEnd w:id="16"/>
      <w:bookmarkEnd w:id="17"/>
      <w:bookmarkEnd w:id="18"/>
    </w:p>
    <w:p w14:paraId="23652262" w14:textId="77777777" w:rsidR="0048711E" w:rsidRPr="001032D5" w:rsidRDefault="0048711E" w:rsidP="008B6449">
      <w:pPr>
        <w:pStyle w:val="Virsraksts2"/>
        <w:numPr>
          <w:ilvl w:val="1"/>
          <w:numId w:val="16"/>
        </w:numPr>
        <w:rPr>
          <w:rFonts w:asciiTheme="minorHAnsi" w:hAnsiTheme="minorHAnsi"/>
        </w:rPr>
      </w:pPr>
      <w:bookmarkStart w:id="19" w:name="_Toc3759953"/>
      <w:bookmarkStart w:id="20" w:name="_Toc3804990"/>
      <w:bookmarkStart w:id="21" w:name="_Toc178586353"/>
      <w:r>
        <w:rPr>
          <w:rFonts w:asciiTheme="minorHAnsi" w:hAnsiTheme="minorHAnsi"/>
        </w:rPr>
        <w:t>Public-Private Partnerships</w:t>
      </w:r>
      <w:bookmarkEnd w:id="19"/>
      <w:bookmarkEnd w:id="20"/>
      <w:bookmarkEnd w:id="21"/>
    </w:p>
    <w:p w14:paraId="79E4D427" w14:textId="084EA91C" w:rsidR="0048711E" w:rsidRDefault="0048711E" w:rsidP="0048711E">
      <w:pPr>
        <w:jc w:val="both"/>
        <w:rPr>
          <w:color w:val="000000" w:themeColor="text1"/>
        </w:rPr>
      </w:pPr>
      <w:r>
        <w:rPr>
          <w:noProof/>
          <w:color w:val="000000" w:themeColor="text1"/>
        </w:rPr>
        <w:drawing>
          <wp:inline distT="0" distB="0" distL="0" distR="0" wp14:anchorId="00654E44" wp14:editId="7A0A46D6">
            <wp:extent cx="5963478" cy="814070"/>
            <wp:effectExtent l="19050" t="0" r="18415" b="0"/>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CE18321" w14:textId="666B1A69" w:rsidR="0048711E" w:rsidRPr="00251B39" w:rsidRDefault="0048711E" w:rsidP="5016F517">
      <w:pPr>
        <w:jc w:val="both"/>
        <w:rPr>
          <w:color w:val="000000" w:themeColor="text1"/>
          <w:sz w:val="18"/>
          <w:szCs w:val="18"/>
        </w:rPr>
      </w:pPr>
      <w:r>
        <w:rPr>
          <w:b/>
          <w:color w:val="000000" w:themeColor="text1"/>
          <w:sz w:val="18"/>
        </w:rPr>
        <w:t>A public-private partnership</w:t>
      </w:r>
      <w:r w:rsidRPr="47392C4E">
        <w:rPr>
          <w:rStyle w:val="Vresatsauce"/>
          <w:color w:val="000000" w:themeColor="text1"/>
          <w:sz w:val="18"/>
          <w:szCs w:val="18"/>
          <w:lang w:val="lv-LV"/>
        </w:rPr>
        <w:footnoteReference w:id="2"/>
      </w:r>
      <w:r>
        <w:rPr>
          <w:color w:val="000000" w:themeColor="text1"/>
          <w:sz w:val="18"/>
        </w:rPr>
        <w:t xml:space="preserve"> is a long-term cooperation between a public partner and a private partner aimed at meeting public needs in the execution of construction work or the provision of services</w:t>
      </w:r>
      <w:r w:rsidRPr="47392C4E">
        <w:rPr>
          <w:rStyle w:val="Vresatsauce"/>
          <w:color w:val="000000" w:themeColor="text1"/>
          <w:sz w:val="18"/>
          <w:szCs w:val="18"/>
          <w:lang w:val="lv-LV"/>
        </w:rPr>
        <w:footnoteReference w:id="3"/>
      </w:r>
      <w:r>
        <w:rPr>
          <w:color w:val="000000" w:themeColor="text1"/>
          <w:sz w:val="18"/>
        </w:rPr>
        <w:t>. PPPs are implemented on the basis of a Partnership Contract. One Partnership Contract may be concluded by one or more public partners and one or more private partners</w:t>
      </w:r>
      <w:r w:rsidRPr="47392C4E">
        <w:rPr>
          <w:rStyle w:val="Vresatsauce"/>
          <w:color w:val="000000" w:themeColor="text1"/>
          <w:sz w:val="18"/>
          <w:szCs w:val="18"/>
          <w:lang w:val="lv-LV"/>
        </w:rPr>
        <w:footnoteReference w:id="4"/>
      </w:r>
      <w:r>
        <w:rPr>
          <w:color w:val="000000" w:themeColor="text1"/>
          <w:sz w:val="18"/>
        </w:rPr>
        <w:t xml:space="preserve">. </w:t>
      </w:r>
    </w:p>
    <w:p w14:paraId="0CA82C0E" w14:textId="77777777" w:rsidR="0048711E" w:rsidRPr="00251B39" w:rsidRDefault="0048711E" w:rsidP="0048711E">
      <w:pPr>
        <w:jc w:val="both"/>
        <w:rPr>
          <w:color w:val="000000" w:themeColor="text1"/>
          <w:sz w:val="18"/>
        </w:rPr>
      </w:pPr>
      <w:r>
        <w:rPr>
          <w:color w:val="000000" w:themeColor="text1"/>
          <w:sz w:val="18"/>
        </w:rPr>
        <w:t>A</w:t>
      </w:r>
      <w:r>
        <w:rPr>
          <w:b/>
          <w:color w:val="000000" w:themeColor="text1"/>
          <w:sz w:val="18"/>
        </w:rPr>
        <w:t xml:space="preserve"> public partner</w:t>
      </w:r>
      <w:r>
        <w:rPr>
          <w:color w:val="000000" w:themeColor="text1"/>
          <w:sz w:val="18"/>
        </w:rPr>
        <w:t xml:space="preserve"> may be: </w:t>
      </w:r>
    </w:p>
    <w:p w14:paraId="2AAECB30" w14:textId="073258C4" w:rsidR="0048711E" w:rsidRPr="00251B39" w:rsidRDefault="0048711E" w:rsidP="008B6449">
      <w:pPr>
        <w:pStyle w:val="Sarakstarindkopa"/>
        <w:numPr>
          <w:ilvl w:val="0"/>
          <w:numId w:val="24"/>
        </w:numPr>
        <w:ind w:left="360"/>
        <w:jc w:val="both"/>
        <w:rPr>
          <w:color w:val="000000" w:themeColor="text1"/>
          <w:sz w:val="18"/>
        </w:rPr>
      </w:pPr>
      <w:r>
        <w:rPr>
          <w:color w:val="000000" w:themeColor="text1"/>
          <w:sz w:val="18"/>
        </w:rPr>
        <w:t xml:space="preserve">the State </w:t>
      </w:r>
    </w:p>
    <w:p w14:paraId="0EB5A976" w14:textId="31841A6A" w:rsidR="0048711E" w:rsidRPr="00251B39" w:rsidRDefault="0048711E" w:rsidP="008B6449">
      <w:pPr>
        <w:pStyle w:val="Sarakstarindkopa"/>
        <w:numPr>
          <w:ilvl w:val="0"/>
          <w:numId w:val="24"/>
        </w:numPr>
        <w:ind w:left="360"/>
        <w:jc w:val="both"/>
        <w:rPr>
          <w:color w:val="000000" w:themeColor="text1"/>
          <w:sz w:val="18"/>
        </w:rPr>
      </w:pPr>
      <w:r>
        <w:rPr>
          <w:color w:val="000000" w:themeColor="text1"/>
          <w:sz w:val="18"/>
        </w:rPr>
        <w:t>a local government or another derived legal person governed by public law</w:t>
      </w:r>
    </w:p>
    <w:p w14:paraId="6A32D01B" w14:textId="33F62BBA" w:rsidR="0048711E" w:rsidRPr="00251B39" w:rsidRDefault="0048711E" w:rsidP="008B6449">
      <w:pPr>
        <w:pStyle w:val="Sarakstarindkopa"/>
        <w:numPr>
          <w:ilvl w:val="0"/>
          <w:numId w:val="24"/>
        </w:numPr>
        <w:ind w:left="360"/>
        <w:jc w:val="both"/>
        <w:rPr>
          <w:color w:val="000000" w:themeColor="text1"/>
          <w:sz w:val="18"/>
          <w:szCs w:val="18"/>
        </w:rPr>
      </w:pPr>
      <w:r>
        <w:rPr>
          <w:color w:val="000000" w:themeColor="text1"/>
          <w:sz w:val="18"/>
        </w:rPr>
        <w:t>a legal person governed by private law which (i) has been established or is operating to ensure the needs of the public not having a commercial or industrial character (i.e. needs which are met otherwise than by goods and services on the market and which, for reasons related to those public needs, the State decides to meet itself or over which the State wishes to retain a decisive influence). Such public needs are generally identified in the areas of health, culture, heritage conservation, the construction and operation of infrastructure, and a range of other construction and service activities that meet the common needs of society)</w:t>
      </w:r>
      <w:r w:rsidRPr="50721EAF">
        <w:rPr>
          <w:rStyle w:val="Vresatsauce"/>
          <w:color w:val="000000" w:themeColor="text1"/>
          <w:sz w:val="18"/>
          <w:szCs w:val="18"/>
          <w:lang w:val="lv-LV"/>
        </w:rPr>
        <w:footnoteReference w:id="5"/>
      </w:r>
      <w:r>
        <w:rPr>
          <w:color w:val="000000" w:themeColor="text1"/>
          <w:sz w:val="18"/>
        </w:rPr>
        <w:t xml:space="preserve">, or (ii) is subordinate to or under the decisive influence of the State, derived public entity or another legal person governed by private law satisfying the criteria referred to in this Sub-clause (c) and activity of which is financed, by more than 50%, by the State, a derived public entity, or such legal person governed by private law which satisfies the criteria referred to in this Sub-clause (c) </w:t>
      </w:r>
    </w:p>
    <w:p w14:paraId="3A669D83" w14:textId="05F84289" w:rsidR="0048711E" w:rsidRPr="00251B39" w:rsidRDefault="0048711E" w:rsidP="008B6449">
      <w:pPr>
        <w:pStyle w:val="Sarakstarindkopa"/>
        <w:numPr>
          <w:ilvl w:val="0"/>
          <w:numId w:val="24"/>
        </w:numPr>
        <w:ind w:left="360"/>
        <w:jc w:val="both"/>
        <w:rPr>
          <w:color w:val="000000" w:themeColor="text1"/>
          <w:sz w:val="18"/>
        </w:rPr>
      </w:pPr>
      <w:r>
        <w:rPr>
          <w:color w:val="000000" w:themeColor="text1"/>
          <w:sz w:val="18"/>
        </w:rPr>
        <w:t>an association or a foundation in which all members or founders are the persons referred to in Sub-clause (a), (b) or (c) of this Clause</w:t>
      </w:r>
    </w:p>
    <w:p w14:paraId="0DB56E2E" w14:textId="201D2B95" w:rsidR="0048711E" w:rsidRPr="00251B39" w:rsidRDefault="0048711E" w:rsidP="008B6449">
      <w:pPr>
        <w:pStyle w:val="Sarakstarindkopa"/>
        <w:numPr>
          <w:ilvl w:val="0"/>
          <w:numId w:val="24"/>
        </w:numPr>
        <w:ind w:left="360"/>
        <w:jc w:val="both"/>
        <w:rPr>
          <w:color w:val="000000" w:themeColor="text1"/>
          <w:sz w:val="18"/>
          <w:szCs w:val="18"/>
        </w:rPr>
      </w:pPr>
      <w:r>
        <w:rPr>
          <w:color w:val="000000" w:themeColor="text1"/>
          <w:sz w:val="18"/>
        </w:rPr>
        <w:t>a public service provider</w:t>
      </w:r>
      <w:r w:rsidRPr="5016F517">
        <w:rPr>
          <w:rStyle w:val="Vresatsauce"/>
          <w:color w:val="000000" w:themeColor="text1"/>
          <w:sz w:val="18"/>
          <w:szCs w:val="18"/>
          <w:lang w:val="lv-LV"/>
        </w:rPr>
        <w:footnoteReference w:id="6"/>
      </w:r>
      <w:r>
        <w:rPr>
          <w:color w:val="000000" w:themeColor="text1"/>
          <w:sz w:val="18"/>
        </w:rPr>
        <w:t xml:space="preserve"> </w:t>
      </w:r>
    </w:p>
    <w:p w14:paraId="0450880C" w14:textId="0C74DED0" w:rsidR="0048711E" w:rsidRPr="00251B39" w:rsidRDefault="0048711E" w:rsidP="5016F517">
      <w:pPr>
        <w:jc w:val="both"/>
        <w:rPr>
          <w:color w:val="000000" w:themeColor="text1"/>
          <w:sz w:val="18"/>
          <w:szCs w:val="18"/>
        </w:rPr>
      </w:pPr>
      <w:r>
        <w:rPr>
          <w:color w:val="000000" w:themeColor="text1"/>
          <w:sz w:val="18"/>
        </w:rPr>
        <w:t xml:space="preserve">A </w:t>
      </w:r>
      <w:r>
        <w:rPr>
          <w:b/>
          <w:color w:val="000000" w:themeColor="text1"/>
          <w:sz w:val="18"/>
        </w:rPr>
        <w:t>private partner</w:t>
      </w:r>
      <w:r>
        <w:rPr>
          <w:color w:val="000000" w:themeColor="text1"/>
          <w:sz w:val="18"/>
        </w:rPr>
        <w:t xml:space="preserve"> is a legal person governed by private law with which the public partner has concluded a public-private partnership contract. A private partner may be a special purpose entity established by the private partner for the purposes of a specific PPP project, or a joint venture established jointly by the public partner and the private partner for the purposes of a PPP project.</w:t>
      </w:r>
      <w:r w:rsidRPr="5016F517">
        <w:rPr>
          <w:rStyle w:val="Vresatsauce"/>
          <w:color w:val="000000" w:themeColor="text1"/>
          <w:sz w:val="18"/>
          <w:szCs w:val="18"/>
          <w:lang w:val="lv-LV"/>
        </w:rPr>
        <w:footnoteReference w:id="7"/>
      </w:r>
    </w:p>
    <w:p w14:paraId="207FE3B7" w14:textId="2AB277BA" w:rsidR="0048711E" w:rsidRPr="00251B39" w:rsidRDefault="0048711E" w:rsidP="50721EAF">
      <w:pPr>
        <w:jc w:val="both"/>
        <w:rPr>
          <w:color w:val="000000" w:themeColor="text1"/>
          <w:sz w:val="18"/>
          <w:szCs w:val="18"/>
        </w:rPr>
      </w:pPr>
      <w:r>
        <w:rPr>
          <w:color w:val="000000" w:themeColor="text1"/>
          <w:sz w:val="18"/>
        </w:rPr>
        <w:t>A</w:t>
      </w:r>
      <w:r>
        <w:rPr>
          <w:b/>
          <w:color w:val="000000" w:themeColor="text1"/>
          <w:sz w:val="18"/>
        </w:rPr>
        <w:t xml:space="preserve"> Partnership Contract</w:t>
      </w:r>
      <w:r>
        <w:rPr>
          <w:color w:val="000000" w:themeColor="text1"/>
          <w:sz w:val="18"/>
        </w:rPr>
        <w:t xml:space="preserve"> is a civil contract in writing, usually for a time period of more than five years</w:t>
      </w:r>
      <w:r w:rsidRPr="50721EAF">
        <w:rPr>
          <w:rStyle w:val="Vresatsauce"/>
          <w:color w:val="000000" w:themeColor="text1"/>
          <w:sz w:val="18"/>
          <w:szCs w:val="18"/>
          <w:lang w:val="lv-LV"/>
        </w:rPr>
        <w:footnoteReference w:id="8"/>
      </w:r>
      <w:r>
        <w:rPr>
          <w:color w:val="000000" w:themeColor="text1"/>
          <w:sz w:val="18"/>
        </w:rPr>
        <w:t>, but not more than 30 years</w:t>
      </w:r>
      <w:r w:rsidRPr="50721EAF">
        <w:rPr>
          <w:rStyle w:val="Vresatsauce"/>
          <w:color w:val="000000" w:themeColor="text1"/>
          <w:sz w:val="18"/>
          <w:szCs w:val="18"/>
          <w:lang w:val="lv-LV"/>
        </w:rPr>
        <w:footnoteReference w:id="9"/>
      </w:r>
      <w:r>
        <w:rPr>
          <w:color w:val="000000" w:themeColor="text1"/>
          <w:sz w:val="18"/>
        </w:rPr>
        <w:t xml:space="preserve">. A Partnership Contract may be concluded for a time period that exceeds 30 years if it is necessary for the purpose of the Contract and the results to be achieved that are justified </w:t>
      </w:r>
      <w:r>
        <w:rPr>
          <w:color w:val="000000" w:themeColor="text1"/>
          <w:sz w:val="18"/>
        </w:rPr>
        <w:lastRenderedPageBreak/>
        <w:t>by financial and economic calculations (FEC)</w:t>
      </w:r>
      <w:r w:rsidRPr="50721EAF">
        <w:rPr>
          <w:rStyle w:val="Vresatsauce"/>
          <w:color w:val="000000" w:themeColor="text1"/>
          <w:sz w:val="18"/>
          <w:szCs w:val="18"/>
          <w:lang w:val="lv-LV"/>
        </w:rPr>
        <w:footnoteReference w:id="10"/>
      </w:r>
      <w:r>
        <w:rPr>
          <w:color w:val="000000" w:themeColor="text1"/>
          <w:sz w:val="18"/>
        </w:rPr>
        <w:t xml:space="preserve"> (e.g. projects for the construction and operation of railway or metro infrastructure requiring a particularly high level of investment). </w:t>
      </w:r>
    </w:p>
    <w:p w14:paraId="654FB586" w14:textId="77777777" w:rsidR="0048711E" w:rsidRPr="00251B39" w:rsidRDefault="0048711E" w:rsidP="0048711E">
      <w:pPr>
        <w:jc w:val="both"/>
        <w:rPr>
          <w:color w:val="000000" w:themeColor="text1"/>
          <w:sz w:val="18"/>
        </w:rPr>
      </w:pPr>
      <w:r>
        <w:rPr>
          <w:color w:val="000000" w:themeColor="text1"/>
          <w:sz w:val="18"/>
        </w:rPr>
        <w:t>In order to achieve the PPP's objective and intended result, the public partner and the private partner pool and use the resources available to them, such as property, financial resources, knowledge, experience. The public and private partner share the responsibility and risks under a Partnership Contract.</w:t>
      </w:r>
      <w:r w:rsidRPr="00251B39">
        <w:rPr>
          <w:rStyle w:val="Vresatsauce"/>
          <w:color w:val="000000" w:themeColor="text1"/>
          <w:sz w:val="18"/>
          <w:lang w:val="lv-LV"/>
        </w:rPr>
        <w:footnoteReference w:id="11"/>
      </w:r>
    </w:p>
    <w:p w14:paraId="3DF3D1E9" w14:textId="1A1DB43F" w:rsidR="0048711E" w:rsidRPr="00251B39" w:rsidRDefault="0048711E" w:rsidP="0048711E">
      <w:pPr>
        <w:jc w:val="both"/>
        <w:rPr>
          <w:color w:val="000000" w:themeColor="text1"/>
          <w:sz w:val="18"/>
        </w:rPr>
      </w:pPr>
      <w:r>
        <w:rPr>
          <w:color w:val="000000" w:themeColor="text1"/>
          <w:sz w:val="18"/>
        </w:rPr>
        <w:t xml:space="preserve">A Partnership Contract usually combines as equivalent and integral components the performance of a number of works or the provision of services that are traditionally performed or provided under separate, stand-alone contracts. The specific nature, different underlying principles and implementation of a Partnership Contract require in-depth understanding and experience in the planning, organisation, management, finance </w:t>
      </w:r>
      <w:r w:rsidR="00D52A77">
        <w:rPr>
          <w:color w:val="000000" w:themeColor="text1"/>
          <w:sz w:val="18"/>
        </w:rPr>
        <w:t>attracting</w:t>
      </w:r>
      <w:r>
        <w:rPr>
          <w:color w:val="000000" w:themeColor="text1"/>
          <w:sz w:val="18"/>
        </w:rPr>
        <w:t>, liability and risk allocation of PPPs. The usually mutually separated works and services under a Partnership Contract are to be carried out in a coordinated manner, which also sets the basic framework for the allocation of responsibilities and risks between the public partner and the private partner.</w:t>
      </w:r>
    </w:p>
    <w:p w14:paraId="4DC8B7A1" w14:textId="2FAB36BF" w:rsidR="0048711E" w:rsidRPr="00251B39" w:rsidRDefault="0048711E" w:rsidP="0048711E">
      <w:pPr>
        <w:jc w:val="both"/>
        <w:rPr>
          <w:color w:val="000000" w:themeColor="text1"/>
          <w:sz w:val="18"/>
        </w:rPr>
      </w:pPr>
      <w:r>
        <w:rPr>
          <w:color w:val="000000" w:themeColor="text1"/>
          <w:sz w:val="18"/>
        </w:rPr>
        <w:t xml:space="preserve">An </w:t>
      </w:r>
      <w:r>
        <w:rPr>
          <w:b/>
          <w:bCs/>
          <w:color w:val="000000" w:themeColor="text1"/>
          <w:sz w:val="18"/>
        </w:rPr>
        <w:t>Information Exchange Agreement</w:t>
      </w:r>
      <w:r>
        <w:rPr>
          <w:color w:val="000000" w:themeColor="text1"/>
          <w:sz w:val="18"/>
        </w:rPr>
        <w:t xml:space="preserve"> shall be concluded additionally to the Partnership Contract in cases where a financier is involved in the PPP. The Information Exchange Agreement regulates the exchange of information between the public partner and the financier on the private partner's performance under a Partnership Contract and a Financing Contract. It usually sets out the procedures for the financier to exercise its right of intervention in case the public partner decides to terminate or unilaterally withdraw from the Partnership Contract.</w:t>
      </w:r>
    </w:p>
    <w:p w14:paraId="432CD15A" w14:textId="48AA43D8" w:rsidR="6F01107F" w:rsidRDefault="5F33FD79" w:rsidP="6F01107F">
      <w:pPr>
        <w:jc w:val="both"/>
        <w:rPr>
          <w:color w:val="000000" w:themeColor="text1"/>
          <w:sz w:val="18"/>
          <w:szCs w:val="18"/>
        </w:rPr>
      </w:pPr>
      <w:r>
        <w:rPr>
          <w:color w:val="000000" w:themeColor="text1"/>
          <w:sz w:val="18"/>
        </w:rPr>
        <w:t>In Latvia, PPPs are primarily regulated by the PPP Law. Its purpose is public-private cooperation, making efficient use of the resources of both sectors to meet public needs; ensuring openness in the Concession Procedure, free competition between private partners and their equal and fair treatment. In addition, the PPP Law aims at transparency in the performance of the Partnership Contract and at facilitating the fulfilment of the obligations set out therein until the end of the term of the Partnership Contract, by promoting the continuity of the construction works and/or services provided for in the Partnership Contract.</w:t>
      </w:r>
    </w:p>
    <w:p w14:paraId="2839691E" w14:textId="77777777" w:rsidR="0048711E" w:rsidRPr="00251B39" w:rsidRDefault="50721EAF" w:rsidP="50721EAF">
      <w:pPr>
        <w:jc w:val="both"/>
        <w:rPr>
          <w:color w:val="000000" w:themeColor="text1"/>
          <w:sz w:val="18"/>
          <w:szCs w:val="18"/>
        </w:rPr>
      </w:pPr>
      <w:r>
        <w:rPr>
          <w:color w:val="000000" w:themeColor="text1"/>
          <w:sz w:val="18"/>
        </w:rPr>
        <w:t xml:space="preserve">PPPs are regulated by the following </w:t>
      </w:r>
      <w:r>
        <w:rPr>
          <w:b/>
          <w:color w:val="000000" w:themeColor="text1"/>
          <w:sz w:val="18"/>
        </w:rPr>
        <w:t>key laws and regulations</w:t>
      </w:r>
      <w:r>
        <w:rPr>
          <w:color w:val="000000" w:themeColor="text1"/>
          <w:sz w:val="18"/>
        </w:rPr>
        <w:t xml:space="preserve"> (the list is not exhaustive):</w:t>
      </w:r>
    </w:p>
    <w:p w14:paraId="3D825E45" w14:textId="00988273"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State Administration Structure Law</w:t>
      </w:r>
    </w:p>
    <w:p w14:paraId="4D6743A6" w14:textId="75D113AC"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Civil Law</w:t>
      </w:r>
    </w:p>
    <w:p w14:paraId="0D9B1531" w14:textId="70EC9988"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Commercial Law</w:t>
      </w:r>
    </w:p>
    <w:p w14:paraId="1188C322" w14:textId="3FCAD8F0"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 xml:space="preserve">Law on Public-Private Partnership </w:t>
      </w:r>
    </w:p>
    <w:p w14:paraId="46B2AA05" w14:textId="63F143A1"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 xml:space="preserve">Competition Law </w:t>
      </w:r>
    </w:p>
    <w:p w14:paraId="4F316446" w14:textId="39BC6C87"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 xml:space="preserve">Law on Control of Aid for Commercial Activity </w:t>
      </w:r>
    </w:p>
    <w:p w14:paraId="34E09ED5" w14:textId="0C9C463F"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 xml:space="preserve">Law on Prevention of Squandering of the Financial Resources and Property of a Public Entity </w:t>
      </w:r>
    </w:p>
    <w:p w14:paraId="283A1D35" w14:textId="623F9223"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Law on Governance of Capital Shares of Public Entity and Management of Capital Companies Thereof</w:t>
      </w:r>
    </w:p>
    <w:p w14:paraId="587F4D33" w14:textId="3BD62BD8"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Public Procurement Law</w:t>
      </w:r>
    </w:p>
    <w:p w14:paraId="26C17A4A" w14:textId="225CE339"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 xml:space="preserve">Law on the Procurements of Public Service Providers </w:t>
      </w:r>
    </w:p>
    <w:p w14:paraId="677D3DC6" w14:textId="6085CECE"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Law on Procurements in the Field of Defence and Security</w:t>
      </w:r>
    </w:p>
    <w:p w14:paraId="4AB7CD6A" w14:textId="085BB185"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Cabinet Regulation of 28 February 2017 No. 107 "Tendering Procedures for Procurement Procedures and Design Contests"</w:t>
      </w:r>
    </w:p>
    <w:p w14:paraId="08503859" w14:textId="40B5F862"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Cabinet Regulation of 20 June 2017 No. 353 "Requirements for Green Public Procurement and Procedures for Application"</w:t>
      </w:r>
    </w:p>
    <w:p w14:paraId="088E63D6" w14:textId="2006A2DE"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Cabinet Regulation of 28 February 2017 No. 105 "Regulations Regarding Thresholds of Contract Prices of Public Procurements"</w:t>
      </w:r>
    </w:p>
    <w:p w14:paraId="51B35673" w14:textId="37C29785"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lastRenderedPageBreak/>
        <w:t>Cabinet Regulation of 6 October 2009 No. 1152 "Procedure for the Conduct of Financial and Economic Calculations, Determination of the Type of a Public-Private Partnership Contract and the Provision of an Opinion Regarding Financial and Economic Calculations"</w:t>
      </w:r>
    </w:p>
    <w:p w14:paraId="6808521E" w14:textId="0AB66812" w:rsidR="0048711E" w:rsidRPr="00251B39" w:rsidRDefault="0048711E" w:rsidP="008B6449">
      <w:pPr>
        <w:pStyle w:val="Sarakstarindkopa"/>
        <w:numPr>
          <w:ilvl w:val="0"/>
          <w:numId w:val="25"/>
        </w:numPr>
        <w:ind w:left="450" w:hanging="450"/>
        <w:jc w:val="both"/>
        <w:rPr>
          <w:color w:val="000000" w:themeColor="text1"/>
          <w:sz w:val="18"/>
        </w:rPr>
      </w:pPr>
      <w:r>
        <w:rPr>
          <w:color w:val="000000" w:themeColor="text1"/>
          <w:sz w:val="18"/>
        </w:rPr>
        <w:t xml:space="preserve">Cabinet Regulation of 20 October 2009 No. 1216 "Regulations on the Activities of the </w:t>
      </w:r>
      <w:r w:rsidR="00710267">
        <w:rPr>
          <w:color w:val="000000" w:themeColor="text1"/>
          <w:sz w:val="18"/>
        </w:rPr>
        <w:t xml:space="preserve">Monitoring </w:t>
      </w:r>
      <w:r>
        <w:rPr>
          <w:color w:val="000000" w:themeColor="text1"/>
          <w:sz w:val="18"/>
        </w:rPr>
        <w:t>Authority and Reporting on the Performance of the Contract by the Public Partner or its Representative"</w:t>
      </w:r>
      <w:r w:rsidR="00BE285C">
        <w:rPr>
          <w:color w:val="000000" w:themeColor="text1"/>
          <w:sz w:val="18"/>
        </w:rPr>
        <w:t>.</w:t>
      </w:r>
    </w:p>
    <w:p w14:paraId="70EE09A1" w14:textId="174526D2" w:rsidR="0048711E" w:rsidRPr="001032D5" w:rsidRDefault="0048711E" w:rsidP="008B6449">
      <w:pPr>
        <w:pStyle w:val="Virsraksts2"/>
        <w:numPr>
          <w:ilvl w:val="1"/>
          <w:numId w:val="16"/>
        </w:numPr>
        <w:rPr>
          <w:rFonts w:asciiTheme="minorHAnsi" w:hAnsiTheme="minorHAnsi"/>
        </w:rPr>
      </w:pPr>
      <w:bookmarkStart w:id="22" w:name="_Toc3759954"/>
      <w:bookmarkStart w:id="23" w:name="_Toc3804991"/>
      <w:bookmarkStart w:id="24" w:name="_Toc178586354"/>
      <w:r>
        <w:rPr>
          <w:rFonts w:asciiTheme="minorHAnsi" w:hAnsiTheme="minorHAnsi"/>
        </w:rPr>
        <w:t xml:space="preserve">PPP </w:t>
      </w:r>
      <w:r w:rsidR="00A80C38">
        <w:rPr>
          <w:rFonts w:asciiTheme="minorHAnsi" w:hAnsiTheme="minorHAnsi"/>
        </w:rPr>
        <w:t>A</w:t>
      </w:r>
      <w:r>
        <w:rPr>
          <w:rFonts w:asciiTheme="minorHAnsi" w:hAnsiTheme="minorHAnsi"/>
        </w:rPr>
        <w:t>rrangements</w:t>
      </w:r>
      <w:bookmarkEnd w:id="22"/>
      <w:bookmarkEnd w:id="23"/>
      <w:bookmarkEnd w:id="24"/>
    </w:p>
    <w:p w14:paraId="76F4514F" w14:textId="48191ED6" w:rsidR="0048711E" w:rsidRPr="00251B39" w:rsidRDefault="0048711E" w:rsidP="0048711E">
      <w:pPr>
        <w:rPr>
          <w:color w:val="000000" w:themeColor="text1"/>
          <w:sz w:val="18"/>
          <w:szCs w:val="18"/>
        </w:rPr>
      </w:pPr>
      <w:r>
        <w:rPr>
          <w:noProof/>
          <w:color w:val="000000" w:themeColor="text1"/>
          <w:sz w:val="18"/>
        </w:rPr>
        <w:drawing>
          <wp:inline distT="0" distB="0" distL="0" distR="0" wp14:anchorId="247F46D6" wp14:editId="53218FA0">
            <wp:extent cx="6019137" cy="814070"/>
            <wp:effectExtent l="19050" t="0" r="20320" b="0"/>
            <wp:docPr id="135" name="Diagram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5E02C3A" w14:textId="735C122F" w:rsidR="0048711E" w:rsidRPr="00251B39" w:rsidRDefault="0048711E" w:rsidP="0048711E">
      <w:pPr>
        <w:rPr>
          <w:color w:val="000000" w:themeColor="text1"/>
          <w:sz w:val="18"/>
          <w:szCs w:val="18"/>
        </w:rPr>
      </w:pPr>
      <w:r>
        <w:rPr>
          <w:color w:val="000000" w:themeColor="text1"/>
          <w:sz w:val="18"/>
        </w:rPr>
        <w:t xml:space="preserve">PPP can be implemented through one of the following three </w:t>
      </w:r>
      <w:r>
        <w:rPr>
          <w:b/>
          <w:color w:val="000000" w:themeColor="text1"/>
          <w:sz w:val="18"/>
        </w:rPr>
        <w:t>PPP arrangements</w:t>
      </w:r>
      <w:r>
        <w:rPr>
          <w:color w:val="000000" w:themeColor="text1"/>
          <w:sz w:val="18"/>
        </w:rPr>
        <w:t>:</w:t>
      </w:r>
    </w:p>
    <w:p w14:paraId="540D6F88" w14:textId="761707AA" w:rsidR="0048711E" w:rsidRPr="00251B39" w:rsidRDefault="0048711E" w:rsidP="008B6449">
      <w:pPr>
        <w:pStyle w:val="Sarakstarindkopa"/>
        <w:numPr>
          <w:ilvl w:val="0"/>
          <w:numId w:val="26"/>
        </w:numPr>
        <w:ind w:left="360"/>
        <w:jc w:val="both"/>
        <w:rPr>
          <w:color w:val="000000" w:themeColor="text1"/>
          <w:sz w:val="18"/>
          <w:szCs w:val="18"/>
        </w:rPr>
      </w:pPr>
      <w:r>
        <w:rPr>
          <w:b/>
          <w:color w:val="000000" w:themeColor="text1"/>
          <w:sz w:val="18"/>
        </w:rPr>
        <w:t xml:space="preserve">Contractual public-private partnership </w:t>
      </w:r>
      <w:r>
        <w:rPr>
          <w:color w:val="000000" w:themeColor="text1"/>
          <w:sz w:val="18"/>
        </w:rPr>
        <w:t>(hereinafter - Contractual PPP). One of the most common PPP arrangements is Contractual PPP. Under it, the public partner and the private partner cooperate by concluding and implementing a Partnership Contract. The subject-matter of a Contractual PPP may be the execution of construction works and/or the provision of services using any of the PPP arrangements and PPP</w:t>
      </w:r>
      <w:r w:rsidR="00E76550">
        <w:rPr>
          <w:color w:val="000000" w:themeColor="text1"/>
          <w:sz w:val="18"/>
        </w:rPr>
        <w:t xml:space="preserve"> </w:t>
      </w:r>
      <w:r>
        <w:rPr>
          <w:color w:val="000000" w:themeColor="text1"/>
          <w:sz w:val="18"/>
          <w:shd w:val="clear" w:color="auto" w:fill="E6E6E6"/>
        </w:rPr>
        <w:t>models</w:t>
      </w:r>
      <w:r>
        <w:rPr>
          <w:color w:val="000000" w:themeColor="text1"/>
          <w:sz w:val="18"/>
        </w:rPr>
        <w:t xml:space="preserve"> set out in paragraphs (a) to (k) below.</w:t>
      </w:r>
    </w:p>
    <w:p w14:paraId="227C92AB" w14:textId="56600158" w:rsidR="0048711E" w:rsidRPr="00251B39" w:rsidRDefault="03904FBB" w:rsidP="008B6449">
      <w:pPr>
        <w:pStyle w:val="Sarakstarindkopa"/>
        <w:numPr>
          <w:ilvl w:val="0"/>
          <w:numId w:val="26"/>
        </w:numPr>
        <w:ind w:left="360"/>
        <w:jc w:val="both"/>
        <w:rPr>
          <w:color w:val="000000" w:themeColor="text1"/>
          <w:sz w:val="18"/>
          <w:szCs w:val="18"/>
        </w:rPr>
      </w:pPr>
      <w:r>
        <w:rPr>
          <w:b/>
          <w:color w:val="000000" w:themeColor="text1"/>
          <w:sz w:val="18"/>
        </w:rPr>
        <w:t>Concession</w:t>
      </w:r>
      <w:r>
        <w:rPr>
          <w:color w:val="000000" w:themeColor="text1"/>
          <w:sz w:val="18"/>
        </w:rPr>
        <w:t xml:space="preserve">. A PPP arrangement implemented on the basis of a Concession Contract. Under it, the private partner carries out construction works (which may include design works), builds a structure or provides services in accordance with the public partner's requirements, assumes the risks associated with the exploitation of the structure or services and, in return, acquires the right to exploit the structure or services with or without additional payment from the public partner. In the case of a Concession, the private partner (concessionaire) takes the risk of building and exploiting a structure or providing a service to the public, receiving remuneration from the users of the structure or service (e.g. a public building for public use (multi-purpose centre, concert hall, museum, etc.). </w:t>
      </w:r>
    </w:p>
    <w:p w14:paraId="201370EE" w14:textId="77777777" w:rsidR="0048711E" w:rsidRPr="00251B39" w:rsidRDefault="0048711E" w:rsidP="008B6449">
      <w:pPr>
        <w:pStyle w:val="Sarakstarindkopa"/>
        <w:numPr>
          <w:ilvl w:val="0"/>
          <w:numId w:val="26"/>
        </w:numPr>
        <w:ind w:left="360"/>
        <w:jc w:val="both"/>
        <w:rPr>
          <w:color w:val="000000" w:themeColor="text1"/>
          <w:sz w:val="18"/>
          <w:szCs w:val="18"/>
        </w:rPr>
      </w:pPr>
      <w:r>
        <w:rPr>
          <w:b/>
          <w:color w:val="000000" w:themeColor="text1"/>
          <w:sz w:val="18"/>
        </w:rPr>
        <w:t>Institutional public-private partnership</w:t>
      </w:r>
      <w:r>
        <w:rPr>
          <w:color w:val="000000" w:themeColor="text1"/>
          <w:sz w:val="18"/>
        </w:rPr>
        <w:t xml:space="preserve"> (hereinafter - Institutional PPP). In an Institutional PPP, the public partner and the private partner cooperate to form a joint venture, entering into a Partnership Contract as a private partner. Before using an Institutional PPP, the eligibility of the public partner to engage in the planned commercial activity shall be assessed</w:t>
      </w:r>
      <w:r w:rsidRPr="00251B39">
        <w:rPr>
          <w:rStyle w:val="Vresatsauce"/>
          <w:color w:val="000000" w:themeColor="text1"/>
          <w:sz w:val="18"/>
          <w:szCs w:val="18"/>
          <w:lang w:val="lv-LV"/>
        </w:rPr>
        <w:footnoteReference w:id="12"/>
      </w:r>
      <w:r>
        <w:rPr>
          <w:color w:val="000000" w:themeColor="text1"/>
          <w:sz w:val="18"/>
        </w:rPr>
        <w:t xml:space="preserve"> (see Chapter 1.7). </w:t>
      </w:r>
    </w:p>
    <w:p w14:paraId="24E026E4" w14:textId="77777777" w:rsidR="0048711E" w:rsidRPr="00251B39" w:rsidRDefault="0048711E" w:rsidP="0048711E">
      <w:pPr>
        <w:jc w:val="both"/>
        <w:rPr>
          <w:color w:val="000000" w:themeColor="text1"/>
          <w:sz w:val="18"/>
          <w:szCs w:val="18"/>
        </w:rPr>
      </w:pPr>
      <w:r>
        <w:rPr>
          <w:color w:val="000000" w:themeColor="text1"/>
          <w:sz w:val="18"/>
        </w:rPr>
        <w:t xml:space="preserve">In practice, a number of </w:t>
      </w:r>
      <w:r>
        <w:rPr>
          <w:b/>
          <w:color w:val="000000" w:themeColor="text1"/>
          <w:sz w:val="18"/>
        </w:rPr>
        <w:t>PPP models</w:t>
      </w:r>
      <w:r w:rsidRPr="00251B39">
        <w:rPr>
          <w:rStyle w:val="Vresatsauce"/>
          <w:color w:val="000000" w:themeColor="text1"/>
          <w:sz w:val="18"/>
          <w:szCs w:val="18"/>
          <w:lang w:val="lv-LV"/>
        </w:rPr>
        <w:footnoteReference w:id="13"/>
      </w:r>
      <w:r>
        <w:rPr>
          <w:b/>
          <w:color w:val="000000" w:themeColor="text1"/>
          <w:sz w:val="18"/>
        </w:rPr>
        <w:t xml:space="preserve"> </w:t>
      </w:r>
      <w:r>
        <w:rPr>
          <w:color w:val="000000" w:themeColor="text1"/>
          <w:sz w:val="18"/>
        </w:rPr>
        <w:t>have already been developed, which, if structured and designed accordingly, can be implemented within each PPP arrangement (the list is not exhaustive):</w:t>
      </w:r>
    </w:p>
    <w:p w14:paraId="4640B6CB" w14:textId="3DE3DF4A"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FO</w:t>
      </w:r>
      <w:r>
        <w:rPr>
          <w:color w:val="000000" w:themeColor="text1"/>
          <w:sz w:val="18"/>
        </w:rPr>
        <w:t xml:space="preserve">: Finance Only </w:t>
      </w:r>
    </w:p>
    <w:p w14:paraId="3BB16BE7" w14:textId="69FA0015"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DBM</w:t>
      </w:r>
      <w:r>
        <w:rPr>
          <w:color w:val="000000" w:themeColor="text1"/>
          <w:sz w:val="18"/>
        </w:rPr>
        <w:t xml:space="preserve">: Design, Build, Maintain </w:t>
      </w:r>
    </w:p>
    <w:p w14:paraId="208554D0" w14:textId="36E21C8A"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DBO</w:t>
      </w:r>
      <w:r>
        <w:rPr>
          <w:color w:val="000000" w:themeColor="text1"/>
          <w:sz w:val="18"/>
        </w:rPr>
        <w:t xml:space="preserve">: Design, Build, Operate </w:t>
      </w:r>
    </w:p>
    <w:p w14:paraId="36136583" w14:textId="1B6DBE17"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BBO</w:t>
      </w:r>
      <w:r>
        <w:rPr>
          <w:color w:val="000000" w:themeColor="text1"/>
          <w:sz w:val="18"/>
        </w:rPr>
        <w:t xml:space="preserve">: Buy, Build, Operate </w:t>
      </w:r>
    </w:p>
    <w:p w14:paraId="212A240A" w14:textId="5C2237AB"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BOT</w:t>
      </w:r>
      <w:r>
        <w:rPr>
          <w:color w:val="000000" w:themeColor="text1"/>
          <w:sz w:val="18"/>
        </w:rPr>
        <w:t xml:space="preserve">: Build, Operate, Transfer </w:t>
      </w:r>
    </w:p>
    <w:p w14:paraId="68B5581D" w14:textId="27BE879E"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LDO</w:t>
      </w:r>
      <w:r>
        <w:rPr>
          <w:color w:val="000000" w:themeColor="text1"/>
          <w:sz w:val="18"/>
        </w:rPr>
        <w:t xml:space="preserve">: Lease, Develop, Operate </w:t>
      </w:r>
    </w:p>
    <w:p w14:paraId="1002517D" w14:textId="536592D6"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BLOT</w:t>
      </w:r>
      <w:r>
        <w:rPr>
          <w:color w:val="000000" w:themeColor="text1"/>
          <w:sz w:val="18"/>
        </w:rPr>
        <w:t xml:space="preserve">: Build, Lease, Operate, Transfer </w:t>
      </w:r>
    </w:p>
    <w:p w14:paraId="43FCF30A" w14:textId="7ABEFECB"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DBFM</w:t>
      </w:r>
      <w:r>
        <w:rPr>
          <w:color w:val="000000" w:themeColor="text1"/>
          <w:sz w:val="18"/>
        </w:rPr>
        <w:t xml:space="preserve">: Design, Build, Finance, Maintain </w:t>
      </w:r>
    </w:p>
    <w:p w14:paraId="5A049D2C" w14:textId="0C41B6E6"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DBFO</w:t>
      </w:r>
      <w:r>
        <w:rPr>
          <w:color w:val="000000" w:themeColor="text1"/>
          <w:sz w:val="18"/>
        </w:rPr>
        <w:t>: Design, Build, Finance, Operate</w:t>
      </w:r>
    </w:p>
    <w:p w14:paraId="7E0E9951" w14:textId="5012407D"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CBFO</w:t>
      </w:r>
      <w:r>
        <w:rPr>
          <w:color w:val="000000" w:themeColor="text1"/>
          <w:sz w:val="18"/>
        </w:rPr>
        <w:t xml:space="preserve">: Conserve, Build, Finance, Operate </w:t>
      </w:r>
    </w:p>
    <w:p w14:paraId="111CADB1" w14:textId="6740D852" w:rsidR="0048711E" w:rsidRPr="00251B39" w:rsidRDefault="0048711E" w:rsidP="008B6449">
      <w:pPr>
        <w:pStyle w:val="Sarakstarindkopa"/>
        <w:numPr>
          <w:ilvl w:val="0"/>
          <w:numId w:val="27"/>
        </w:numPr>
        <w:ind w:left="360"/>
        <w:jc w:val="both"/>
        <w:rPr>
          <w:color w:val="000000" w:themeColor="text1"/>
          <w:sz w:val="18"/>
          <w:szCs w:val="18"/>
        </w:rPr>
      </w:pPr>
      <w:r>
        <w:rPr>
          <w:b/>
          <w:color w:val="000000" w:themeColor="text1"/>
          <w:sz w:val="18"/>
        </w:rPr>
        <w:t>DBFOOT</w:t>
      </w:r>
      <w:r>
        <w:rPr>
          <w:color w:val="000000" w:themeColor="text1"/>
          <w:sz w:val="18"/>
        </w:rPr>
        <w:t xml:space="preserve">: Design, Build, Finance, Own, Operate, Transfer </w:t>
      </w:r>
    </w:p>
    <w:p w14:paraId="14401D1F" w14:textId="77777777" w:rsidR="0048711E" w:rsidRPr="00251B39" w:rsidRDefault="0048711E" w:rsidP="0048711E">
      <w:pPr>
        <w:jc w:val="both"/>
        <w:rPr>
          <w:color w:val="000000" w:themeColor="text1"/>
          <w:sz w:val="18"/>
          <w:szCs w:val="18"/>
          <w:lang w:val="lv-LV"/>
        </w:rPr>
      </w:pPr>
    </w:p>
    <w:p w14:paraId="7AA9DC1D" w14:textId="4BD726E4" w:rsidR="0048711E" w:rsidRPr="001032D5" w:rsidRDefault="0048711E" w:rsidP="008B6449">
      <w:pPr>
        <w:pStyle w:val="Virsraksts2"/>
        <w:numPr>
          <w:ilvl w:val="1"/>
          <w:numId w:val="16"/>
        </w:numPr>
        <w:rPr>
          <w:rFonts w:asciiTheme="minorHAnsi" w:hAnsiTheme="minorHAnsi"/>
        </w:rPr>
      </w:pPr>
      <w:bookmarkStart w:id="25" w:name="_PPP_projekts_soli"/>
      <w:bookmarkStart w:id="26" w:name="_Toc3759955"/>
      <w:bookmarkStart w:id="27" w:name="_Toc3804992"/>
      <w:bookmarkStart w:id="28" w:name="_Toc178586355"/>
      <w:bookmarkEnd w:id="25"/>
      <w:r>
        <w:rPr>
          <w:rFonts w:asciiTheme="minorHAnsi" w:hAnsiTheme="minorHAnsi"/>
        </w:rPr>
        <w:lastRenderedPageBreak/>
        <w:t xml:space="preserve">PPP </w:t>
      </w:r>
      <w:r w:rsidR="0029152F">
        <w:rPr>
          <w:rFonts w:asciiTheme="minorHAnsi" w:hAnsiTheme="minorHAnsi"/>
        </w:rPr>
        <w:t>P</w:t>
      </w:r>
      <w:r>
        <w:rPr>
          <w:rFonts w:asciiTheme="minorHAnsi" w:hAnsiTheme="minorHAnsi"/>
        </w:rPr>
        <w:t xml:space="preserve">roject </w:t>
      </w:r>
      <w:r w:rsidR="0029152F">
        <w:rPr>
          <w:rFonts w:asciiTheme="minorHAnsi" w:hAnsiTheme="minorHAnsi"/>
        </w:rPr>
        <w:t>S</w:t>
      </w:r>
      <w:r>
        <w:rPr>
          <w:rFonts w:asciiTheme="minorHAnsi" w:hAnsiTheme="minorHAnsi"/>
        </w:rPr>
        <w:t xml:space="preserve">tep by </w:t>
      </w:r>
      <w:r w:rsidR="0029152F">
        <w:rPr>
          <w:rFonts w:asciiTheme="minorHAnsi" w:hAnsiTheme="minorHAnsi"/>
        </w:rPr>
        <w:t>S</w:t>
      </w:r>
      <w:r>
        <w:rPr>
          <w:rFonts w:asciiTheme="minorHAnsi" w:hAnsiTheme="minorHAnsi"/>
        </w:rPr>
        <w:t>tep</w:t>
      </w:r>
      <w:bookmarkEnd w:id="26"/>
      <w:bookmarkEnd w:id="27"/>
      <w:bookmarkEnd w:id="28"/>
    </w:p>
    <w:p w14:paraId="616E4B08" w14:textId="05761917" w:rsidR="0048711E" w:rsidRPr="00251B39" w:rsidRDefault="0048711E" w:rsidP="0048711E">
      <w:pPr>
        <w:jc w:val="both"/>
        <w:rPr>
          <w:color w:val="000000" w:themeColor="text1"/>
          <w:sz w:val="18"/>
          <w:szCs w:val="18"/>
        </w:rPr>
      </w:pPr>
      <w:r>
        <w:rPr>
          <w:noProof/>
          <w:color w:val="000000" w:themeColor="text1"/>
          <w:sz w:val="18"/>
        </w:rPr>
        <w:drawing>
          <wp:inline distT="0" distB="0" distL="0" distR="0" wp14:anchorId="789FF819" wp14:editId="1F568BAE">
            <wp:extent cx="6027088" cy="814070"/>
            <wp:effectExtent l="19050" t="0" r="1206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D2D7967" w14:textId="06A64360" w:rsidR="0004449E" w:rsidRPr="00E76550" w:rsidRDefault="001D21A5" w:rsidP="03904FBB">
      <w:pPr>
        <w:jc w:val="both"/>
        <w:rPr>
          <w:rFonts w:ascii="Verdana" w:hAnsi="Verdana"/>
          <w:sz w:val="18"/>
          <w:szCs w:val="18"/>
        </w:rPr>
      </w:pPr>
      <w:r w:rsidRPr="00CC7CF8">
        <w:rPr>
          <w:rFonts w:ascii="Verdana" w:hAnsi="Verdana"/>
          <w:noProof/>
          <w:sz w:val="18"/>
        </w:rPr>
        <mc:AlternateContent>
          <mc:Choice Requires="wps">
            <w:drawing>
              <wp:anchor distT="45720" distB="45720" distL="114300" distR="114300" simplePos="0" relativeHeight="251658285" behindDoc="0" locked="0" layoutInCell="1" allowOverlap="1" wp14:anchorId="33737F56" wp14:editId="424D536F">
                <wp:simplePos x="0" y="0"/>
                <wp:positionH relativeFrom="margin">
                  <wp:posOffset>4438650</wp:posOffset>
                </wp:positionH>
                <wp:positionV relativeFrom="paragraph">
                  <wp:posOffset>2461895</wp:posOffset>
                </wp:positionV>
                <wp:extent cx="1441450" cy="844550"/>
                <wp:effectExtent l="0" t="0" r="25400" b="12700"/>
                <wp:wrapNone/>
                <wp:docPr id="802083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44550"/>
                        </a:xfrm>
                        <a:prstGeom prst="rect">
                          <a:avLst/>
                        </a:prstGeom>
                        <a:solidFill>
                          <a:srgbClr val="FFFFFF"/>
                        </a:solidFill>
                        <a:ln w="9525">
                          <a:solidFill>
                            <a:schemeClr val="tx1">
                              <a:lumMod val="50000"/>
                              <a:lumOff val="50000"/>
                            </a:schemeClr>
                          </a:solidFill>
                          <a:miter lim="800000"/>
                          <a:headEnd/>
                          <a:tailEnd/>
                        </a:ln>
                      </wps:spPr>
                      <wps:txbx>
                        <w:txbxContent>
                          <w:p w14:paraId="63DA7701" w14:textId="01483C31" w:rsidR="001D21A5" w:rsidRPr="00D37F4B" w:rsidRDefault="001D21A5" w:rsidP="001D21A5">
                            <w:pPr>
                              <w:spacing w:after="0"/>
                              <w:jc w:val="center"/>
                              <w:rPr>
                                <w:b/>
                                <w:bCs/>
                                <w:color w:val="7F7F7F" w:themeColor="text1" w:themeTint="80"/>
                                <w:sz w:val="10"/>
                                <w:szCs w:val="10"/>
                                <w:lang w:val="en-GB"/>
                              </w:rPr>
                            </w:pPr>
                            <w:r>
                              <w:rPr>
                                <w:b/>
                                <w:bCs/>
                                <w:color w:val="7F7F7F" w:themeColor="text1" w:themeTint="80"/>
                                <w:sz w:val="10"/>
                                <w:szCs w:val="10"/>
                                <w:lang w:val="en-GB"/>
                              </w:rPr>
                              <w:t>4.2 PPP project assessment</w:t>
                            </w:r>
                          </w:p>
                          <w:p w14:paraId="4F14435E" w14:textId="596B8BA6" w:rsidR="001D21A5" w:rsidRDefault="001D21A5" w:rsidP="001D21A5">
                            <w:pPr>
                              <w:pStyle w:val="Sarakstarindkopa"/>
                              <w:numPr>
                                <w:ilvl w:val="0"/>
                                <w:numId w:val="59"/>
                              </w:numPr>
                              <w:spacing w:after="0"/>
                              <w:ind w:left="0" w:firstLine="0"/>
                              <w:rPr>
                                <w:color w:val="7F7F7F" w:themeColor="text1" w:themeTint="80"/>
                                <w:sz w:val="10"/>
                                <w:szCs w:val="10"/>
                                <w:lang w:val="en-GB"/>
                              </w:rPr>
                            </w:pPr>
                            <w:r w:rsidRPr="001D21A5">
                              <w:rPr>
                                <w:color w:val="7F7F7F" w:themeColor="text1" w:themeTint="80"/>
                                <w:sz w:val="10"/>
                                <w:szCs w:val="10"/>
                                <w:lang w:val="en-GB"/>
                              </w:rPr>
                              <w:t xml:space="preserve">Institutional: PPP project management proposes to evaluate the completed PPP project against the criteria it </w:t>
                            </w:r>
                            <w:r>
                              <w:rPr>
                                <w:color w:val="7F7F7F" w:themeColor="text1" w:themeTint="80"/>
                                <w:sz w:val="10"/>
                                <w:szCs w:val="10"/>
                                <w:lang w:val="en-GB"/>
                              </w:rPr>
                              <w:t>has set</w:t>
                            </w:r>
                          </w:p>
                          <w:p w14:paraId="003382CA" w14:textId="030462CF" w:rsidR="001D21A5" w:rsidRPr="00E46C38" w:rsidRDefault="001D21A5" w:rsidP="001D21A5">
                            <w:pPr>
                              <w:pStyle w:val="Sarakstarindkopa"/>
                              <w:numPr>
                                <w:ilvl w:val="0"/>
                                <w:numId w:val="59"/>
                              </w:numPr>
                              <w:spacing w:after="0"/>
                              <w:ind w:left="0" w:firstLine="0"/>
                              <w:rPr>
                                <w:color w:val="7F7F7F" w:themeColor="text1" w:themeTint="80"/>
                                <w:sz w:val="10"/>
                                <w:szCs w:val="10"/>
                                <w:lang w:val="en-GB"/>
                              </w:rPr>
                            </w:pPr>
                            <w:r w:rsidRPr="001D21A5">
                              <w:rPr>
                                <w:color w:val="7F7F7F" w:themeColor="text1" w:themeTint="80"/>
                                <w:sz w:val="10"/>
                                <w:szCs w:val="10"/>
                                <w:lang w:val="en-GB"/>
                              </w:rPr>
                              <w:t>Analytical: evaluation of technical, financial and legal criteria, where appropriate, making proposals for future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7F56" id="_x0000_s1029" type="#_x0000_t202" style="position:absolute;left:0;text-align:left;margin-left:349.5pt;margin-top:193.85pt;width:113.5pt;height:66.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" strokecolor="gray [1629]">
                <v:textbox>
                  <w:txbxContent>
                    <w:p w14:paraId="63DA7701" w14:textId="01483C31" w:rsidR="001D21A5" w:rsidRPr="00D37F4B" w:rsidRDefault="001D21A5" w:rsidP="001D21A5">
                      <w:pPr>
                        <w:spacing w:after="0"/>
                        <w:jc w:val="center"/>
                        <w:rPr>
                          <w:b/>
                          <w:bCs/>
                          <w:color w:val="7F7F7F" w:themeColor="text1" w:themeTint="80"/>
                          <w:sz w:val="10"/>
                          <w:szCs w:val="10"/>
                          <w:lang w:val="en-GB"/>
                        </w:rPr>
                      </w:pPr>
                      <w:r>
                        <w:rPr>
                          <w:b/>
                          <w:bCs/>
                          <w:color w:val="7F7F7F" w:themeColor="text1" w:themeTint="80"/>
                          <w:sz w:val="10"/>
                          <w:szCs w:val="10"/>
                          <w:lang w:val="en-GB"/>
                        </w:rPr>
                        <w:t>4.2 PPP project assessment</w:t>
                      </w:r>
                    </w:p>
                    <w:p w14:paraId="4F14435E" w14:textId="596B8BA6" w:rsidR="001D21A5" w:rsidRDefault="001D21A5" w:rsidP="001D21A5">
                      <w:pPr>
                        <w:pStyle w:val="Sarakstarindkopa"/>
                        <w:numPr>
                          <w:ilvl w:val="0"/>
                          <w:numId w:val="59"/>
                        </w:numPr>
                        <w:spacing w:after="0"/>
                        <w:ind w:left="0" w:firstLine="0"/>
                        <w:rPr>
                          <w:color w:val="7F7F7F" w:themeColor="text1" w:themeTint="80"/>
                          <w:sz w:val="10"/>
                          <w:szCs w:val="10"/>
                          <w:lang w:val="en-GB"/>
                        </w:rPr>
                      </w:pPr>
                      <w:r w:rsidRPr="001D21A5">
                        <w:rPr>
                          <w:color w:val="7F7F7F" w:themeColor="text1" w:themeTint="80"/>
                          <w:sz w:val="10"/>
                          <w:szCs w:val="10"/>
                          <w:lang w:val="en-GB"/>
                        </w:rPr>
                        <w:t xml:space="preserve">Institutional: PPP project management proposes to evaluate the completed PPP project against the criteria it </w:t>
                      </w:r>
                      <w:r>
                        <w:rPr>
                          <w:color w:val="7F7F7F" w:themeColor="text1" w:themeTint="80"/>
                          <w:sz w:val="10"/>
                          <w:szCs w:val="10"/>
                          <w:lang w:val="en-GB"/>
                        </w:rPr>
                        <w:t>has set</w:t>
                      </w:r>
                    </w:p>
                    <w:p w14:paraId="003382CA" w14:textId="030462CF" w:rsidR="001D21A5" w:rsidRPr="00E46C38" w:rsidRDefault="001D21A5" w:rsidP="001D21A5">
                      <w:pPr>
                        <w:pStyle w:val="Sarakstarindkopa"/>
                        <w:numPr>
                          <w:ilvl w:val="0"/>
                          <w:numId w:val="59"/>
                        </w:numPr>
                        <w:spacing w:after="0"/>
                        <w:ind w:left="0" w:firstLine="0"/>
                        <w:rPr>
                          <w:color w:val="7F7F7F" w:themeColor="text1" w:themeTint="80"/>
                          <w:sz w:val="10"/>
                          <w:szCs w:val="10"/>
                          <w:lang w:val="en-GB"/>
                        </w:rPr>
                      </w:pPr>
                      <w:r w:rsidRPr="001D21A5">
                        <w:rPr>
                          <w:color w:val="7F7F7F" w:themeColor="text1" w:themeTint="80"/>
                          <w:sz w:val="10"/>
                          <w:szCs w:val="10"/>
                          <w:lang w:val="en-GB"/>
                        </w:rPr>
                        <w:t>Analytical: evaluation of technical, financial and legal criteria, where appropriate, making proposals for future projects</w:t>
                      </w:r>
                    </w:p>
                  </w:txbxContent>
                </v:textbox>
                <w10:wrap anchorx="margin"/>
              </v:shape>
            </w:pict>
          </mc:Fallback>
        </mc:AlternateContent>
      </w:r>
      <w:r w:rsidR="00443582" w:rsidRPr="00CC7CF8">
        <w:rPr>
          <w:rFonts w:ascii="Verdana" w:hAnsi="Verdana"/>
          <w:noProof/>
          <w:sz w:val="18"/>
        </w:rPr>
        <mc:AlternateContent>
          <mc:Choice Requires="wps">
            <w:drawing>
              <wp:anchor distT="45720" distB="45720" distL="114300" distR="114300" simplePos="0" relativeHeight="251658284" behindDoc="0" locked="0" layoutInCell="1" allowOverlap="1" wp14:anchorId="4804D41C" wp14:editId="271DA947">
                <wp:simplePos x="0" y="0"/>
                <wp:positionH relativeFrom="margin">
                  <wp:posOffset>4445000</wp:posOffset>
                </wp:positionH>
                <wp:positionV relativeFrom="paragraph">
                  <wp:posOffset>817245</wp:posOffset>
                </wp:positionV>
                <wp:extent cx="1727200" cy="1543050"/>
                <wp:effectExtent l="0" t="0" r="25400" b="19050"/>
                <wp:wrapNone/>
                <wp:docPr id="1220807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543050"/>
                        </a:xfrm>
                        <a:prstGeom prst="rect">
                          <a:avLst/>
                        </a:prstGeom>
                        <a:solidFill>
                          <a:srgbClr val="FFFFFF"/>
                        </a:solidFill>
                        <a:ln w="9525">
                          <a:solidFill>
                            <a:schemeClr val="tx1">
                              <a:lumMod val="50000"/>
                              <a:lumOff val="50000"/>
                            </a:schemeClr>
                          </a:solidFill>
                          <a:miter lim="800000"/>
                          <a:headEnd/>
                          <a:tailEnd/>
                        </a:ln>
                      </wps:spPr>
                      <wps:txbx>
                        <w:txbxContent>
                          <w:p w14:paraId="205DC5A4" w14:textId="6D3F71D2" w:rsidR="00443582" w:rsidRPr="003D1B25" w:rsidRDefault="00443582" w:rsidP="00443582">
                            <w:pPr>
                              <w:spacing w:after="0"/>
                              <w:ind w:right="-57"/>
                              <w:jc w:val="center"/>
                              <w:rPr>
                                <w:b/>
                                <w:bCs/>
                                <w:color w:val="7F7F7F" w:themeColor="text1" w:themeTint="80"/>
                                <w:sz w:val="10"/>
                                <w:szCs w:val="10"/>
                                <w:lang w:val="en-GB"/>
                              </w:rPr>
                            </w:pPr>
                            <w:r>
                              <w:rPr>
                                <w:b/>
                                <w:bCs/>
                                <w:color w:val="7F7F7F" w:themeColor="text1" w:themeTint="80"/>
                                <w:sz w:val="10"/>
                                <w:szCs w:val="10"/>
                                <w:lang w:val="en-GB"/>
                              </w:rPr>
                              <w:t>4.1 PPP project performance</w:t>
                            </w:r>
                          </w:p>
                          <w:p w14:paraId="752C1227" w14:textId="77777777"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sidRPr="00443582">
                              <w:rPr>
                                <w:color w:val="7F7F7F" w:themeColor="text1" w:themeTint="80"/>
                                <w:sz w:val="10"/>
                                <w:szCs w:val="10"/>
                                <w:lang w:val="en-GB"/>
                              </w:rPr>
                              <w:t>PPP contract management (including by the public partner)</w:t>
                            </w:r>
                          </w:p>
                          <w:p w14:paraId="1FD27BA6" w14:textId="32C76FF1" w:rsidR="00443582" w:rsidRPr="00443582" w:rsidRDefault="00443582" w:rsidP="00443582">
                            <w:pPr>
                              <w:pStyle w:val="Sarakstarindkopa"/>
                              <w:numPr>
                                <w:ilvl w:val="0"/>
                                <w:numId w:val="59"/>
                              </w:numPr>
                              <w:spacing w:after="0"/>
                              <w:ind w:left="0" w:right="-57" w:firstLine="0"/>
                              <w:rPr>
                                <w:color w:val="7F7F7F" w:themeColor="text1" w:themeTint="80"/>
                                <w:sz w:val="10"/>
                                <w:szCs w:val="10"/>
                                <w:lang w:val="en-GB"/>
                              </w:rPr>
                            </w:pPr>
                            <w:r>
                              <w:rPr>
                                <w:color w:val="7F7F7F" w:themeColor="text1" w:themeTint="80"/>
                                <w:sz w:val="10"/>
                                <w:szCs w:val="10"/>
                                <w:lang w:val="en-GB"/>
                              </w:rPr>
                              <w:t>M</w:t>
                            </w:r>
                            <w:r w:rsidRPr="00443582">
                              <w:rPr>
                                <w:color w:val="7F7F7F" w:themeColor="text1" w:themeTint="80"/>
                                <w:sz w:val="10"/>
                                <w:szCs w:val="10"/>
                                <w:lang w:val="en-GB"/>
                              </w:rPr>
                              <w:t>onitoring and evaluation of the performance of works and services included in the PPP</w:t>
                            </w:r>
                            <w:r>
                              <w:rPr>
                                <w:color w:val="7F7F7F" w:themeColor="text1" w:themeTint="80"/>
                                <w:sz w:val="10"/>
                                <w:szCs w:val="10"/>
                                <w:lang w:val="en-GB"/>
                              </w:rPr>
                              <w:t>:</w:t>
                            </w:r>
                          </w:p>
                          <w:p w14:paraId="68DE45DA" w14:textId="6D105A45" w:rsidR="00443582" w:rsidRDefault="00443582" w:rsidP="00443582">
                            <w:pPr>
                              <w:pStyle w:val="Sarakstarindkopa"/>
                              <w:numPr>
                                <w:ilvl w:val="1"/>
                                <w:numId w:val="59"/>
                              </w:numPr>
                              <w:spacing w:after="0"/>
                              <w:ind w:left="113" w:right="-57" w:firstLine="170"/>
                              <w:rPr>
                                <w:color w:val="7F7F7F" w:themeColor="text1" w:themeTint="80"/>
                                <w:sz w:val="10"/>
                                <w:szCs w:val="10"/>
                                <w:lang w:val="en-GB"/>
                              </w:rPr>
                            </w:pPr>
                            <w:r>
                              <w:rPr>
                                <w:color w:val="7F7F7F" w:themeColor="text1" w:themeTint="80"/>
                                <w:sz w:val="10"/>
                                <w:szCs w:val="10"/>
                                <w:lang w:val="en-GB"/>
                              </w:rPr>
                              <w:t>against the PPP Contract,</w:t>
                            </w:r>
                          </w:p>
                          <w:p w14:paraId="3F4F413B" w14:textId="57A45257" w:rsidR="00443582" w:rsidRDefault="00443582" w:rsidP="00443582">
                            <w:pPr>
                              <w:pStyle w:val="Sarakstarindkopa"/>
                              <w:numPr>
                                <w:ilvl w:val="1"/>
                                <w:numId w:val="59"/>
                              </w:numPr>
                              <w:spacing w:after="0"/>
                              <w:ind w:left="113" w:right="-57" w:firstLine="170"/>
                              <w:rPr>
                                <w:color w:val="7F7F7F" w:themeColor="text1" w:themeTint="80"/>
                                <w:sz w:val="10"/>
                                <w:szCs w:val="10"/>
                                <w:lang w:val="en-GB"/>
                              </w:rPr>
                            </w:pPr>
                            <w:r>
                              <w:rPr>
                                <w:color w:val="7F7F7F" w:themeColor="text1" w:themeTint="80"/>
                                <w:sz w:val="10"/>
                                <w:szCs w:val="10"/>
                                <w:lang w:val="en-GB"/>
                              </w:rPr>
                              <w:t>against a bid within the procedure,</w:t>
                            </w:r>
                          </w:p>
                          <w:p w14:paraId="1BF36700" w14:textId="3B28E22D" w:rsidR="00443582" w:rsidRDefault="00443582" w:rsidP="00443582">
                            <w:pPr>
                              <w:pStyle w:val="Sarakstarindkopa"/>
                              <w:numPr>
                                <w:ilvl w:val="1"/>
                                <w:numId w:val="59"/>
                              </w:numPr>
                              <w:spacing w:after="0"/>
                              <w:ind w:left="113" w:right="-57" w:firstLine="170"/>
                              <w:rPr>
                                <w:color w:val="7F7F7F" w:themeColor="text1" w:themeTint="80"/>
                                <w:sz w:val="10"/>
                                <w:szCs w:val="10"/>
                                <w:lang w:val="en-GB"/>
                              </w:rPr>
                            </w:pPr>
                            <w:r>
                              <w:rPr>
                                <w:color w:val="7F7F7F" w:themeColor="text1" w:themeTint="80"/>
                                <w:sz w:val="10"/>
                                <w:szCs w:val="10"/>
                                <w:lang w:val="en-GB"/>
                              </w:rPr>
                              <w:t>against the documentation of the procedure</w:t>
                            </w:r>
                          </w:p>
                          <w:p w14:paraId="3769CA1C" w14:textId="25875CD4"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Pr>
                                <w:color w:val="7F7F7F" w:themeColor="text1" w:themeTint="80"/>
                                <w:sz w:val="10"/>
                                <w:szCs w:val="10"/>
                                <w:lang w:val="en-GB"/>
                              </w:rPr>
                              <w:t xml:space="preserve">Managing changes to the PPP Contract. </w:t>
                            </w:r>
                            <w:r w:rsidRPr="00443582">
                              <w:rPr>
                                <w:color w:val="7F7F7F" w:themeColor="text1" w:themeTint="80"/>
                                <w:sz w:val="10"/>
                                <w:szCs w:val="10"/>
                                <w:lang w:val="en-GB"/>
                              </w:rPr>
                              <w:t>Amendments, if any, to be agreed with the CFCA</w:t>
                            </w:r>
                          </w:p>
                          <w:p w14:paraId="20ABEC08" w14:textId="7DEFE5CA"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sidRPr="00443582">
                              <w:rPr>
                                <w:color w:val="7F7F7F" w:themeColor="text1" w:themeTint="80"/>
                                <w:sz w:val="10"/>
                                <w:szCs w:val="10"/>
                                <w:lang w:val="en-GB"/>
                              </w:rPr>
                              <w:t>Dispute resolution, if necessary</w:t>
                            </w:r>
                          </w:p>
                          <w:p w14:paraId="3D34D972" w14:textId="3B875FD5"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sidRPr="00443582">
                              <w:rPr>
                                <w:color w:val="7F7F7F" w:themeColor="text1" w:themeTint="80"/>
                                <w:sz w:val="10"/>
                                <w:szCs w:val="10"/>
                                <w:lang w:val="en-GB"/>
                              </w:rPr>
                              <w:t xml:space="preserve">Submission of annual performance reports on the PPP </w:t>
                            </w:r>
                            <w:r>
                              <w:rPr>
                                <w:color w:val="7F7F7F" w:themeColor="text1" w:themeTint="80"/>
                                <w:sz w:val="10"/>
                                <w:szCs w:val="10"/>
                                <w:lang w:val="en-GB"/>
                              </w:rPr>
                              <w:t>C</w:t>
                            </w:r>
                            <w:r w:rsidRPr="00443582">
                              <w:rPr>
                                <w:color w:val="7F7F7F" w:themeColor="text1" w:themeTint="80"/>
                                <w:sz w:val="10"/>
                                <w:szCs w:val="10"/>
                                <w:lang w:val="en-GB"/>
                              </w:rPr>
                              <w:t>ontract to the CFCA</w:t>
                            </w:r>
                          </w:p>
                          <w:p w14:paraId="2BD8C27D" w14:textId="14C1A5DA" w:rsidR="00443582" w:rsidRPr="003D1B25" w:rsidRDefault="00443582" w:rsidP="00443582">
                            <w:pPr>
                              <w:pStyle w:val="Sarakstarindkopa"/>
                              <w:numPr>
                                <w:ilvl w:val="0"/>
                                <w:numId w:val="59"/>
                              </w:numPr>
                              <w:spacing w:after="0"/>
                              <w:ind w:left="0" w:right="-57" w:firstLine="0"/>
                              <w:rPr>
                                <w:color w:val="7F7F7F" w:themeColor="text1" w:themeTint="80"/>
                                <w:sz w:val="10"/>
                                <w:szCs w:val="10"/>
                                <w:lang w:val="en-GB"/>
                              </w:rPr>
                            </w:pPr>
                            <w:r>
                              <w:rPr>
                                <w:color w:val="7F7F7F" w:themeColor="text1" w:themeTint="80"/>
                                <w:sz w:val="10"/>
                                <w:szCs w:val="10"/>
                                <w:lang w:val="en-GB"/>
                              </w:rPr>
                              <w:t>Performance</w:t>
                            </w:r>
                            <w:r w:rsidRPr="00443582">
                              <w:rPr>
                                <w:color w:val="7F7F7F" w:themeColor="text1" w:themeTint="80"/>
                                <w:sz w:val="10"/>
                                <w:szCs w:val="10"/>
                                <w:lang w:val="en-GB"/>
                              </w:rPr>
                              <w:t xml:space="preserve"> or early termination of the PPP Contract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4D41C" id="_x0000_s1030" type="#_x0000_t202" style="position:absolute;left:0;text-align:left;margin-left:350pt;margin-top:64.35pt;width:136pt;height:121.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" strokecolor="gray [1629]">
                <v:textbox>
                  <w:txbxContent>
                    <w:p w14:paraId="205DC5A4" w14:textId="6D3F71D2" w:rsidR="00443582" w:rsidRPr="003D1B25" w:rsidRDefault="00443582" w:rsidP="00443582">
                      <w:pPr>
                        <w:spacing w:after="0"/>
                        <w:ind w:right="-57"/>
                        <w:jc w:val="center"/>
                        <w:rPr>
                          <w:b/>
                          <w:bCs/>
                          <w:color w:val="7F7F7F" w:themeColor="text1" w:themeTint="80"/>
                          <w:sz w:val="10"/>
                          <w:szCs w:val="10"/>
                          <w:lang w:val="en-GB"/>
                        </w:rPr>
                      </w:pPr>
                      <w:r>
                        <w:rPr>
                          <w:b/>
                          <w:bCs/>
                          <w:color w:val="7F7F7F" w:themeColor="text1" w:themeTint="80"/>
                          <w:sz w:val="10"/>
                          <w:szCs w:val="10"/>
                          <w:lang w:val="en-GB"/>
                        </w:rPr>
                        <w:t>4.1 PPP project performance</w:t>
                      </w:r>
                    </w:p>
                    <w:p w14:paraId="752C1227" w14:textId="77777777"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sidRPr="00443582">
                        <w:rPr>
                          <w:color w:val="7F7F7F" w:themeColor="text1" w:themeTint="80"/>
                          <w:sz w:val="10"/>
                          <w:szCs w:val="10"/>
                          <w:lang w:val="en-GB"/>
                        </w:rPr>
                        <w:t>PPP contract management (including by the public partner)</w:t>
                      </w:r>
                    </w:p>
                    <w:p w14:paraId="1FD27BA6" w14:textId="32C76FF1" w:rsidR="00443582" w:rsidRPr="00443582" w:rsidRDefault="00443582" w:rsidP="00443582">
                      <w:pPr>
                        <w:pStyle w:val="Sarakstarindkopa"/>
                        <w:numPr>
                          <w:ilvl w:val="0"/>
                          <w:numId w:val="59"/>
                        </w:numPr>
                        <w:spacing w:after="0"/>
                        <w:ind w:left="0" w:right="-57" w:firstLine="0"/>
                        <w:rPr>
                          <w:color w:val="7F7F7F" w:themeColor="text1" w:themeTint="80"/>
                          <w:sz w:val="10"/>
                          <w:szCs w:val="10"/>
                          <w:lang w:val="en-GB"/>
                        </w:rPr>
                      </w:pPr>
                      <w:r>
                        <w:rPr>
                          <w:color w:val="7F7F7F" w:themeColor="text1" w:themeTint="80"/>
                          <w:sz w:val="10"/>
                          <w:szCs w:val="10"/>
                          <w:lang w:val="en-GB"/>
                        </w:rPr>
                        <w:t>M</w:t>
                      </w:r>
                      <w:r w:rsidRPr="00443582">
                        <w:rPr>
                          <w:color w:val="7F7F7F" w:themeColor="text1" w:themeTint="80"/>
                          <w:sz w:val="10"/>
                          <w:szCs w:val="10"/>
                          <w:lang w:val="en-GB"/>
                        </w:rPr>
                        <w:t>onitoring and evaluation of the performance of works and services included in the PPP</w:t>
                      </w:r>
                      <w:r>
                        <w:rPr>
                          <w:color w:val="7F7F7F" w:themeColor="text1" w:themeTint="80"/>
                          <w:sz w:val="10"/>
                          <w:szCs w:val="10"/>
                          <w:lang w:val="en-GB"/>
                        </w:rPr>
                        <w:t>:</w:t>
                      </w:r>
                    </w:p>
                    <w:p w14:paraId="68DE45DA" w14:textId="6D105A45" w:rsidR="00443582" w:rsidRDefault="00443582" w:rsidP="00443582">
                      <w:pPr>
                        <w:pStyle w:val="Sarakstarindkopa"/>
                        <w:numPr>
                          <w:ilvl w:val="1"/>
                          <w:numId w:val="59"/>
                        </w:numPr>
                        <w:spacing w:after="0"/>
                        <w:ind w:left="113" w:right="-57" w:firstLine="170"/>
                        <w:rPr>
                          <w:color w:val="7F7F7F" w:themeColor="text1" w:themeTint="80"/>
                          <w:sz w:val="10"/>
                          <w:szCs w:val="10"/>
                          <w:lang w:val="en-GB"/>
                        </w:rPr>
                      </w:pPr>
                      <w:r>
                        <w:rPr>
                          <w:color w:val="7F7F7F" w:themeColor="text1" w:themeTint="80"/>
                          <w:sz w:val="10"/>
                          <w:szCs w:val="10"/>
                          <w:lang w:val="en-GB"/>
                        </w:rPr>
                        <w:t>against the PPP Contract,</w:t>
                      </w:r>
                    </w:p>
                    <w:p w14:paraId="3F4F413B" w14:textId="57A45257" w:rsidR="00443582" w:rsidRDefault="00443582" w:rsidP="00443582">
                      <w:pPr>
                        <w:pStyle w:val="Sarakstarindkopa"/>
                        <w:numPr>
                          <w:ilvl w:val="1"/>
                          <w:numId w:val="59"/>
                        </w:numPr>
                        <w:spacing w:after="0"/>
                        <w:ind w:left="113" w:right="-57" w:firstLine="170"/>
                        <w:rPr>
                          <w:color w:val="7F7F7F" w:themeColor="text1" w:themeTint="80"/>
                          <w:sz w:val="10"/>
                          <w:szCs w:val="10"/>
                          <w:lang w:val="en-GB"/>
                        </w:rPr>
                      </w:pPr>
                      <w:r>
                        <w:rPr>
                          <w:color w:val="7F7F7F" w:themeColor="text1" w:themeTint="80"/>
                          <w:sz w:val="10"/>
                          <w:szCs w:val="10"/>
                          <w:lang w:val="en-GB"/>
                        </w:rPr>
                        <w:t>against a bid within the procedure,</w:t>
                      </w:r>
                    </w:p>
                    <w:p w14:paraId="1BF36700" w14:textId="3B28E22D" w:rsidR="00443582" w:rsidRDefault="00443582" w:rsidP="00443582">
                      <w:pPr>
                        <w:pStyle w:val="Sarakstarindkopa"/>
                        <w:numPr>
                          <w:ilvl w:val="1"/>
                          <w:numId w:val="59"/>
                        </w:numPr>
                        <w:spacing w:after="0"/>
                        <w:ind w:left="113" w:right="-57" w:firstLine="170"/>
                        <w:rPr>
                          <w:color w:val="7F7F7F" w:themeColor="text1" w:themeTint="80"/>
                          <w:sz w:val="10"/>
                          <w:szCs w:val="10"/>
                          <w:lang w:val="en-GB"/>
                        </w:rPr>
                      </w:pPr>
                      <w:r>
                        <w:rPr>
                          <w:color w:val="7F7F7F" w:themeColor="text1" w:themeTint="80"/>
                          <w:sz w:val="10"/>
                          <w:szCs w:val="10"/>
                          <w:lang w:val="en-GB"/>
                        </w:rPr>
                        <w:t>against the documentation of the procedure</w:t>
                      </w:r>
                    </w:p>
                    <w:p w14:paraId="3769CA1C" w14:textId="25875CD4"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Pr>
                          <w:color w:val="7F7F7F" w:themeColor="text1" w:themeTint="80"/>
                          <w:sz w:val="10"/>
                          <w:szCs w:val="10"/>
                          <w:lang w:val="en-GB"/>
                        </w:rPr>
                        <w:t xml:space="preserve">Managing changes to the PPP Contract. </w:t>
                      </w:r>
                      <w:r w:rsidRPr="00443582">
                        <w:rPr>
                          <w:color w:val="7F7F7F" w:themeColor="text1" w:themeTint="80"/>
                          <w:sz w:val="10"/>
                          <w:szCs w:val="10"/>
                          <w:lang w:val="en-GB"/>
                        </w:rPr>
                        <w:t>Amendments, if any, to be agreed with the CFCA</w:t>
                      </w:r>
                    </w:p>
                    <w:p w14:paraId="20ABEC08" w14:textId="7DEFE5CA"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sidRPr="00443582">
                        <w:rPr>
                          <w:color w:val="7F7F7F" w:themeColor="text1" w:themeTint="80"/>
                          <w:sz w:val="10"/>
                          <w:szCs w:val="10"/>
                          <w:lang w:val="en-GB"/>
                        </w:rPr>
                        <w:t>Dispute resolution, if necessary</w:t>
                      </w:r>
                    </w:p>
                    <w:p w14:paraId="3D34D972" w14:textId="3B875FD5" w:rsidR="00443582" w:rsidRDefault="00443582" w:rsidP="00443582">
                      <w:pPr>
                        <w:pStyle w:val="Sarakstarindkopa"/>
                        <w:numPr>
                          <w:ilvl w:val="0"/>
                          <w:numId w:val="59"/>
                        </w:numPr>
                        <w:spacing w:after="0"/>
                        <w:ind w:left="0" w:right="-57" w:firstLine="0"/>
                        <w:rPr>
                          <w:color w:val="7F7F7F" w:themeColor="text1" w:themeTint="80"/>
                          <w:sz w:val="10"/>
                          <w:szCs w:val="10"/>
                          <w:lang w:val="en-GB"/>
                        </w:rPr>
                      </w:pPr>
                      <w:r w:rsidRPr="00443582">
                        <w:rPr>
                          <w:color w:val="7F7F7F" w:themeColor="text1" w:themeTint="80"/>
                          <w:sz w:val="10"/>
                          <w:szCs w:val="10"/>
                          <w:lang w:val="en-GB"/>
                        </w:rPr>
                        <w:t xml:space="preserve">Submission of annual performance reports on the PPP </w:t>
                      </w:r>
                      <w:r>
                        <w:rPr>
                          <w:color w:val="7F7F7F" w:themeColor="text1" w:themeTint="80"/>
                          <w:sz w:val="10"/>
                          <w:szCs w:val="10"/>
                          <w:lang w:val="en-GB"/>
                        </w:rPr>
                        <w:t>C</w:t>
                      </w:r>
                      <w:r w:rsidRPr="00443582">
                        <w:rPr>
                          <w:color w:val="7F7F7F" w:themeColor="text1" w:themeTint="80"/>
                          <w:sz w:val="10"/>
                          <w:szCs w:val="10"/>
                          <w:lang w:val="en-GB"/>
                        </w:rPr>
                        <w:t>ontract to the CFCA</w:t>
                      </w:r>
                    </w:p>
                    <w:p w14:paraId="2BD8C27D" w14:textId="14C1A5DA" w:rsidR="00443582" w:rsidRPr="003D1B25" w:rsidRDefault="00443582" w:rsidP="00443582">
                      <w:pPr>
                        <w:pStyle w:val="Sarakstarindkopa"/>
                        <w:numPr>
                          <w:ilvl w:val="0"/>
                          <w:numId w:val="59"/>
                        </w:numPr>
                        <w:spacing w:after="0"/>
                        <w:ind w:left="0" w:right="-57" w:firstLine="0"/>
                        <w:rPr>
                          <w:color w:val="7F7F7F" w:themeColor="text1" w:themeTint="80"/>
                          <w:sz w:val="10"/>
                          <w:szCs w:val="10"/>
                          <w:lang w:val="en-GB"/>
                        </w:rPr>
                      </w:pPr>
                      <w:r>
                        <w:rPr>
                          <w:color w:val="7F7F7F" w:themeColor="text1" w:themeTint="80"/>
                          <w:sz w:val="10"/>
                          <w:szCs w:val="10"/>
                          <w:lang w:val="en-GB"/>
                        </w:rPr>
                        <w:t>Performance</w:t>
                      </w:r>
                      <w:r w:rsidRPr="00443582">
                        <w:rPr>
                          <w:color w:val="7F7F7F" w:themeColor="text1" w:themeTint="80"/>
                          <w:sz w:val="10"/>
                          <w:szCs w:val="10"/>
                          <w:lang w:val="en-GB"/>
                        </w:rPr>
                        <w:t xml:space="preserve"> or early termination of the PPP Contract</w:t>
                      </w:r>
                    </w:p>
                  </w:txbxContent>
                </v:textbox>
                <w10:wrap anchorx="margin"/>
              </v:shape>
            </w:pict>
          </mc:Fallback>
        </mc:AlternateContent>
      </w:r>
      <w:r w:rsidR="00D37F4B" w:rsidRPr="00CC7CF8">
        <w:rPr>
          <w:rFonts w:ascii="Verdana" w:hAnsi="Verdana"/>
          <w:noProof/>
          <w:sz w:val="18"/>
        </w:rPr>
        <mc:AlternateContent>
          <mc:Choice Requires="wps">
            <w:drawing>
              <wp:anchor distT="45720" distB="45720" distL="114300" distR="114300" simplePos="0" relativeHeight="251658283" behindDoc="0" locked="0" layoutInCell="1" allowOverlap="1" wp14:anchorId="54A22C97" wp14:editId="5D46F032">
                <wp:simplePos x="0" y="0"/>
                <wp:positionH relativeFrom="margin">
                  <wp:posOffset>2978150</wp:posOffset>
                </wp:positionH>
                <wp:positionV relativeFrom="paragraph">
                  <wp:posOffset>2468245</wp:posOffset>
                </wp:positionV>
                <wp:extent cx="1441450" cy="844550"/>
                <wp:effectExtent l="0" t="0" r="25400" b="12700"/>
                <wp:wrapNone/>
                <wp:docPr id="919023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44550"/>
                        </a:xfrm>
                        <a:prstGeom prst="rect">
                          <a:avLst/>
                        </a:prstGeom>
                        <a:solidFill>
                          <a:srgbClr val="FFFFFF"/>
                        </a:solidFill>
                        <a:ln w="9525">
                          <a:solidFill>
                            <a:schemeClr val="tx1">
                              <a:lumMod val="50000"/>
                              <a:lumOff val="50000"/>
                            </a:schemeClr>
                          </a:solidFill>
                          <a:miter lim="800000"/>
                          <a:headEnd/>
                          <a:tailEnd/>
                        </a:ln>
                      </wps:spPr>
                      <wps:txbx>
                        <w:txbxContent>
                          <w:p w14:paraId="7B006E79" w14:textId="5B37E978" w:rsidR="00D37F4B" w:rsidRPr="00D37F4B" w:rsidRDefault="00D37F4B" w:rsidP="00D37F4B">
                            <w:pPr>
                              <w:spacing w:after="0"/>
                              <w:jc w:val="center"/>
                              <w:rPr>
                                <w:b/>
                                <w:bCs/>
                                <w:color w:val="7F7F7F" w:themeColor="text1" w:themeTint="80"/>
                                <w:sz w:val="10"/>
                                <w:szCs w:val="10"/>
                                <w:lang w:val="en-GB"/>
                              </w:rPr>
                            </w:pPr>
                            <w:r>
                              <w:rPr>
                                <w:b/>
                                <w:bCs/>
                                <w:color w:val="7F7F7F" w:themeColor="text1" w:themeTint="80"/>
                                <w:sz w:val="10"/>
                                <w:szCs w:val="10"/>
                                <w:lang w:val="en-GB"/>
                              </w:rPr>
                              <w:t xml:space="preserve">3.2 </w:t>
                            </w:r>
                            <w:r w:rsidRPr="00D37F4B">
                              <w:rPr>
                                <w:b/>
                                <w:bCs/>
                                <w:color w:val="7F7F7F" w:themeColor="text1" w:themeTint="80"/>
                                <w:sz w:val="10"/>
                                <w:szCs w:val="10"/>
                                <w:lang w:val="en-GB"/>
                              </w:rPr>
                              <w:t>PPP</w:t>
                            </w:r>
                            <w:r>
                              <w:rPr>
                                <w:b/>
                                <w:bCs/>
                                <w:color w:val="7F7F7F" w:themeColor="text1" w:themeTint="80"/>
                                <w:sz w:val="10"/>
                                <w:szCs w:val="10"/>
                                <w:lang w:val="en-GB"/>
                              </w:rPr>
                              <w:t xml:space="preserve"> Contract and financing</w:t>
                            </w:r>
                          </w:p>
                          <w:p w14:paraId="5A9B17DC" w14:textId="2D570FB9" w:rsidR="00D37F4B" w:rsidRDefault="00D37F4B" w:rsidP="00D37F4B">
                            <w:pPr>
                              <w:pStyle w:val="Sarakstarindkopa"/>
                              <w:numPr>
                                <w:ilvl w:val="0"/>
                                <w:numId w:val="59"/>
                              </w:numPr>
                              <w:spacing w:after="0"/>
                              <w:ind w:left="0" w:firstLine="0"/>
                              <w:rPr>
                                <w:color w:val="7F7F7F" w:themeColor="text1" w:themeTint="80"/>
                                <w:sz w:val="10"/>
                                <w:szCs w:val="10"/>
                                <w:lang w:val="en-GB"/>
                              </w:rPr>
                            </w:pPr>
                            <w:r w:rsidRPr="00D37F4B">
                              <w:rPr>
                                <w:color w:val="7F7F7F" w:themeColor="text1" w:themeTint="80"/>
                                <w:sz w:val="10"/>
                                <w:szCs w:val="10"/>
                                <w:lang w:val="en-GB"/>
                              </w:rPr>
                              <w:t xml:space="preserve">Conclusion of the PPP Contract. Ex post </w:t>
                            </w:r>
                            <w:r w:rsidR="009374FB">
                              <w:rPr>
                                <w:color w:val="7F7F7F" w:themeColor="text1" w:themeTint="80"/>
                                <w:sz w:val="10"/>
                                <w:szCs w:val="10"/>
                                <w:lang w:val="en-GB"/>
                              </w:rPr>
                              <w:t>advice</w:t>
                            </w:r>
                            <w:r w:rsidRPr="00D37F4B">
                              <w:rPr>
                                <w:color w:val="7F7F7F" w:themeColor="text1" w:themeTint="80"/>
                                <w:sz w:val="10"/>
                                <w:szCs w:val="10"/>
                                <w:lang w:val="en-GB"/>
                              </w:rPr>
                              <w:t>, if required.</w:t>
                            </w:r>
                          </w:p>
                          <w:p w14:paraId="1DF9F68A" w14:textId="7D0228C2" w:rsidR="00D37F4B" w:rsidRDefault="00D37F4B" w:rsidP="00D37F4B">
                            <w:pPr>
                              <w:pStyle w:val="Sarakstarindkopa"/>
                              <w:numPr>
                                <w:ilvl w:val="0"/>
                                <w:numId w:val="59"/>
                              </w:numPr>
                              <w:spacing w:after="0"/>
                              <w:ind w:left="0" w:firstLine="0"/>
                              <w:rPr>
                                <w:color w:val="7F7F7F" w:themeColor="text1" w:themeTint="80"/>
                                <w:sz w:val="10"/>
                                <w:szCs w:val="10"/>
                                <w:lang w:val="en-GB"/>
                              </w:rPr>
                            </w:pPr>
                            <w:r w:rsidRPr="00D37F4B">
                              <w:rPr>
                                <w:color w:val="7F7F7F" w:themeColor="text1" w:themeTint="80"/>
                                <w:sz w:val="10"/>
                                <w:szCs w:val="10"/>
                                <w:lang w:val="en-GB"/>
                              </w:rPr>
                              <w:t>Financing, Information Exchange and other necessary agreement</w:t>
                            </w:r>
                            <w:r>
                              <w:rPr>
                                <w:color w:val="7F7F7F" w:themeColor="text1" w:themeTint="80"/>
                                <w:sz w:val="10"/>
                                <w:szCs w:val="10"/>
                                <w:lang w:val="en-GB"/>
                              </w:rPr>
                              <w:t>s</w:t>
                            </w:r>
                          </w:p>
                          <w:p w14:paraId="4CD0C857" w14:textId="397F05F1" w:rsidR="00D37F4B" w:rsidRPr="00E46C38" w:rsidRDefault="00D37F4B" w:rsidP="00D37F4B">
                            <w:pPr>
                              <w:pStyle w:val="Sarakstarindkopa"/>
                              <w:numPr>
                                <w:ilvl w:val="0"/>
                                <w:numId w:val="59"/>
                              </w:numPr>
                              <w:spacing w:after="0"/>
                              <w:ind w:left="0" w:firstLine="0"/>
                              <w:rPr>
                                <w:color w:val="7F7F7F" w:themeColor="text1" w:themeTint="80"/>
                                <w:sz w:val="10"/>
                                <w:szCs w:val="10"/>
                                <w:lang w:val="en-GB"/>
                              </w:rPr>
                            </w:pPr>
                            <w:r w:rsidRPr="00D37F4B">
                              <w:rPr>
                                <w:color w:val="7F7F7F" w:themeColor="text1" w:themeTint="80"/>
                                <w:sz w:val="10"/>
                                <w:szCs w:val="10"/>
                                <w:lang w:val="en-GB"/>
                              </w:rPr>
                              <w:t>Financial close may occur at the same time or after the date of signature of the PPP Contract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22C97" id="_x0000_s1031" type="#_x0000_t202" style="position:absolute;left:0;text-align:left;margin-left:234.5pt;margin-top:194.35pt;width:113.5pt;height:66.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" strokecolor="gray [1629]">
                <v:textbox>
                  <w:txbxContent>
                    <w:p w14:paraId="7B006E79" w14:textId="5B37E978" w:rsidR="00D37F4B" w:rsidRPr="00D37F4B" w:rsidRDefault="00D37F4B" w:rsidP="00D37F4B">
                      <w:pPr>
                        <w:spacing w:after="0"/>
                        <w:jc w:val="center"/>
                        <w:rPr>
                          <w:b/>
                          <w:bCs/>
                          <w:color w:val="7F7F7F" w:themeColor="text1" w:themeTint="80"/>
                          <w:sz w:val="10"/>
                          <w:szCs w:val="10"/>
                          <w:lang w:val="en-GB"/>
                        </w:rPr>
                      </w:pPr>
                      <w:r>
                        <w:rPr>
                          <w:b/>
                          <w:bCs/>
                          <w:color w:val="7F7F7F" w:themeColor="text1" w:themeTint="80"/>
                          <w:sz w:val="10"/>
                          <w:szCs w:val="10"/>
                          <w:lang w:val="en-GB"/>
                        </w:rPr>
                        <w:t xml:space="preserve">3.2 </w:t>
                      </w:r>
                      <w:r w:rsidRPr="00D37F4B">
                        <w:rPr>
                          <w:b/>
                          <w:bCs/>
                          <w:color w:val="7F7F7F" w:themeColor="text1" w:themeTint="80"/>
                          <w:sz w:val="10"/>
                          <w:szCs w:val="10"/>
                          <w:lang w:val="en-GB"/>
                        </w:rPr>
                        <w:t>PPP</w:t>
                      </w:r>
                      <w:r>
                        <w:rPr>
                          <w:b/>
                          <w:bCs/>
                          <w:color w:val="7F7F7F" w:themeColor="text1" w:themeTint="80"/>
                          <w:sz w:val="10"/>
                          <w:szCs w:val="10"/>
                          <w:lang w:val="en-GB"/>
                        </w:rPr>
                        <w:t xml:space="preserve"> Contract and financing</w:t>
                      </w:r>
                    </w:p>
                    <w:p w14:paraId="5A9B17DC" w14:textId="2D570FB9" w:rsidR="00D37F4B" w:rsidRDefault="00D37F4B" w:rsidP="00D37F4B">
                      <w:pPr>
                        <w:pStyle w:val="Sarakstarindkopa"/>
                        <w:numPr>
                          <w:ilvl w:val="0"/>
                          <w:numId w:val="59"/>
                        </w:numPr>
                        <w:spacing w:after="0"/>
                        <w:ind w:left="0" w:firstLine="0"/>
                        <w:rPr>
                          <w:color w:val="7F7F7F" w:themeColor="text1" w:themeTint="80"/>
                          <w:sz w:val="10"/>
                          <w:szCs w:val="10"/>
                          <w:lang w:val="en-GB"/>
                        </w:rPr>
                      </w:pPr>
                      <w:r w:rsidRPr="00D37F4B">
                        <w:rPr>
                          <w:color w:val="7F7F7F" w:themeColor="text1" w:themeTint="80"/>
                          <w:sz w:val="10"/>
                          <w:szCs w:val="10"/>
                          <w:lang w:val="en-GB"/>
                        </w:rPr>
                        <w:t xml:space="preserve">Conclusion of the PPP Contract. Ex post </w:t>
                      </w:r>
                      <w:r w:rsidR="009374FB">
                        <w:rPr>
                          <w:color w:val="7F7F7F" w:themeColor="text1" w:themeTint="80"/>
                          <w:sz w:val="10"/>
                          <w:szCs w:val="10"/>
                          <w:lang w:val="en-GB"/>
                        </w:rPr>
                        <w:t>advice</w:t>
                      </w:r>
                      <w:r w:rsidRPr="00D37F4B">
                        <w:rPr>
                          <w:color w:val="7F7F7F" w:themeColor="text1" w:themeTint="80"/>
                          <w:sz w:val="10"/>
                          <w:szCs w:val="10"/>
                          <w:lang w:val="en-GB"/>
                        </w:rPr>
                        <w:t>, if required.</w:t>
                      </w:r>
                    </w:p>
                    <w:p w14:paraId="1DF9F68A" w14:textId="7D0228C2" w:rsidR="00D37F4B" w:rsidRDefault="00D37F4B" w:rsidP="00D37F4B">
                      <w:pPr>
                        <w:pStyle w:val="Sarakstarindkopa"/>
                        <w:numPr>
                          <w:ilvl w:val="0"/>
                          <w:numId w:val="59"/>
                        </w:numPr>
                        <w:spacing w:after="0"/>
                        <w:ind w:left="0" w:firstLine="0"/>
                        <w:rPr>
                          <w:color w:val="7F7F7F" w:themeColor="text1" w:themeTint="80"/>
                          <w:sz w:val="10"/>
                          <w:szCs w:val="10"/>
                          <w:lang w:val="en-GB"/>
                        </w:rPr>
                      </w:pPr>
                      <w:r w:rsidRPr="00D37F4B">
                        <w:rPr>
                          <w:color w:val="7F7F7F" w:themeColor="text1" w:themeTint="80"/>
                          <w:sz w:val="10"/>
                          <w:szCs w:val="10"/>
                          <w:lang w:val="en-GB"/>
                        </w:rPr>
                        <w:t>Financing, Information Exchange and other necessary agreement</w:t>
                      </w:r>
                      <w:r>
                        <w:rPr>
                          <w:color w:val="7F7F7F" w:themeColor="text1" w:themeTint="80"/>
                          <w:sz w:val="10"/>
                          <w:szCs w:val="10"/>
                          <w:lang w:val="en-GB"/>
                        </w:rPr>
                        <w:t>s</w:t>
                      </w:r>
                    </w:p>
                    <w:p w14:paraId="4CD0C857" w14:textId="397F05F1" w:rsidR="00D37F4B" w:rsidRPr="00E46C38" w:rsidRDefault="00D37F4B" w:rsidP="00D37F4B">
                      <w:pPr>
                        <w:pStyle w:val="Sarakstarindkopa"/>
                        <w:numPr>
                          <w:ilvl w:val="0"/>
                          <w:numId w:val="59"/>
                        </w:numPr>
                        <w:spacing w:after="0"/>
                        <w:ind w:left="0" w:firstLine="0"/>
                        <w:rPr>
                          <w:color w:val="7F7F7F" w:themeColor="text1" w:themeTint="80"/>
                          <w:sz w:val="10"/>
                          <w:szCs w:val="10"/>
                          <w:lang w:val="en-GB"/>
                        </w:rPr>
                      </w:pPr>
                      <w:r w:rsidRPr="00D37F4B">
                        <w:rPr>
                          <w:color w:val="7F7F7F" w:themeColor="text1" w:themeTint="80"/>
                          <w:sz w:val="10"/>
                          <w:szCs w:val="10"/>
                          <w:lang w:val="en-GB"/>
                        </w:rPr>
                        <w:t>Financial close may occur at the same time or after the date of signature of the PPP Contract</w:t>
                      </w:r>
                    </w:p>
                  </w:txbxContent>
                </v:textbox>
                <w10:wrap anchorx="margin"/>
              </v:shape>
            </w:pict>
          </mc:Fallback>
        </mc:AlternateContent>
      </w:r>
      <w:r w:rsidR="00E46C38" w:rsidRPr="00CC7CF8">
        <w:rPr>
          <w:rFonts w:ascii="Verdana" w:hAnsi="Verdana"/>
          <w:noProof/>
          <w:sz w:val="18"/>
        </w:rPr>
        <mc:AlternateContent>
          <mc:Choice Requires="wps">
            <w:drawing>
              <wp:anchor distT="45720" distB="45720" distL="114300" distR="114300" simplePos="0" relativeHeight="251658282" behindDoc="0" locked="0" layoutInCell="1" allowOverlap="1" wp14:anchorId="38E0D2DB" wp14:editId="56430829">
                <wp:simplePos x="0" y="0"/>
                <wp:positionH relativeFrom="margin">
                  <wp:posOffset>2978150</wp:posOffset>
                </wp:positionH>
                <wp:positionV relativeFrom="paragraph">
                  <wp:posOffset>836295</wp:posOffset>
                </wp:positionV>
                <wp:extent cx="1441450" cy="1517650"/>
                <wp:effectExtent l="0" t="0" r="25400" b="25400"/>
                <wp:wrapNone/>
                <wp:docPr id="235296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517650"/>
                        </a:xfrm>
                        <a:prstGeom prst="rect">
                          <a:avLst/>
                        </a:prstGeom>
                        <a:solidFill>
                          <a:srgbClr val="FFFFFF"/>
                        </a:solidFill>
                        <a:ln w="9525">
                          <a:solidFill>
                            <a:schemeClr val="tx1">
                              <a:lumMod val="50000"/>
                              <a:lumOff val="50000"/>
                            </a:schemeClr>
                          </a:solidFill>
                          <a:miter lim="800000"/>
                          <a:headEnd/>
                          <a:tailEnd/>
                        </a:ln>
                      </wps:spPr>
                      <wps:txbx>
                        <w:txbxContent>
                          <w:p w14:paraId="2376EF00" w14:textId="7D3B4934" w:rsidR="00E46C38" w:rsidRPr="00E46C38" w:rsidRDefault="00D37F4B" w:rsidP="00D37F4B">
                            <w:pPr>
                              <w:pStyle w:val="Sarakstarindkopa"/>
                              <w:spacing w:after="0"/>
                              <w:ind w:left="360"/>
                              <w:rPr>
                                <w:b/>
                                <w:bCs/>
                                <w:color w:val="7F7F7F" w:themeColor="text1" w:themeTint="80"/>
                                <w:sz w:val="10"/>
                                <w:szCs w:val="10"/>
                                <w:lang w:val="en-GB"/>
                              </w:rPr>
                            </w:pPr>
                            <w:r>
                              <w:rPr>
                                <w:b/>
                                <w:bCs/>
                                <w:color w:val="7F7F7F" w:themeColor="text1" w:themeTint="80"/>
                                <w:sz w:val="10"/>
                                <w:szCs w:val="10"/>
                                <w:lang w:val="en-GB"/>
                              </w:rPr>
                              <w:t xml:space="preserve">3.1 </w:t>
                            </w:r>
                            <w:r w:rsidR="00E46C38" w:rsidRPr="00E46C38">
                              <w:rPr>
                                <w:b/>
                                <w:bCs/>
                                <w:color w:val="7F7F7F" w:themeColor="text1" w:themeTint="80"/>
                                <w:sz w:val="10"/>
                                <w:szCs w:val="10"/>
                                <w:lang w:val="en-GB"/>
                              </w:rPr>
                              <w:t>Procedure implementation</w:t>
                            </w:r>
                          </w:p>
                          <w:p w14:paraId="2739EC1E"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Announcing procedure</w:t>
                            </w:r>
                          </w:p>
                          <w:p w14:paraId="29852029"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 xml:space="preserve">Provision of explanations to potential candidates or tenderers before submission of qualification documents and/or </w:t>
                            </w:r>
                            <w:r>
                              <w:rPr>
                                <w:color w:val="7F7F7F" w:themeColor="text1" w:themeTint="80"/>
                                <w:sz w:val="10"/>
                                <w:szCs w:val="10"/>
                                <w:lang w:val="en-GB"/>
                              </w:rPr>
                              <w:t>bids</w:t>
                            </w:r>
                            <w:r w:rsidRPr="00E46C38">
                              <w:rPr>
                                <w:color w:val="7F7F7F" w:themeColor="text1" w:themeTint="80"/>
                                <w:sz w:val="10"/>
                                <w:szCs w:val="10"/>
                                <w:lang w:val="en-GB"/>
                              </w:rPr>
                              <w:t xml:space="preserve"> (depending on the procedure applied)</w:t>
                            </w:r>
                          </w:p>
                          <w:p w14:paraId="57550BFB"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Selection of candidates, if provided for in the applicable procedure</w:t>
                            </w:r>
                          </w:p>
                          <w:p w14:paraId="33D4A683"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Negotiation with candidates and agreement of the draft PPP contract, if provided for in the applicable procedure</w:t>
                            </w:r>
                          </w:p>
                          <w:p w14:paraId="55578C2D"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 xml:space="preserve">Evaluation of </w:t>
                            </w:r>
                            <w:r>
                              <w:rPr>
                                <w:color w:val="7F7F7F" w:themeColor="text1" w:themeTint="80"/>
                                <w:sz w:val="10"/>
                                <w:szCs w:val="10"/>
                                <w:lang w:val="en-GB"/>
                              </w:rPr>
                              <w:t>bids</w:t>
                            </w:r>
                          </w:p>
                          <w:p w14:paraId="3C8CA115"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Selection of the tenderer meeting the requirements of the procedure</w:t>
                            </w:r>
                          </w:p>
                          <w:p w14:paraId="3641B257" w14:textId="1044DADA" w:rsidR="00E46C38" w:rsidRP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Announcement of the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0D2DB" id="_x0000_s1032" type="#_x0000_t202" style="position:absolute;left:0;text-align:left;margin-left:234.5pt;margin-top:65.85pt;width:113.5pt;height:119.5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" strokecolor="gray [1629]">
                <v:textbox>
                  <w:txbxContent>
                    <w:p w14:paraId="2376EF00" w14:textId="7D3B4934" w:rsidR="00E46C38" w:rsidRPr="00E46C38" w:rsidRDefault="00D37F4B" w:rsidP="00D37F4B">
                      <w:pPr>
                        <w:pStyle w:val="Sarakstarindkopa"/>
                        <w:spacing w:after="0"/>
                        <w:ind w:left="360"/>
                        <w:rPr>
                          <w:b/>
                          <w:bCs/>
                          <w:color w:val="7F7F7F" w:themeColor="text1" w:themeTint="80"/>
                          <w:sz w:val="10"/>
                          <w:szCs w:val="10"/>
                          <w:lang w:val="en-GB"/>
                        </w:rPr>
                      </w:pPr>
                      <w:r>
                        <w:rPr>
                          <w:b/>
                          <w:bCs/>
                          <w:color w:val="7F7F7F" w:themeColor="text1" w:themeTint="80"/>
                          <w:sz w:val="10"/>
                          <w:szCs w:val="10"/>
                          <w:lang w:val="en-GB"/>
                        </w:rPr>
                        <w:t xml:space="preserve">3.1 </w:t>
                      </w:r>
                      <w:r w:rsidR="00E46C38" w:rsidRPr="00E46C38">
                        <w:rPr>
                          <w:b/>
                          <w:bCs/>
                          <w:color w:val="7F7F7F" w:themeColor="text1" w:themeTint="80"/>
                          <w:sz w:val="10"/>
                          <w:szCs w:val="10"/>
                          <w:lang w:val="en-GB"/>
                        </w:rPr>
                        <w:t>Procedure implementation</w:t>
                      </w:r>
                    </w:p>
                    <w:p w14:paraId="2739EC1E"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Announcing procedure</w:t>
                      </w:r>
                    </w:p>
                    <w:p w14:paraId="29852029"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 xml:space="preserve">Provision of explanations to potential candidates or tenderers before submission of qualification documents and/or </w:t>
                      </w:r>
                      <w:r>
                        <w:rPr>
                          <w:color w:val="7F7F7F" w:themeColor="text1" w:themeTint="80"/>
                          <w:sz w:val="10"/>
                          <w:szCs w:val="10"/>
                          <w:lang w:val="en-GB"/>
                        </w:rPr>
                        <w:t>bids</w:t>
                      </w:r>
                      <w:r w:rsidRPr="00E46C38">
                        <w:rPr>
                          <w:color w:val="7F7F7F" w:themeColor="text1" w:themeTint="80"/>
                          <w:sz w:val="10"/>
                          <w:szCs w:val="10"/>
                          <w:lang w:val="en-GB"/>
                        </w:rPr>
                        <w:t xml:space="preserve"> (depending on the procedure applied)</w:t>
                      </w:r>
                    </w:p>
                    <w:p w14:paraId="57550BFB"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Selection of candidates, if provided for in the applicable procedure</w:t>
                      </w:r>
                    </w:p>
                    <w:p w14:paraId="33D4A683"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Negotiation with candidates and agreement of the draft PPP contract, if provided for in the applicable procedure</w:t>
                      </w:r>
                    </w:p>
                    <w:p w14:paraId="55578C2D"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 xml:space="preserve">Evaluation of </w:t>
                      </w:r>
                      <w:r>
                        <w:rPr>
                          <w:color w:val="7F7F7F" w:themeColor="text1" w:themeTint="80"/>
                          <w:sz w:val="10"/>
                          <w:szCs w:val="10"/>
                          <w:lang w:val="en-GB"/>
                        </w:rPr>
                        <w:t>bids</w:t>
                      </w:r>
                    </w:p>
                    <w:p w14:paraId="3C8CA115" w14:textId="77777777" w:rsid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Selection of the tenderer meeting the requirements of the procedure</w:t>
                      </w:r>
                    </w:p>
                    <w:p w14:paraId="3641B257" w14:textId="1044DADA" w:rsidR="00E46C38" w:rsidRPr="00E46C38" w:rsidRDefault="00E46C38" w:rsidP="00E46C38">
                      <w:pPr>
                        <w:pStyle w:val="Sarakstarindkopa"/>
                        <w:numPr>
                          <w:ilvl w:val="0"/>
                          <w:numId w:val="59"/>
                        </w:numPr>
                        <w:spacing w:after="0"/>
                        <w:ind w:left="0" w:firstLine="0"/>
                        <w:rPr>
                          <w:color w:val="7F7F7F" w:themeColor="text1" w:themeTint="80"/>
                          <w:sz w:val="10"/>
                          <w:szCs w:val="10"/>
                          <w:lang w:val="en-GB"/>
                        </w:rPr>
                      </w:pPr>
                      <w:r w:rsidRPr="00E46C38">
                        <w:rPr>
                          <w:color w:val="7F7F7F" w:themeColor="text1" w:themeTint="80"/>
                          <w:sz w:val="10"/>
                          <w:szCs w:val="10"/>
                          <w:lang w:val="en-GB"/>
                        </w:rPr>
                        <w:t>Announcement of the results</w:t>
                      </w:r>
                    </w:p>
                  </w:txbxContent>
                </v:textbox>
                <w10:wrap anchorx="margin"/>
              </v:shape>
            </w:pict>
          </mc:Fallback>
        </mc:AlternateContent>
      </w:r>
      <w:r w:rsidR="003D1B25" w:rsidRPr="00CC7CF8">
        <w:rPr>
          <w:rFonts w:ascii="Verdana" w:hAnsi="Verdana"/>
          <w:noProof/>
          <w:sz w:val="18"/>
        </w:rPr>
        <mc:AlternateContent>
          <mc:Choice Requires="wps">
            <w:drawing>
              <wp:anchor distT="45720" distB="45720" distL="114300" distR="114300" simplePos="0" relativeHeight="251658281" behindDoc="0" locked="0" layoutInCell="1" allowOverlap="1" wp14:anchorId="797DD904" wp14:editId="24BA4602">
                <wp:simplePos x="0" y="0"/>
                <wp:positionH relativeFrom="margin">
                  <wp:posOffset>1504950</wp:posOffset>
                </wp:positionH>
                <wp:positionV relativeFrom="paragraph">
                  <wp:posOffset>1788795</wp:posOffset>
                </wp:positionV>
                <wp:extent cx="1441450" cy="1504950"/>
                <wp:effectExtent l="0" t="0" r="25400" b="19050"/>
                <wp:wrapNone/>
                <wp:docPr id="266724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504950"/>
                        </a:xfrm>
                        <a:prstGeom prst="rect">
                          <a:avLst/>
                        </a:prstGeom>
                        <a:solidFill>
                          <a:srgbClr val="FFFFFF"/>
                        </a:solidFill>
                        <a:ln w="9525">
                          <a:solidFill>
                            <a:schemeClr val="tx1">
                              <a:lumMod val="50000"/>
                              <a:lumOff val="50000"/>
                            </a:schemeClr>
                          </a:solidFill>
                          <a:miter lim="800000"/>
                          <a:headEnd/>
                          <a:tailEnd/>
                        </a:ln>
                      </wps:spPr>
                      <wps:txbx>
                        <w:txbxContent>
                          <w:p w14:paraId="186E1DE5" w14:textId="32191AA9" w:rsidR="003D1B25" w:rsidRPr="003D1B25" w:rsidRDefault="003D1B25" w:rsidP="003D1B25">
                            <w:pPr>
                              <w:spacing w:after="0"/>
                              <w:jc w:val="center"/>
                              <w:rPr>
                                <w:b/>
                                <w:bCs/>
                                <w:color w:val="7F7F7F" w:themeColor="text1" w:themeTint="80"/>
                                <w:sz w:val="10"/>
                                <w:szCs w:val="10"/>
                                <w:lang w:val="en-GB"/>
                              </w:rPr>
                            </w:pPr>
                            <w:r>
                              <w:rPr>
                                <w:b/>
                                <w:bCs/>
                                <w:color w:val="7F7F7F" w:themeColor="text1" w:themeTint="80"/>
                                <w:sz w:val="10"/>
                                <w:szCs w:val="10"/>
                                <w:lang w:val="en-GB"/>
                              </w:rPr>
                              <w:t>2.2 Procedure documentation</w:t>
                            </w:r>
                          </w:p>
                          <w:p w14:paraId="754E119E" w14:textId="36CB0FA6"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Market research. One of its objectives is to determine the potential contract price corridor</w:t>
                            </w:r>
                          </w:p>
                          <w:p w14:paraId="32B96C8B" w14:textId="3C65E626"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Development of procedure regulation and annexes thereto:</w:t>
                            </w:r>
                          </w:p>
                          <w:p w14:paraId="6C037587" w14:textId="77777777" w:rsidR="00E46C38" w:rsidRDefault="003D1B25" w:rsidP="00E46C38">
                            <w:pPr>
                              <w:pStyle w:val="Sarakstarindkopa"/>
                              <w:numPr>
                                <w:ilvl w:val="1"/>
                                <w:numId w:val="59"/>
                              </w:numPr>
                              <w:spacing w:after="0"/>
                              <w:ind w:left="113" w:firstLine="170"/>
                              <w:rPr>
                                <w:color w:val="7F7F7F" w:themeColor="text1" w:themeTint="80"/>
                                <w:sz w:val="10"/>
                                <w:szCs w:val="10"/>
                                <w:lang w:val="en-GB"/>
                              </w:rPr>
                            </w:pPr>
                            <w:r>
                              <w:rPr>
                                <w:color w:val="7F7F7F" w:themeColor="text1" w:themeTint="80"/>
                                <w:sz w:val="10"/>
                                <w:szCs w:val="10"/>
                                <w:lang w:val="en-GB"/>
                              </w:rPr>
                              <w:t>Depending on the procedure, setting criteria for selection and/or evaluation, methodology development,</w:t>
                            </w:r>
                          </w:p>
                          <w:p w14:paraId="5F0AF33D" w14:textId="77777777" w:rsidR="00E46C38" w:rsidRDefault="003D1B25" w:rsidP="00E46C38">
                            <w:pPr>
                              <w:pStyle w:val="Sarakstarindkopa"/>
                              <w:numPr>
                                <w:ilvl w:val="1"/>
                                <w:numId w:val="59"/>
                              </w:numPr>
                              <w:spacing w:after="0"/>
                              <w:ind w:left="113" w:firstLine="170"/>
                              <w:rPr>
                                <w:color w:val="7F7F7F" w:themeColor="text1" w:themeTint="80"/>
                                <w:sz w:val="10"/>
                                <w:szCs w:val="10"/>
                                <w:lang w:val="en-GB"/>
                              </w:rPr>
                            </w:pPr>
                            <w:r w:rsidRPr="00E46C38">
                              <w:rPr>
                                <w:color w:val="7F7F7F" w:themeColor="text1" w:themeTint="80"/>
                                <w:sz w:val="10"/>
                                <w:szCs w:val="10"/>
                                <w:lang w:val="en-GB"/>
                              </w:rPr>
                              <w:t>Development of technical specification,</w:t>
                            </w:r>
                          </w:p>
                          <w:p w14:paraId="2B6DF82F" w14:textId="621F1F91" w:rsidR="003D1B25" w:rsidRPr="00E46C38" w:rsidRDefault="003D1B25" w:rsidP="00E46C38">
                            <w:pPr>
                              <w:pStyle w:val="Sarakstarindkopa"/>
                              <w:numPr>
                                <w:ilvl w:val="1"/>
                                <w:numId w:val="59"/>
                              </w:numPr>
                              <w:spacing w:after="0"/>
                              <w:ind w:left="113" w:firstLine="170"/>
                              <w:rPr>
                                <w:color w:val="7F7F7F" w:themeColor="text1" w:themeTint="80"/>
                                <w:sz w:val="10"/>
                                <w:szCs w:val="10"/>
                                <w:lang w:val="en-GB"/>
                              </w:rPr>
                            </w:pPr>
                            <w:r w:rsidRPr="00E46C38">
                              <w:rPr>
                                <w:color w:val="7F7F7F" w:themeColor="text1" w:themeTint="80"/>
                                <w:sz w:val="10"/>
                                <w:szCs w:val="10"/>
                                <w:lang w:val="en-GB"/>
                              </w:rPr>
                              <w:t>Draft contract development</w:t>
                            </w:r>
                          </w:p>
                          <w:p w14:paraId="3E0EF1C2" w14:textId="1574C26D"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Procedure documentation approval by CFCA. If necessary, implementation of adjustments therein</w:t>
                            </w:r>
                          </w:p>
                          <w:p w14:paraId="0F08F3DE" w14:textId="736F4252" w:rsidR="003D1B25" w:rsidRP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Ex ante assessment if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DD904" id="_x0000_s1033" type="#_x0000_t202" style="position:absolute;left:0;text-align:left;margin-left:118.5pt;margin-top:140.85pt;width:113.5pt;height:118.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" strokecolor="gray [1629]">
                <v:textbox>
                  <w:txbxContent>
                    <w:p w14:paraId="186E1DE5" w14:textId="32191AA9" w:rsidR="003D1B25" w:rsidRPr="003D1B25" w:rsidRDefault="003D1B25" w:rsidP="003D1B25">
                      <w:pPr>
                        <w:spacing w:after="0"/>
                        <w:jc w:val="center"/>
                        <w:rPr>
                          <w:b/>
                          <w:bCs/>
                          <w:color w:val="7F7F7F" w:themeColor="text1" w:themeTint="80"/>
                          <w:sz w:val="10"/>
                          <w:szCs w:val="10"/>
                          <w:lang w:val="en-GB"/>
                        </w:rPr>
                      </w:pPr>
                      <w:r>
                        <w:rPr>
                          <w:b/>
                          <w:bCs/>
                          <w:color w:val="7F7F7F" w:themeColor="text1" w:themeTint="80"/>
                          <w:sz w:val="10"/>
                          <w:szCs w:val="10"/>
                          <w:lang w:val="en-GB"/>
                        </w:rPr>
                        <w:t>2.2 Procedure documentation</w:t>
                      </w:r>
                    </w:p>
                    <w:p w14:paraId="754E119E" w14:textId="36CB0FA6"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Market research. One of its objectives is to determine the potential contract price corridor</w:t>
                      </w:r>
                    </w:p>
                    <w:p w14:paraId="32B96C8B" w14:textId="3C65E626"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Development of procedure regulation and annexes thereto:</w:t>
                      </w:r>
                    </w:p>
                    <w:p w14:paraId="6C037587" w14:textId="77777777" w:rsidR="00E46C38" w:rsidRDefault="003D1B25" w:rsidP="00E46C38">
                      <w:pPr>
                        <w:pStyle w:val="Sarakstarindkopa"/>
                        <w:numPr>
                          <w:ilvl w:val="1"/>
                          <w:numId w:val="59"/>
                        </w:numPr>
                        <w:spacing w:after="0"/>
                        <w:ind w:left="113" w:firstLine="170"/>
                        <w:rPr>
                          <w:color w:val="7F7F7F" w:themeColor="text1" w:themeTint="80"/>
                          <w:sz w:val="10"/>
                          <w:szCs w:val="10"/>
                          <w:lang w:val="en-GB"/>
                        </w:rPr>
                      </w:pPr>
                      <w:r>
                        <w:rPr>
                          <w:color w:val="7F7F7F" w:themeColor="text1" w:themeTint="80"/>
                          <w:sz w:val="10"/>
                          <w:szCs w:val="10"/>
                          <w:lang w:val="en-GB"/>
                        </w:rPr>
                        <w:t>Depending on the procedure, setting criteria for selection and/or evaluation, methodology development,</w:t>
                      </w:r>
                    </w:p>
                    <w:p w14:paraId="5F0AF33D" w14:textId="77777777" w:rsidR="00E46C38" w:rsidRDefault="003D1B25" w:rsidP="00E46C38">
                      <w:pPr>
                        <w:pStyle w:val="Sarakstarindkopa"/>
                        <w:numPr>
                          <w:ilvl w:val="1"/>
                          <w:numId w:val="59"/>
                        </w:numPr>
                        <w:spacing w:after="0"/>
                        <w:ind w:left="113" w:firstLine="170"/>
                        <w:rPr>
                          <w:color w:val="7F7F7F" w:themeColor="text1" w:themeTint="80"/>
                          <w:sz w:val="10"/>
                          <w:szCs w:val="10"/>
                          <w:lang w:val="en-GB"/>
                        </w:rPr>
                      </w:pPr>
                      <w:r w:rsidRPr="00E46C38">
                        <w:rPr>
                          <w:color w:val="7F7F7F" w:themeColor="text1" w:themeTint="80"/>
                          <w:sz w:val="10"/>
                          <w:szCs w:val="10"/>
                          <w:lang w:val="en-GB"/>
                        </w:rPr>
                        <w:t>Development of technical specification,</w:t>
                      </w:r>
                    </w:p>
                    <w:p w14:paraId="2B6DF82F" w14:textId="621F1F91" w:rsidR="003D1B25" w:rsidRPr="00E46C38" w:rsidRDefault="003D1B25" w:rsidP="00E46C38">
                      <w:pPr>
                        <w:pStyle w:val="Sarakstarindkopa"/>
                        <w:numPr>
                          <w:ilvl w:val="1"/>
                          <w:numId w:val="59"/>
                        </w:numPr>
                        <w:spacing w:after="0"/>
                        <w:ind w:left="113" w:firstLine="170"/>
                        <w:rPr>
                          <w:color w:val="7F7F7F" w:themeColor="text1" w:themeTint="80"/>
                          <w:sz w:val="10"/>
                          <w:szCs w:val="10"/>
                          <w:lang w:val="en-GB"/>
                        </w:rPr>
                      </w:pPr>
                      <w:r w:rsidRPr="00E46C38">
                        <w:rPr>
                          <w:color w:val="7F7F7F" w:themeColor="text1" w:themeTint="80"/>
                          <w:sz w:val="10"/>
                          <w:szCs w:val="10"/>
                          <w:lang w:val="en-GB"/>
                        </w:rPr>
                        <w:t>Draft contract development</w:t>
                      </w:r>
                    </w:p>
                    <w:p w14:paraId="3E0EF1C2" w14:textId="1574C26D"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Procedure documentation approval by CFCA. If necessary, implementation of adjustments therein</w:t>
                      </w:r>
                    </w:p>
                    <w:p w14:paraId="0F08F3DE" w14:textId="736F4252" w:rsidR="003D1B25" w:rsidRP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Ex ante assessment if required</w:t>
                      </w:r>
                    </w:p>
                  </w:txbxContent>
                </v:textbox>
                <w10:wrap anchorx="margin"/>
              </v:shape>
            </w:pict>
          </mc:Fallback>
        </mc:AlternateContent>
      </w:r>
      <w:r w:rsidR="003D1B25" w:rsidRPr="00CC7CF8">
        <w:rPr>
          <w:rFonts w:ascii="Verdana" w:hAnsi="Verdana"/>
          <w:noProof/>
          <w:sz w:val="18"/>
        </w:rPr>
        <mc:AlternateContent>
          <mc:Choice Requires="wps">
            <w:drawing>
              <wp:anchor distT="45720" distB="45720" distL="114300" distR="114300" simplePos="0" relativeHeight="251658280" behindDoc="0" locked="0" layoutInCell="1" allowOverlap="1" wp14:anchorId="77D88901" wp14:editId="76BB06C2">
                <wp:simplePos x="0" y="0"/>
                <wp:positionH relativeFrom="margin">
                  <wp:posOffset>1504950</wp:posOffset>
                </wp:positionH>
                <wp:positionV relativeFrom="paragraph">
                  <wp:posOffset>855345</wp:posOffset>
                </wp:positionV>
                <wp:extent cx="1441450" cy="831850"/>
                <wp:effectExtent l="0" t="0" r="25400" b="25400"/>
                <wp:wrapNone/>
                <wp:docPr id="1562644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31850"/>
                        </a:xfrm>
                        <a:prstGeom prst="rect">
                          <a:avLst/>
                        </a:prstGeom>
                        <a:solidFill>
                          <a:srgbClr val="FFFFFF"/>
                        </a:solidFill>
                        <a:ln w="9525">
                          <a:solidFill>
                            <a:schemeClr val="tx1">
                              <a:lumMod val="50000"/>
                              <a:lumOff val="50000"/>
                            </a:schemeClr>
                          </a:solidFill>
                          <a:miter lim="800000"/>
                          <a:headEnd/>
                          <a:tailEnd/>
                        </a:ln>
                      </wps:spPr>
                      <wps:txbx>
                        <w:txbxContent>
                          <w:p w14:paraId="0C493520" w14:textId="4CD094B2" w:rsidR="003D1B25" w:rsidRPr="003D1B25" w:rsidRDefault="003D1B25" w:rsidP="003D1B25">
                            <w:pPr>
                              <w:spacing w:after="0"/>
                              <w:jc w:val="center"/>
                              <w:rPr>
                                <w:b/>
                                <w:bCs/>
                                <w:color w:val="7F7F7F" w:themeColor="text1" w:themeTint="80"/>
                                <w:sz w:val="10"/>
                                <w:szCs w:val="10"/>
                                <w:lang w:val="en-GB"/>
                              </w:rPr>
                            </w:pPr>
                            <w:r>
                              <w:rPr>
                                <w:b/>
                                <w:bCs/>
                                <w:color w:val="7F7F7F" w:themeColor="text1" w:themeTint="80"/>
                                <w:sz w:val="10"/>
                                <w:szCs w:val="10"/>
                                <w:lang w:val="en-GB"/>
                              </w:rPr>
                              <w:t>2.1 Procedure commencement</w:t>
                            </w:r>
                          </w:p>
                          <w:p w14:paraId="61FE76D5" w14:textId="16A9C3F6"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Decision on the commencement of Procurement/ Concession procedure; establishing a committee</w:t>
                            </w:r>
                          </w:p>
                          <w:p w14:paraId="74F4F975" w14:textId="40460B48"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Public partner project team establishment, determining governance structure</w:t>
                            </w:r>
                          </w:p>
                          <w:p w14:paraId="56D6C548" w14:textId="645BEB8E" w:rsidR="003D1B25" w:rsidRP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Development of work to be carried out and timetable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88901" id="_x0000_s1034" type="#_x0000_t202" style="position:absolute;left:0;text-align:left;margin-left:118.5pt;margin-top:67.35pt;width:113.5pt;height:65.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" strokecolor="gray [1629]">
                <v:textbox>
                  <w:txbxContent>
                    <w:p w14:paraId="0C493520" w14:textId="4CD094B2" w:rsidR="003D1B25" w:rsidRPr="003D1B25" w:rsidRDefault="003D1B25" w:rsidP="003D1B25">
                      <w:pPr>
                        <w:spacing w:after="0"/>
                        <w:jc w:val="center"/>
                        <w:rPr>
                          <w:b/>
                          <w:bCs/>
                          <w:color w:val="7F7F7F" w:themeColor="text1" w:themeTint="80"/>
                          <w:sz w:val="10"/>
                          <w:szCs w:val="10"/>
                          <w:lang w:val="en-GB"/>
                        </w:rPr>
                      </w:pPr>
                      <w:r>
                        <w:rPr>
                          <w:b/>
                          <w:bCs/>
                          <w:color w:val="7F7F7F" w:themeColor="text1" w:themeTint="80"/>
                          <w:sz w:val="10"/>
                          <w:szCs w:val="10"/>
                          <w:lang w:val="en-GB"/>
                        </w:rPr>
                        <w:t>2.1 Procedure commencement</w:t>
                      </w:r>
                    </w:p>
                    <w:p w14:paraId="61FE76D5" w14:textId="16A9C3F6"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Decision on the commencement of Procurement/ Concession procedure; establishing a committee</w:t>
                      </w:r>
                    </w:p>
                    <w:p w14:paraId="74F4F975" w14:textId="40460B48" w:rsid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Public partner project team establishment, determining governance structure</w:t>
                      </w:r>
                    </w:p>
                    <w:p w14:paraId="56D6C548" w14:textId="645BEB8E" w:rsidR="003D1B25" w:rsidRPr="003D1B25" w:rsidRDefault="003D1B25" w:rsidP="003D1B25">
                      <w:pPr>
                        <w:pStyle w:val="Sarakstarindkopa"/>
                        <w:numPr>
                          <w:ilvl w:val="0"/>
                          <w:numId w:val="59"/>
                        </w:numPr>
                        <w:spacing w:after="0"/>
                        <w:ind w:left="0" w:firstLine="0"/>
                        <w:rPr>
                          <w:color w:val="7F7F7F" w:themeColor="text1" w:themeTint="80"/>
                          <w:sz w:val="10"/>
                          <w:szCs w:val="10"/>
                          <w:lang w:val="en-GB"/>
                        </w:rPr>
                      </w:pPr>
                      <w:r>
                        <w:rPr>
                          <w:color w:val="7F7F7F" w:themeColor="text1" w:themeTint="80"/>
                          <w:sz w:val="10"/>
                          <w:szCs w:val="10"/>
                          <w:lang w:val="en-GB"/>
                        </w:rPr>
                        <w:t>Development of work to be carried out and timetable</w:t>
                      </w:r>
                    </w:p>
                  </w:txbxContent>
                </v:textbox>
                <w10:wrap anchorx="margin"/>
              </v:shape>
            </w:pict>
          </mc:Fallback>
        </mc:AlternateContent>
      </w:r>
      <w:r w:rsidR="00887356" w:rsidRPr="00CC7CF8">
        <w:rPr>
          <w:rFonts w:ascii="Verdana" w:hAnsi="Verdana"/>
          <w:noProof/>
          <w:sz w:val="18"/>
        </w:rPr>
        <mc:AlternateContent>
          <mc:Choice Requires="wps">
            <w:drawing>
              <wp:anchor distT="45720" distB="45720" distL="114300" distR="114300" simplePos="0" relativeHeight="251658279" behindDoc="0" locked="0" layoutInCell="1" allowOverlap="1" wp14:anchorId="3F6B5374" wp14:editId="484D290F">
                <wp:simplePos x="0" y="0"/>
                <wp:positionH relativeFrom="margin">
                  <wp:posOffset>4800600</wp:posOffset>
                </wp:positionH>
                <wp:positionV relativeFrom="paragraph">
                  <wp:posOffset>518795</wp:posOffset>
                </wp:positionV>
                <wp:extent cx="1219200" cy="323850"/>
                <wp:effectExtent l="0" t="0" r="0" b="0"/>
                <wp:wrapNone/>
                <wp:docPr id="114678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solidFill>
                          <a:srgbClr val="FFFFFF"/>
                        </a:solidFill>
                        <a:ln w="9525">
                          <a:noFill/>
                          <a:miter lim="800000"/>
                          <a:headEnd/>
                          <a:tailEnd/>
                        </a:ln>
                      </wps:spPr>
                      <wps:txbx>
                        <w:txbxContent>
                          <w:p w14:paraId="080EFF15" w14:textId="7A453BAD" w:rsidR="00887356" w:rsidRPr="00887356" w:rsidRDefault="00887356" w:rsidP="00887356">
                            <w:pPr>
                              <w:rPr>
                                <w:color w:val="7F7F7F" w:themeColor="text1" w:themeTint="80"/>
                                <w:sz w:val="12"/>
                                <w:szCs w:val="12"/>
                                <w:lang w:val="lv-LV"/>
                              </w:rPr>
                            </w:pPr>
                            <w:r>
                              <w:rPr>
                                <w:color w:val="7F7F7F" w:themeColor="text1" w:themeTint="80"/>
                                <w:sz w:val="12"/>
                                <w:szCs w:val="12"/>
                                <w:lang w:val="lv-LV"/>
                              </w:rPr>
                              <w:t>PPP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5374" id="_x0000_s1035" type="#_x0000_t202" style="position:absolute;left:0;text-align:left;margin-left:378pt;margin-top:40.85pt;width:96pt;height:25.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" stroked="f">
                <v:textbox>
                  <w:txbxContent>
                    <w:p w14:paraId="080EFF15" w14:textId="7A453BAD" w:rsidR="00887356" w:rsidRPr="00887356" w:rsidRDefault="00887356" w:rsidP="00887356">
                      <w:pPr>
                        <w:rPr>
                          <w:color w:val="7F7F7F" w:themeColor="text1" w:themeTint="80"/>
                          <w:sz w:val="12"/>
                          <w:szCs w:val="12"/>
                          <w:lang w:val="lv-LV"/>
                        </w:rPr>
                      </w:pPr>
                      <w:r>
                        <w:rPr>
                          <w:color w:val="7F7F7F" w:themeColor="text1" w:themeTint="80"/>
                          <w:sz w:val="12"/>
                          <w:szCs w:val="12"/>
                          <w:lang w:val="lv-LV"/>
                        </w:rPr>
                        <w:t>PPP project implementation</w:t>
                      </w:r>
                    </w:p>
                  </w:txbxContent>
                </v:textbox>
                <w10:wrap anchorx="margin"/>
              </v:shape>
            </w:pict>
          </mc:Fallback>
        </mc:AlternateContent>
      </w:r>
      <w:r w:rsidR="00887356" w:rsidRPr="00CC7CF8">
        <w:rPr>
          <w:rFonts w:ascii="Verdana" w:hAnsi="Verdana"/>
          <w:noProof/>
          <w:sz w:val="18"/>
        </w:rPr>
        <mc:AlternateContent>
          <mc:Choice Requires="wps">
            <w:drawing>
              <wp:anchor distT="45720" distB="45720" distL="114300" distR="114300" simplePos="0" relativeHeight="251658278" behindDoc="0" locked="0" layoutInCell="1" allowOverlap="1" wp14:anchorId="74244C03" wp14:editId="3E16B448">
                <wp:simplePos x="0" y="0"/>
                <wp:positionH relativeFrom="margin">
                  <wp:posOffset>3295650</wp:posOffset>
                </wp:positionH>
                <wp:positionV relativeFrom="paragraph">
                  <wp:posOffset>544195</wp:posOffset>
                </wp:positionV>
                <wp:extent cx="1219200" cy="323850"/>
                <wp:effectExtent l="0" t="0" r="0" b="0"/>
                <wp:wrapNone/>
                <wp:docPr id="906211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solidFill>
                          <a:srgbClr val="FFFFFF"/>
                        </a:solidFill>
                        <a:ln w="9525">
                          <a:noFill/>
                          <a:miter lim="800000"/>
                          <a:headEnd/>
                          <a:tailEnd/>
                        </a:ln>
                      </wps:spPr>
                      <wps:txbx>
                        <w:txbxContent>
                          <w:p w14:paraId="42ABB484" w14:textId="11BA07A3" w:rsidR="00887356" w:rsidRPr="00887356" w:rsidRDefault="00887356" w:rsidP="00887356">
                            <w:pPr>
                              <w:rPr>
                                <w:color w:val="7F7F7F" w:themeColor="text1" w:themeTint="80"/>
                                <w:sz w:val="12"/>
                                <w:szCs w:val="12"/>
                                <w:lang w:val="lv-LV"/>
                              </w:rPr>
                            </w:pPr>
                            <w:r w:rsidRPr="00887356">
                              <w:rPr>
                                <w:color w:val="7F7F7F" w:themeColor="text1" w:themeTint="80"/>
                                <w:sz w:val="12"/>
                                <w:szCs w:val="12"/>
                                <w:lang w:val="lv-LV"/>
                              </w:rPr>
                              <w:t xml:space="preserve">Procurement/ Concession procedure </w:t>
                            </w:r>
                            <w:r>
                              <w:rPr>
                                <w:color w:val="7F7F7F" w:themeColor="text1" w:themeTint="80"/>
                                <w:sz w:val="12"/>
                                <w:szCs w:val="12"/>
                                <w:lang w:val="lv-LV"/>
                              </w:rPr>
                              <w:t>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44C03" id="_x0000_s1036" type="#_x0000_t202" style="position:absolute;left:0;text-align:left;margin-left:259.5pt;margin-top:42.85pt;width:96pt;height:25.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" stroked="f">
                <v:textbox>
                  <w:txbxContent>
                    <w:p w14:paraId="42ABB484" w14:textId="11BA07A3" w:rsidR="00887356" w:rsidRPr="00887356" w:rsidRDefault="00887356" w:rsidP="00887356">
                      <w:pPr>
                        <w:rPr>
                          <w:color w:val="7F7F7F" w:themeColor="text1" w:themeTint="80"/>
                          <w:sz w:val="12"/>
                          <w:szCs w:val="12"/>
                          <w:lang w:val="lv-LV"/>
                        </w:rPr>
                      </w:pPr>
                      <w:r w:rsidRPr="00887356">
                        <w:rPr>
                          <w:color w:val="7F7F7F" w:themeColor="text1" w:themeTint="80"/>
                          <w:sz w:val="12"/>
                          <w:szCs w:val="12"/>
                          <w:lang w:val="lv-LV"/>
                        </w:rPr>
                        <w:t xml:space="preserve">Procurement/ Concession procedure </w:t>
                      </w:r>
                      <w:r>
                        <w:rPr>
                          <w:color w:val="7F7F7F" w:themeColor="text1" w:themeTint="80"/>
                          <w:sz w:val="12"/>
                          <w:szCs w:val="12"/>
                          <w:lang w:val="lv-LV"/>
                        </w:rPr>
                        <w:t>process</w:t>
                      </w:r>
                    </w:p>
                  </w:txbxContent>
                </v:textbox>
                <w10:wrap anchorx="margin"/>
              </v:shape>
            </w:pict>
          </mc:Fallback>
        </mc:AlternateContent>
      </w:r>
      <w:r w:rsidR="00887356" w:rsidRPr="00CC7CF8">
        <w:rPr>
          <w:rFonts w:ascii="Verdana" w:hAnsi="Verdana"/>
          <w:noProof/>
          <w:sz w:val="18"/>
        </w:rPr>
        <mc:AlternateContent>
          <mc:Choice Requires="wps">
            <w:drawing>
              <wp:anchor distT="45720" distB="45720" distL="114300" distR="114300" simplePos="0" relativeHeight="251658277" behindDoc="0" locked="0" layoutInCell="1" allowOverlap="1" wp14:anchorId="5AF29DCF" wp14:editId="57745520">
                <wp:simplePos x="0" y="0"/>
                <wp:positionH relativeFrom="margin">
                  <wp:posOffset>1803400</wp:posOffset>
                </wp:positionH>
                <wp:positionV relativeFrom="paragraph">
                  <wp:posOffset>525145</wp:posOffset>
                </wp:positionV>
                <wp:extent cx="1219200" cy="323850"/>
                <wp:effectExtent l="0" t="0" r="0" b="0"/>
                <wp:wrapNone/>
                <wp:docPr id="1589080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solidFill>
                          <a:srgbClr val="FFFFFF"/>
                        </a:solidFill>
                        <a:ln w="9525">
                          <a:noFill/>
                          <a:miter lim="800000"/>
                          <a:headEnd/>
                          <a:tailEnd/>
                        </a:ln>
                      </wps:spPr>
                      <wps:txbx>
                        <w:txbxContent>
                          <w:p w14:paraId="289431D3" w14:textId="604AB150" w:rsidR="00887356" w:rsidRPr="00887356" w:rsidRDefault="00887356" w:rsidP="00887356">
                            <w:pPr>
                              <w:rPr>
                                <w:color w:val="7F7F7F" w:themeColor="text1" w:themeTint="80"/>
                                <w:sz w:val="12"/>
                                <w:szCs w:val="12"/>
                                <w:lang w:val="lv-LV"/>
                              </w:rPr>
                            </w:pPr>
                            <w:r w:rsidRPr="00887356">
                              <w:rPr>
                                <w:color w:val="7F7F7F" w:themeColor="text1" w:themeTint="80"/>
                                <w:sz w:val="12"/>
                                <w:szCs w:val="12"/>
                                <w:lang w:val="lv-LV"/>
                              </w:rPr>
                              <w:t>Procurement/ Concession procedure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9DCF" id="_x0000_s1037" type="#_x0000_t202" style="position:absolute;left:0;text-align:left;margin-left:142pt;margin-top:41.35pt;width:96pt;height:25.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" stroked="f">
                <v:textbox>
                  <w:txbxContent>
                    <w:p w14:paraId="289431D3" w14:textId="604AB150" w:rsidR="00887356" w:rsidRPr="00887356" w:rsidRDefault="00887356" w:rsidP="00887356">
                      <w:pPr>
                        <w:rPr>
                          <w:color w:val="7F7F7F" w:themeColor="text1" w:themeTint="80"/>
                          <w:sz w:val="12"/>
                          <w:szCs w:val="12"/>
                          <w:lang w:val="lv-LV"/>
                        </w:rPr>
                      </w:pPr>
                      <w:r w:rsidRPr="00887356">
                        <w:rPr>
                          <w:color w:val="7F7F7F" w:themeColor="text1" w:themeTint="80"/>
                          <w:sz w:val="12"/>
                          <w:szCs w:val="12"/>
                          <w:lang w:val="lv-LV"/>
                        </w:rPr>
                        <w:t>Procurement/ Concession procedure preparation</w:t>
                      </w:r>
                    </w:p>
                  </w:txbxContent>
                </v:textbox>
                <w10:wrap anchorx="margin"/>
              </v:shape>
            </w:pict>
          </mc:Fallback>
        </mc:AlternateContent>
      </w:r>
      <w:r w:rsidR="00DC19F3" w:rsidRPr="00CC7CF8">
        <w:rPr>
          <w:rFonts w:ascii="Verdana" w:hAnsi="Verdana"/>
          <w:noProof/>
          <w:sz w:val="18"/>
        </w:rPr>
        <mc:AlternateContent>
          <mc:Choice Requires="wps">
            <w:drawing>
              <wp:anchor distT="45720" distB="45720" distL="114300" distR="114300" simplePos="0" relativeHeight="251658276" behindDoc="0" locked="0" layoutInCell="1" allowOverlap="1" wp14:anchorId="4AB316CD" wp14:editId="1A59952B">
                <wp:simplePos x="0" y="0"/>
                <wp:positionH relativeFrom="margin">
                  <wp:align>left</wp:align>
                </wp:positionH>
                <wp:positionV relativeFrom="paragraph">
                  <wp:posOffset>1826895</wp:posOffset>
                </wp:positionV>
                <wp:extent cx="1441450" cy="1473200"/>
                <wp:effectExtent l="0" t="0" r="25400" b="12700"/>
                <wp:wrapNone/>
                <wp:docPr id="807263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73200"/>
                        </a:xfrm>
                        <a:prstGeom prst="rect">
                          <a:avLst/>
                        </a:prstGeom>
                        <a:solidFill>
                          <a:srgbClr val="FFFFFF"/>
                        </a:solidFill>
                        <a:ln w="9525">
                          <a:solidFill>
                            <a:srgbClr val="92D050"/>
                          </a:solidFill>
                          <a:miter lim="800000"/>
                          <a:headEnd/>
                          <a:tailEnd/>
                        </a:ln>
                      </wps:spPr>
                      <wps:txbx>
                        <w:txbxContent>
                          <w:p w14:paraId="73A9DF81" w14:textId="75B1EF12" w:rsidR="00DC19F3" w:rsidRPr="001D4D09" w:rsidRDefault="00DC19F3" w:rsidP="00DC19F3">
                            <w:pPr>
                              <w:spacing w:after="0"/>
                              <w:jc w:val="center"/>
                              <w:rPr>
                                <w:b/>
                                <w:bCs/>
                                <w:color w:val="86BC25" w:themeColor="accent1"/>
                                <w:sz w:val="10"/>
                                <w:szCs w:val="10"/>
                                <w:lang w:val="en-GB"/>
                              </w:rPr>
                            </w:pPr>
                            <w:r w:rsidRPr="001D4D09">
                              <w:rPr>
                                <w:b/>
                                <w:bCs/>
                                <w:color w:val="86BC25" w:themeColor="accent1"/>
                                <w:sz w:val="10"/>
                                <w:szCs w:val="10"/>
                                <w:lang w:val="en-GB"/>
                              </w:rPr>
                              <w:t>1.</w:t>
                            </w:r>
                            <w:r>
                              <w:rPr>
                                <w:b/>
                                <w:bCs/>
                                <w:color w:val="86BC25" w:themeColor="accent1"/>
                                <w:sz w:val="10"/>
                                <w:szCs w:val="10"/>
                                <w:lang w:val="en-GB"/>
                              </w:rPr>
                              <w:t>2 PPP arrangement and PPP model</w:t>
                            </w:r>
                          </w:p>
                          <w:p w14:paraId="490872F4" w14:textId="6FABC0EE"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PPP arrangement suitability analysis</w:t>
                            </w:r>
                          </w:p>
                          <w:p w14:paraId="706D44B5" w14:textId="5ADC4E27"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Identifying one or more suitable PPP models</w:t>
                            </w:r>
                          </w:p>
                          <w:p w14:paraId="6A6D915F" w14:textId="3A4B939F" w:rsidR="00DC19F3" w:rsidRDefault="00DC19F3" w:rsidP="00DC19F3">
                            <w:pPr>
                              <w:pStyle w:val="Sarakstarindkopa"/>
                              <w:numPr>
                                <w:ilvl w:val="0"/>
                                <w:numId w:val="59"/>
                              </w:numPr>
                              <w:spacing w:after="0"/>
                              <w:ind w:left="0" w:firstLine="0"/>
                              <w:rPr>
                                <w:b/>
                                <w:bCs/>
                                <w:sz w:val="10"/>
                                <w:szCs w:val="10"/>
                                <w:lang w:val="en-GB"/>
                              </w:rPr>
                            </w:pPr>
                            <w:r w:rsidRPr="00DC19F3">
                              <w:rPr>
                                <w:b/>
                                <w:bCs/>
                                <w:sz w:val="10"/>
                                <w:szCs w:val="10"/>
                                <w:lang w:val="en-GB"/>
                              </w:rPr>
                              <w:t>Analysis of availability of investment</w:t>
                            </w:r>
                          </w:p>
                          <w:p w14:paraId="23B22FC5" w14:textId="0002EE4C"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 xml:space="preserve">Assessment of finance </w:t>
                            </w:r>
                            <w:r w:rsidR="00D52A77">
                              <w:rPr>
                                <w:b/>
                                <w:bCs/>
                                <w:sz w:val="10"/>
                                <w:szCs w:val="10"/>
                                <w:lang w:val="en-GB"/>
                              </w:rPr>
                              <w:t>attracting</w:t>
                            </w:r>
                          </w:p>
                          <w:p w14:paraId="257C8E25" w14:textId="21786FE2"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Statistical treatment assessment</w:t>
                            </w:r>
                          </w:p>
                          <w:p w14:paraId="0706D47C" w14:textId="1CA432DE"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Project risk analysis: identification and allocation</w:t>
                            </w:r>
                          </w:p>
                          <w:p w14:paraId="51B793CE" w14:textId="27714C5C" w:rsidR="00DC19F3" w:rsidRP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Financial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316CD" id="_x0000_s1038" type="#_x0000_t202" style="position:absolute;left:0;text-align:left;margin-left:0;margin-top:143.85pt;width:113.5pt;height:116pt;z-index:2516582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" strokecolor="#92d050">
                <v:textbox>
                  <w:txbxContent>
                    <w:p w14:paraId="73A9DF81" w14:textId="75B1EF12" w:rsidR="00DC19F3" w:rsidRPr="001D4D09" w:rsidRDefault="00DC19F3" w:rsidP="00DC19F3">
                      <w:pPr>
                        <w:spacing w:after="0"/>
                        <w:jc w:val="center"/>
                        <w:rPr>
                          <w:b/>
                          <w:bCs/>
                          <w:color w:val="86BC25" w:themeColor="accent1"/>
                          <w:sz w:val="10"/>
                          <w:szCs w:val="10"/>
                          <w:lang w:val="en-GB"/>
                        </w:rPr>
                      </w:pPr>
                      <w:r w:rsidRPr="001D4D09">
                        <w:rPr>
                          <w:b/>
                          <w:bCs/>
                          <w:color w:val="86BC25" w:themeColor="accent1"/>
                          <w:sz w:val="10"/>
                          <w:szCs w:val="10"/>
                          <w:lang w:val="en-GB"/>
                        </w:rPr>
                        <w:t>1.</w:t>
                      </w:r>
                      <w:r>
                        <w:rPr>
                          <w:b/>
                          <w:bCs/>
                          <w:color w:val="86BC25" w:themeColor="accent1"/>
                          <w:sz w:val="10"/>
                          <w:szCs w:val="10"/>
                          <w:lang w:val="en-GB"/>
                        </w:rPr>
                        <w:t>2 PPP arrangement and PPP model</w:t>
                      </w:r>
                    </w:p>
                    <w:p w14:paraId="490872F4" w14:textId="6FABC0EE"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PPP arrangement suitability analysis</w:t>
                      </w:r>
                    </w:p>
                    <w:p w14:paraId="706D44B5" w14:textId="5ADC4E27"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Identifying one or more suitable PPP models</w:t>
                      </w:r>
                    </w:p>
                    <w:p w14:paraId="6A6D915F" w14:textId="3A4B939F" w:rsidR="00DC19F3" w:rsidRDefault="00DC19F3" w:rsidP="00DC19F3">
                      <w:pPr>
                        <w:pStyle w:val="Sarakstarindkopa"/>
                        <w:numPr>
                          <w:ilvl w:val="0"/>
                          <w:numId w:val="59"/>
                        </w:numPr>
                        <w:spacing w:after="0"/>
                        <w:ind w:left="0" w:firstLine="0"/>
                        <w:rPr>
                          <w:b/>
                          <w:bCs/>
                          <w:sz w:val="10"/>
                          <w:szCs w:val="10"/>
                          <w:lang w:val="en-GB"/>
                        </w:rPr>
                      </w:pPr>
                      <w:r w:rsidRPr="00DC19F3">
                        <w:rPr>
                          <w:b/>
                          <w:bCs/>
                          <w:sz w:val="10"/>
                          <w:szCs w:val="10"/>
                          <w:lang w:val="en-GB"/>
                        </w:rPr>
                        <w:t>Analysis of availability of investment</w:t>
                      </w:r>
                    </w:p>
                    <w:p w14:paraId="23B22FC5" w14:textId="0002EE4C"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 xml:space="preserve">Assessment of finance </w:t>
                      </w:r>
                      <w:r w:rsidR="00D52A77">
                        <w:rPr>
                          <w:b/>
                          <w:bCs/>
                          <w:sz w:val="10"/>
                          <w:szCs w:val="10"/>
                          <w:lang w:val="en-GB"/>
                        </w:rPr>
                        <w:t>attracting</w:t>
                      </w:r>
                    </w:p>
                    <w:p w14:paraId="257C8E25" w14:textId="21786FE2"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Statistical treatment assessment</w:t>
                      </w:r>
                    </w:p>
                    <w:p w14:paraId="0706D47C" w14:textId="1CA432DE" w:rsid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Project risk analysis: identification and allocation</w:t>
                      </w:r>
                    </w:p>
                    <w:p w14:paraId="51B793CE" w14:textId="27714C5C" w:rsidR="00DC19F3" w:rsidRPr="00DC19F3" w:rsidRDefault="00DC19F3" w:rsidP="00DC19F3">
                      <w:pPr>
                        <w:pStyle w:val="Sarakstarindkopa"/>
                        <w:numPr>
                          <w:ilvl w:val="0"/>
                          <w:numId w:val="59"/>
                        </w:numPr>
                        <w:spacing w:after="0"/>
                        <w:ind w:left="0" w:firstLine="0"/>
                        <w:rPr>
                          <w:b/>
                          <w:bCs/>
                          <w:sz w:val="10"/>
                          <w:szCs w:val="10"/>
                          <w:lang w:val="en-GB"/>
                        </w:rPr>
                      </w:pPr>
                      <w:r>
                        <w:rPr>
                          <w:b/>
                          <w:bCs/>
                          <w:sz w:val="10"/>
                          <w:szCs w:val="10"/>
                          <w:lang w:val="en-GB"/>
                        </w:rPr>
                        <w:t>Financial Model</w:t>
                      </w:r>
                    </w:p>
                  </w:txbxContent>
                </v:textbox>
                <w10:wrap anchorx="margin"/>
              </v:shape>
            </w:pict>
          </mc:Fallback>
        </mc:AlternateContent>
      </w:r>
      <w:r w:rsidR="001D4D09" w:rsidRPr="00CC7CF8">
        <w:rPr>
          <w:rFonts w:ascii="Verdana" w:hAnsi="Verdana"/>
          <w:noProof/>
          <w:sz w:val="18"/>
        </w:rPr>
        <mc:AlternateContent>
          <mc:Choice Requires="wps">
            <w:drawing>
              <wp:anchor distT="45720" distB="45720" distL="114300" distR="114300" simplePos="0" relativeHeight="251658275" behindDoc="0" locked="0" layoutInCell="1" allowOverlap="1" wp14:anchorId="64B7FB08" wp14:editId="7CAF1F12">
                <wp:simplePos x="0" y="0"/>
                <wp:positionH relativeFrom="margin">
                  <wp:posOffset>31750</wp:posOffset>
                </wp:positionH>
                <wp:positionV relativeFrom="paragraph">
                  <wp:posOffset>848995</wp:posOffset>
                </wp:positionV>
                <wp:extent cx="1409700" cy="806450"/>
                <wp:effectExtent l="0" t="0" r="19050" b="12700"/>
                <wp:wrapNone/>
                <wp:docPr id="1256822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06450"/>
                        </a:xfrm>
                        <a:prstGeom prst="rect">
                          <a:avLst/>
                        </a:prstGeom>
                        <a:solidFill>
                          <a:srgbClr val="FFFFFF"/>
                        </a:solidFill>
                        <a:ln w="9525">
                          <a:solidFill>
                            <a:srgbClr val="92D050"/>
                          </a:solidFill>
                          <a:miter lim="800000"/>
                          <a:headEnd/>
                          <a:tailEnd/>
                        </a:ln>
                      </wps:spPr>
                      <wps:txbx>
                        <w:txbxContent>
                          <w:p w14:paraId="27367D48" w14:textId="467090E7" w:rsidR="001D4D09" w:rsidRPr="001D4D09" w:rsidRDefault="001D4D09" w:rsidP="004F12D7">
                            <w:pPr>
                              <w:spacing w:after="0"/>
                              <w:jc w:val="center"/>
                              <w:rPr>
                                <w:b/>
                                <w:bCs/>
                                <w:color w:val="86BC25" w:themeColor="accent1"/>
                                <w:sz w:val="10"/>
                                <w:szCs w:val="10"/>
                                <w:lang w:val="en-GB"/>
                              </w:rPr>
                            </w:pPr>
                            <w:r w:rsidRPr="001D4D09">
                              <w:rPr>
                                <w:b/>
                                <w:bCs/>
                                <w:color w:val="86BC25" w:themeColor="accent1"/>
                                <w:sz w:val="10"/>
                                <w:szCs w:val="10"/>
                                <w:lang w:val="en-GB"/>
                              </w:rPr>
                              <w:t>1.1 Project</w:t>
                            </w:r>
                          </w:p>
                          <w:p w14:paraId="61331E98" w14:textId="7F3F5455" w:rsidR="001D4D09" w:rsidRPr="001D4D09" w:rsidRDefault="001D4D09" w:rsidP="001D4D09">
                            <w:pPr>
                              <w:pStyle w:val="Sarakstarindkopa"/>
                              <w:numPr>
                                <w:ilvl w:val="0"/>
                                <w:numId w:val="59"/>
                              </w:numPr>
                              <w:spacing w:after="0"/>
                              <w:ind w:left="0" w:firstLine="0"/>
                              <w:rPr>
                                <w:b/>
                                <w:bCs/>
                                <w:sz w:val="10"/>
                                <w:szCs w:val="10"/>
                                <w:lang w:val="en-GB"/>
                              </w:rPr>
                            </w:pPr>
                            <w:r w:rsidRPr="001D4D09">
                              <w:rPr>
                                <w:b/>
                                <w:bCs/>
                                <w:sz w:val="10"/>
                                <w:szCs w:val="10"/>
                                <w:lang w:val="en-GB"/>
                              </w:rPr>
                              <w:t>Project identification</w:t>
                            </w:r>
                          </w:p>
                          <w:p w14:paraId="185D552C" w14:textId="0005BC60" w:rsidR="001D4D09" w:rsidRPr="001D4D09" w:rsidRDefault="001D4D09" w:rsidP="001D4D09">
                            <w:pPr>
                              <w:pStyle w:val="Sarakstarindkopa"/>
                              <w:numPr>
                                <w:ilvl w:val="0"/>
                                <w:numId w:val="59"/>
                              </w:numPr>
                              <w:spacing w:after="0"/>
                              <w:ind w:left="0" w:firstLine="0"/>
                              <w:rPr>
                                <w:b/>
                                <w:bCs/>
                                <w:sz w:val="10"/>
                                <w:szCs w:val="10"/>
                                <w:lang w:val="en-GB"/>
                              </w:rPr>
                            </w:pPr>
                            <w:r w:rsidRPr="001D4D09">
                              <w:rPr>
                                <w:b/>
                                <w:bCs/>
                                <w:sz w:val="10"/>
                                <w:szCs w:val="10"/>
                                <w:lang w:val="en-GB"/>
                              </w:rPr>
                              <w:t>Project preliminary research; financial and economic justification development</w:t>
                            </w:r>
                          </w:p>
                          <w:p w14:paraId="7B76BFE7" w14:textId="127043EA" w:rsidR="001D4D09" w:rsidRPr="001D4D09" w:rsidRDefault="001D4D09" w:rsidP="001D4D09">
                            <w:pPr>
                              <w:pStyle w:val="Sarakstarindkopa"/>
                              <w:numPr>
                                <w:ilvl w:val="0"/>
                                <w:numId w:val="59"/>
                              </w:numPr>
                              <w:spacing w:after="0"/>
                              <w:ind w:left="0" w:firstLine="0"/>
                              <w:rPr>
                                <w:b/>
                                <w:bCs/>
                                <w:sz w:val="10"/>
                                <w:szCs w:val="10"/>
                                <w:lang w:val="en-GB"/>
                              </w:rPr>
                            </w:pPr>
                            <w:r w:rsidRPr="001D4D09">
                              <w:rPr>
                                <w:b/>
                                <w:bCs/>
                                <w:sz w:val="10"/>
                                <w:szCs w:val="10"/>
                                <w:lang w:val="en-GB"/>
                              </w:rPr>
                              <w:t>Project feasibility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FB08" id="_x0000_s1039" type="#_x0000_t202" style="position:absolute;left:0;text-align:left;margin-left:2.5pt;margin-top:66.85pt;width:111pt;height:63.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" strokecolor="#92d050">
                <v:textbox>
                  <w:txbxContent>
                    <w:p w14:paraId="27367D48" w14:textId="467090E7" w:rsidR="001D4D09" w:rsidRPr="001D4D09" w:rsidRDefault="001D4D09" w:rsidP="004F12D7">
                      <w:pPr>
                        <w:spacing w:after="0"/>
                        <w:jc w:val="center"/>
                        <w:rPr>
                          <w:b/>
                          <w:bCs/>
                          <w:color w:val="86BC25" w:themeColor="accent1"/>
                          <w:sz w:val="10"/>
                          <w:szCs w:val="10"/>
                          <w:lang w:val="en-GB"/>
                        </w:rPr>
                      </w:pPr>
                      <w:r w:rsidRPr="001D4D09">
                        <w:rPr>
                          <w:b/>
                          <w:bCs/>
                          <w:color w:val="86BC25" w:themeColor="accent1"/>
                          <w:sz w:val="10"/>
                          <w:szCs w:val="10"/>
                          <w:lang w:val="en-GB"/>
                        </w:rPr>
                        <w:t>1.1 Project</w:t>
                      </w:r>
                    </w:p>
                    <w:p w14:paraId="61331E98" w14:textId="7F3F5455" w:rsidR="001D4D09" w:rsidRPr="001D4D09" w:rsidRDefault="001D4D09" w:rsidP="001D4D09">
                      <w:pPr>
                        <w:pStyle w:val="Sarakstarindkopa"/>
                        <w:numPr>
                          <w:ilvl w:val="0"/>
                          <w:numId w:val="59"/>
                        </w:numPr>
                        <w:spacing w:after="0"/>
                        <w:ind w:left="0" w:firstLine="0"/>
                        <w:rPr>
                          <w:b/>
                          <w:bCs/>
                          <w:sz w:val="10"/>
                          <w:szCs w:val="10"/>
                          <w:lang w:val="en-GB"/>
                        </w:rPr>
                      </w:pPr>
                      <w:r w:rsidRPr="001D4D09">
                        <w:rPr>
                          <w:b/>
                          <w:bCs/>
                          <w:sz w:val="10"/>
                          <w:szCs w:val="10"/>
                          <w:lang w:val="en-GB"/>
                        </w:rPr>
                        <w:t>Project identification</w:t>
                      </w:r>
                    </w:p>
                    <w:p w14:paraId="185D552C" w14:textId="0005BC60" w:rsidR="001D4D09" w:rsidRPr="001D4D09" w:rsidRDefault="001D4D09" w:rsidP="001D4D09">
                      <w:pPr>
                        <w:pStyle w:val="Sarakstarindkopa"/>
                        <w:numPr>
                          <w:ilvl w:val="0"/>
                          <w:numId w:val="59"/>
                        </w:numPr>
                        <w:spacing w:after="0"/>
                        <w:ind w:left="0" w:firstLine="0"/>
                        <w:rPr>
                          <w:b/>
                          <w:bCs/>
                          <w:sz w:val="10"/>
                          <w:szCs w:val="10"/>
                          <w:lang w:val="en-GB"/>
                        </w:rPr>
                      </w:pPr>
                      <w:r w:rsidRPr="001D4D09">
                        <w:rPr>
                          <w:b/>
                          <w:bCs/>
                          <w:sz w:val="10"/>
                          <w:szCs w:val="10"/>
                          <w:lang w:val="en-GB"/>
                        </w:rPr>
                        <w:t>Project preliminary research; financial and economic justification development</w:t>
                      </w:r>
                    </w:p>
                    <w:p w14:paraId="7B76BFE7" w14:textId="127043EA" w:rsidR="001D4D09" w:rsidRPr="001D4D09" w:rsidRDefault="001D4D09" w:rsidP="001D4D09">
                      <w:pPr>
                        <w:pStyle w:val="Sarakstarindkopa"/>
                        <w:numPr>
                          <w:ilvl w:val="0"/>
                          <w:numId w:val="59"/>
                        </w:numPr>
                        <w:spacing w:after="0"/>
                        <w:ind w:left="0" w:firstLine="0"/>
                        <w:rPr>
                          <w:b/>
                          <w:bCs/>
                          <w:sz w:val="10"/>
                          <w:szCs w:val="10"/>
                          <w:lang w:val="en-GB"/>
                        </w:rPr>
                      </w:pPr>
                      <w:r w:rsidRPr="001D4D09">
                        <w:rPr>
                          <w:b/>
                          <w:bCs/>
                          <w:sz w:val="10"/>
                          <w:szCs w:val="10"/>
                          <w:lang w:val="en-GB"/>
                        </w:rPr>
                        <w:t>Project feasibility assessment</w:t>
                      </w:r>
                    </w:p>
                  </w:txbxContent>
                </v:textbox>
                <w10:wrap anchorx="margin"/>
              </v:shape>
            </w:pict>
          </mc:Fallback>
        </mc:AlternateContent>
      </w:r>
      <w:r w:rsidR="001D4D09" w:rsidRPr="00CC7CF8">
        <w:rPr>
          <w:rFonts w:ascii="Verdana" w:hAnsi="Verdana"/>
          <w:noProof/>
          <w:sz w:val="18"/>
        </w:rPr>
        <mc:AlternateContent>
          <mc:Choice Requires="wps">
            <w:drawing>
              <wp:anchor distT="45720" distB="45720" distL="114300" distR="114300" simplePos="0" relativeHeight="251658274" behindDoc="0" locked="0" layoutInCell="1" allowOverlap="1" wp14:anchorId="75A51246" wp14:editId="324DE53D">
                <wp:simplePos x="0" y="0"/>
                <wp:positionH relativeFrom="margin">
                  <wp:posOffset>304800</wp:posOffset>
                </wp:positionH>
                <wp:positionV relativeFrom="paragraph">
                  <wp:posOffset>531495</wp:posOffset>
                </wp:positionV>
                <wp:extent cx="781050" cy="285750"/>
                <wp:effectExtent l="0" t="0" r="0" b="0"/>
                <wp:wrapNone/>
                <wp:docPr id="769024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solidFill>
                          <a:srgbClr val="FFFFFF"/>
                        </a:solidFill>
                        <a:ln w="9525">
                          <a:noFill/>
                          <a:miter lim="800000"/>
                          <a:headEnd/>
                          <a:tailEnd/>
                        </a:ln>
                      </wps:spPr>
                      <wps:txbx>
                        <w:txbxContent>
                          <w:p w14:paraId="5494D19A" w14:textId="747F018D" w:rsidR="001D4D09" w:rsidRPr="00887356" w:rsidRDefault="001D4D09" w:rsidP="001D4D09">
                            <w:pPr>
                              <w:rPr>
                                <w:color w:val="86BC25" w:themeColor="accent1"/>
                                <w:sz w:val="12"/>
                                <w:szCs w:val="12"/>
                                <w:lang w:val="lv-LV"/>
                              </w:rPr>
                            </w:pPr>
                            <w:r w:rsidRPr="00887356">
                              <w:rPr>
                                <w:color w:val="86BC25" w:themeColor="accent1"/>
                                <w:sz w:val="12"/>
                                <w:szCs w:val="12"/>
                                <w:lang w:val="lv-LV"/>
                              </w:rPr>
                              <w:t>Project identification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51246" id="_x0000_s1040" type="#_x0000_t202" style="position:absolute;left:0;text-align:left;margin-left:24pt;margin-top:41.85pt;width:61.5pt;height:22.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" stroked="f">
                <v:textbox>
                  <w:txbxContent>
                    <w:p w14:paraId="5494D19A" w14:textId="747F018D" w:rsidR="001D4D09" w:rsidRPr="00887356" w:rsidRDefault="001D4D09" w:rsidP="001D4D09">
                      <w:pPr>
                        <w:rPr>
                          <w:color w:val="86BC25" w:themeColor="accent1"/>
                          <w:sz w:val="12"/>
                          <w:szCs w:val="12"/>
                          <w:lang w:val="lv-LV"/>
                        </w:rPr>
                      </w:pPr>
                      <w:r w:rsidRPr="00887356">
                        <w:rPr>
                          <w:color w:val="86BC25" w:themeColor="accent1"/>
                          <w:sz w:val="12"/>
                          <w:szCs w:val="12"/>
                          <w:lang w:val="lv-LV"/>
                        </w:rPr>
                        <w:t>Project identification</w:t>
                      </w:r>
                    </w:p>
                  </w:txbxContent>
                </v:textbox>
                <w10:wrap anchorx="margin"/>
              </v:shape>
            </w:pict>
          </mc:Fallback>
        </mc:AlternateContent>
      </w:r>
      <w:r w:rsidR="00612537">
        <w:rPr>
          <w:noProof/>
          <w:color w:val="2B579A"/>
          <w:shd w:val="clear" w:color="auto" w:fill="E6E6E6"/>
        </w:rPr>
        <mc:AlternateContent>
          <mc:Choice Requires="wps">
            <w:drawing>
              <wp:anchor distT="0" distB="0" distL="114300" distR="114300" simplePos="0" relativeHeight="251658248" behindDoc="0" locked="0" layoutInCell="1" allowOverlap="1" wp14:anchorId="14973618" wp14:editId="434D3A02">
                <wp:simplePos x="0" y="0"/>
                <wp:positionH relativeFrom="column">
                  <wp:posOffset>16510</wp:posOffset>
                </wp:positionH>
                <wp:positionV relativeFrom="paragraph">
                  <wp:posOffset>3409315</wp:posOffset>
                </wp:positionV>
                <wp:extent cx="5848350" cy="635"/>
                <wp:effectExtent l="0" t="0" r="0" b="0"/>
                <wp:wrapTopAndBottom/>
                <wp:docPr id="146" name="Text Box 146"/>
                <wp:cNvGraphicFramePr/>
                <a:graphic xmlns:a="http://schemas.openxmlformats.org/drawingml/2006/main">
                  <a:graphicData uri="http://schemas.microsoft.com/office/word/2010/wordprocessingShape">
                    <wps:wsp>
                      <wps:cNvSpPr txBox="1"/>
                      <wps:spPr>
                        <a:xfrm>
                          <a:off x="0" y="0"/>
                          <a:ext cx="5848350" cy="635"/>
                        </a:xfrm>
                        <a:prstGeom prst="rect">
                          <a:avLst/>
                        </a:prstGeom>
                        <a:solidFill>
                          <a:prstClr val="white"/>
                        </a:solidFill>
                        <a:ln>
                          <a:noFill/>
                        </a:ln>
                      </wps:spPr>
                      <wps:txbx>
                        <w:txbxContent>
                          <w:p w14:paraId="2BADAB0E" w14:textId="77777777" w:rsidR="00EF0F26" w:rsidRPr="0015600C" w:rsidRDefault="00EF0F26" w:rsidP="0004449E">
                            <w:pPr>
                              <w:pStyle w:val="Parakstszemobjekta"/>
                              <w:jc w:val="right"/>
                              <w:rPr>
                                <w:rFonts w:ascii="Verdana" w:hAnsi="Verdana"/>
                                <w:noProof/>
                                <w:sz w:val="40"/>
                                <w:szCs w:val="40"/>
                              </w:rPr>
                            </w:pPr>
                            <w:r>
                              <w:t xml:space="preserve"> Figure 1: The Role of the Guidelines for the Development of Financial and Economic Calculations for Public-Private Partnerships in the Life Cycle of a PPP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973618" id="Text Box 146" o:spid="_x0000_s1041" type="#_x0000_t202" style="position:absolute;left:0;text-align:left;margin-left:1.3pt;margin-top:268.45pt;width:460.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" stroked="f">
                <v:textbox style="mso-fit-shape-to-text:t" inset="0,0,0,0">
                  <w:txbxContent>
                    <w:p w14:paraId="2BADAB0E" w14:textId="77777777" w:rsidR="00EF0F26" w:rsidRPr="0015600C" w:rsidRDefault="00EF0F26" w:rsidP="0004449E">
                      <w:pPr>
                        <w:pStyle w:val="Parakstszemobjekta"/>
                        <w:jc w:val="right"/>
                        <w:rPr>
                          <w:rFonts w:ascii="Verdana" w:hAnsi="Verdana"/>
                          <w:noProof/>
                          <w:sz w:val="40"/>
                          <w:szCs w:val="40"/>
                        </w:rPr>
                      </w:pPr>
                      <w:r>
                        <w:t xml:space="preserve"> Figure 1: The Role of the Guidelines for the Development of Financial and Economic Calculations for Public-Private Partnerships in the Life Cycle of a PPP Project.</w:t>
                      </w:r>
                    </w:p>
                  </w:txbxContent>
                </v:textbox>
                <w10:wrap type="topAndBottom"/>
              </v:shape>
            </w:pict>
          </mc:Fallback>
        </mc:AlternateContent>
      </w:r>
      <w:r w:rsidR="00612537">
        <w:rPr>
          <w:rFonts w:ascii="Verdana" w:hAnsi="Verdana"/>
          <w:sz w:val="18"/>
        </w:rPr>
        <w:t>The life cycle of a PPP project consists of four phases, each of which comprises two successive stages. The Guidelines cover both stages</w:t>
      </w:r>
      <w:r w:rsidR="00612537">
        <w:t xml:space="preserve"> </w:t>
      </w:r>
      <w:r w:rsidR="00612537" w:rsidRPr="00E76550">
        <w:rPr>
          <w:sz w:val="18"/>
          <w:szCs w:val="18"/>
        </w:rPr>
        <w:t>- "Project" and "PPP Arrangement and PPP Model" - of the first phase</w:t>
      </w:r>
      <w:r w:rsidR="00612537">
        <w:t xml:space="preserve"> </w:t>
      </w:r>
      <w:r w:rsidR="00612537" w:rsidRPr="00E76550">
        <w:rPr>
          <w:sz w:val="18"/>
          <w:szCs w:val="18"/>
        </w:rPr>
        <w:t>- "Project Identification" - of the life cycle of a PPP project</w:t>
      </w:r>
      <w:r w:rsidR="00612537" w:rsidRPr="00E76550">
        <w:rPr>
          <w:rFonts w:ascii="Verdana" w:hAnsi="Verdana"/>
          <w:sz w:val="18"/>
          <w:szCs w:val="18"/>
        </w:rPr>
        <w:t>.</w:t>
      </w:r>
      <w:r w:rsidR="00612537" w:rsidRPr="00E76550">
        <w:rPr>
          <w:noProof/>
          <w:sz w:val="18"/>
          <w:szCs w:val="18"/>
        </w:rPr>
        <w:drawing>
          <wp:anchor distT="0" distB="0" distL="114300" distR="114300" simplePos="0" relativeHeight="251658265" behindDoc="0" locked="0" layoutInCell="1" allowOverlap="1" wp14:anchorId="4C971240" wp14:editId="43E1A268">
            <wp:simplePos x="0" y="0"/>
            <wp:positionH relativeFrom="column">
              <wp:posOffset>0</wp:posOffset>
            </wp:positionH>
            <wp:positionV relativeFrom="paragraph">
              <wp:posOffset>450850</wp:posOffset>
            </wp:positionV>
            <wp:extent cx="5943600" cy="2917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917190"/>
                    </a:xfrm>
                    <a:prstGeom prst="rect">
                      <a:avLst/>
                    </a:prstGeom>
                  </pic:spPr>
                </pic:pic>
              </a:graphicData>
            </a:graphic>
          </wp:anchor>
        </w:drawing>
      </w:r>
    </w:p>
    <w:p w14:paraId="5F414D8B" w14:textId="64587949" w:rsidR="0048711E" w:rsidRPr="00251B39" w:rsidRDefault="0048711E" w:rsidP="0048711E">
      <w:pPr>
        <w:jc w:val="both"/>
        <w:rPr>
          <w:color w:val="000000" w:themeColor="text1"/>
          <w:sz w:val="18"/>
          <w:szCs w:val="18"/>
        </w:rPr>
      </w:pPr>
      <w:r>
        <w:rPr>
          <w:color w:val="000000" w:themeColor="text1"/>
          <w:sz w:val="18"/>
        </w:rPr>
        <w:t>Depending on the complexity of the planned PPP project, the time period that may be needed to launch and implement a particular PPP project before a Partnership Contract is concluded can be on average from two to five years. Therefore, the public partner should plan the optimal time, financial, administrative and human resources to carry out the main steps of the PPP process</w:t>
      </w:r>
      <w:r w:rsidRPr="00251B39">
        <w:rPr>
          <w:rStyle w:val="Vresatsauce"/>
          <w:color w:val="000000" w:themeColor="text1"/>
          <w:sz w:val="18"/>
          <w:szCs w:val="18"/>
          <w:lang w:val="lv-LV"/>
        </w:rPr>
        <w:footnoteReference w:id="14"/>
      </w:r>
      <w:r>
        <w:rPr>
          <w:color w:val="000000" w:themeColor="text1"/>
          <w:sz w:val="18"/>
        </w:rPr>
        <w:t>:</w:t>
      </w:r>
    </w:p>
    <w:p w14:paraId="6748ACF4" w14:textId="6BBFC560" w:rsidR="0048711E" w:rsidRPr="00251B39" w:rsidRDefault="0048711E" w:rsidP="008B6449">
      <w:pPr>
        <w:pStyle w:val="Sarakstarindkopa"/>
        <w:numPr>
          <w:ilvl w:val="0"/>
          <w:numId w:val="28"/>
        </w:numPr>
        <w:ind w:left="360"/>
        <w:jc w:val="both"/>
        <w:rPr>
          <w:color w:val="000000" w:themeColor="text1"/>
          <w:sz w:val="18"/>
          <w:szCs w:val="18"/>
        </w:rPr>
      </w:pPr>
      <w:r>
        <w:rPr>
          <w:b/>
          <w:color w:val="000000" w:themeColor="text1"/>
          <w:sz w:val="18"/>
        </w:rPr>
        <w:t>Need</w:t>
      </w:r>
      <w:r>
        <w:rPr>
          <w:color w:val="000000" w:themeColor="text1"/>
          <w:sz w:val="18"/>
        </w:rPr>
        <w:t>: the public partner identifies a long-term public need to be met.</w:t>
      </w:r>
    </w:p>
    <w:p w14:paraId="6A1FF636" w14:textId="629FC51D" w:rsidR="0048711E" w:rsidRPr="00251B39" w:rsidRDefault="0048711E" w:rsidP="008B6449">
      <w:pPr>
        <w:pStyle w:val="Sarakstarindkopa"/>
        <w:numPr>
          <w:ilvl w:val="0"/>
          <w:numId w:val="28"/>
        </w:numPr>
        <w:ind w:left="360"/>
        <w:jc w:val="both"/>
        <w:rPr>
          <w:color w:val="000000" w:themeColor="text1"/>
          <w:sz w:val="18"/>
          <w:szCs w:val="18"/>
        </w:rPr>
      </w:pPr>
      <w:r>
        <w:rPr>
          <w:b/>
          <w:color w:val="000000" w:themeColor="text1"/>
          <w:sz w:val="18"/>
        </w:rPr>
        <w:t>Solution</w:t>
      </w:r>
      <w:r>
        <w:rPr>
          <w:color w:val="000000" w:themeColor="text1"/>
          <w:sz w:val="18"/>
        </w:rPr>
        <w:t>: the public partner initially identifies a number of possible solutions to meet a specific public need. If a PPP is found to be one of these, the public partner shall develop FEC.</w:t>
      </w:r>
    </w:p>
    <w:p w14:paraId="67357332" w14:textId="48A4178C" w:rsidR="0048711E" w:rsidRPr="00251B39" w:rsidRDefault="03904FBB" w:rsidP="008B6449">
      <w:pPr>
        <w:pStyle w:val="Sarakstarindkopa"/>
        <w:numPr>
          <w:ilvl w:val="0"/>
          <w:numId w:val="28"/>
        </w:numPr>
        <w:ind w:left="360"/>
        <w:jc w:val="both"/>
        <w:rPr>
          <w:color w:val="000000" w:themeColor="text1"/>
          <w:sz w:val="18"/>
          <w:szCs w:val="18"/>
        </w:rPr>
      </w:pPr>
      <w:r>
        <w:rPr>
          <w:b/>
          <w:color w:val="000000" w:themeColor="text1"/>
          <w:sz w:val="18"/>
        </w:rPr>
        <w:t>FEC</w:t>
      </w:r>
      <w:r>
        <w:rPr>
          <w:color w:val="000000" w:themeColor="text1"/>
          <w:sz w:val="18"/>
        </w:rPr>
        <w:t xml:space="preserve">: the public partner decides to develop FEC and notifies the CFCA. </w:t>
      </w:r>
    </w:p>
    <w:p w14:paraId="08912F7E" w14:textId="1E333B4C" w:rsidR="0048711E" w:rsidRPr="00251B39" w:rsidRDefault="6E4A8A92" w:rsidP="5F33FD79">
      <w:pPr>
        <w:pStyle w:val="Sarakstarindkopa"/>
        <w:ind w:left="360"/>
        <w:jc w:val="both"/>
        <w:rPr>
          <w:color w:val="000000" w:themeColor="text1"/>
          <w:sz w:val="18"/>
          <w:szCs w:val="18"/>
        </w:rPr>
      </w:pPr>
      <w:r>
        <w:rPr>
          <w:color w:val="000000" w:themeColor="text1"/>
          <w:sz w:val="18"/>
        </w:rPr>
        <w:t>As part of the development of FEC, possible alternative solutions shall be evaluated, the interest of the market, the potential private sector and financiers to be involved in the implementation and financing of the planned PPP project shall be identified. If the planned PPP project involves the construction of a new structure, the most suitable location for placing the structure shall be identified within the framework of FEC. In the case of reconstruction, renovation or demolition of a structure, it is necessary to identify who owns and uses the structure. The timeframe for acquiring or transferring ownership or use of the structure and/or land shall be included in the PPP project timetable.</w:t>
      </w:r>
    </w:p>
    <w:p w14:paraId="44D79E95" w14:textId="3DB7A49F" w:rsidR="0048711E" w:rsidRPr="00251B39" w:rsidRDefault="03904FBB" w:rsidP="03904FBB">
      <w:pPr>
        <w:pStyle w:val="Sarakstarindkopa"/>
        <w:ind w:left="360"/>
        <w:jc w:val="both"/>
        <w:rPr>
          <w:color w:val="000000" w:themeColor="text1"/>
          <w:sz w:val="18"/>
          <w:szCs w:val="18"/>
        </w:rPr>
      </w:pPr>
      <w:r>
        <w:rPr>
          <w:color w:val="000000" w:themeColor="text1"/>
          <w:sz w:val="18"/>
        </w:rPr>
        <w:lastRenderedPageBreak/>
        <w:t xml:space="preserve">In parallel, the potential allocation of responsibilities, risks and benefits between the public partner and the private partner shall be assessed, with a focus on the statistical treatment of the planned PPP project on or off the balance sheet of the general government sector </w:t>
      </w:r>
      <w:r w:rsidR="00B25B39">
        <w:rPr>
          <w:color w:val="000000" w:themeColor="text1"/>
          <w:sz w:val="18"/>
        </w:rPr>
        <w:t xml:space="preserve">assets </w:t>
      </w:r>
      <w:r>
        <w:rPr>
          <w:color w:val="000000" w:themeColor="text1"/>
          <w:sz w:val="18"/>
        </w:rPr>
        <w:t xml:space="preserve">(see Chapter 1.5). </w:t>
      </w:r>
    </w:p>
    <w:p w14:paraId="1EEBA19B" w14:textId="77777777" w:rsidR="0048711E" w:rsidRPr="00251B39" w:rsidRDefault="0048711E" w:rsidP="0048711E">
      <w:pPr>
        <w:pStyle w:val="Sarakstarindkopa"/>
        <w:ind w:left="360"/>
        <w:jc w:val="both"/>
        <w:rPr>
          <w:color w:val="000000" w:themeColor="text1"/>
          <w:sz w:val="18"/>
          <w:szCs w:val="18"/>
        </w:rPr>
      </w:pPr>
      <w:r>
        <w:rPr>
          <w:color w:val="000000" w:themeColor="text1"/>
          <w:sz w:val="18"/>
        </w:rPr>
        <w:t xml:space="preserve">When considering the alternatives for the implementation of the planned Project, the competition and State aid law aspects shall also be assessed during the preparation of FEC (see Chapter 1.7). </w:t>
      </w:r>
    </w:p>
    <w:p w14:paraId="50A38B3A" w14:textId="7C65420F" w:rsidR="0048711E" w:rsidRPr="00251B39" w:rsidRDefault="03904FBB" w:rsidP="03904FBB">
      <w:pPr>
        <w:pStyle w:val="Sarakstarindkopa"/>
        <w:ind w:left="360"/>
        <w:jc w:val="both"/>
        <w:rPr>
          <w:color w:val="000000" w:themeColor="text1"/>
          <w:sz w:val="18"/>
          <w:szCs w:val="18"/>
        </w:rPr>
      </w:pPr>
      <w:r>
        <w:rPr>
          <w:color w:val="000000" w:themeColor="text1"/>
          <w:sz w:val="18"/>
        </w:rPr>
        <w:t>Once the development of FEC is finalised, FEC shall be agreed with the CFCA, the MoF and the responsible ministry, unless the responsible ministry is itself a public partner in the planned PPP project.</w:t>
      </w:r>
    </w:p>
    <w:p w14:paraId="2D211AB2" w14:textId="2BF9836A" w:rsidR="0048711E" w:rsidRPr="00D9637C" w:rsidRDefault="03904FBB" w:rsidP="064C8007">
      <w:pPr>
        <w:pStyle w:val="Sarakstarindkopa"/>
        <w:numPr>
          <w:ilvl w:val="0"/>
          <w:numId w:val="28"/>
        </w:numPr>
        <w:ind w:left="360"/>
        <w:jc w:val="both"/>
        <w:rPr>
          <w:color w:val="000000" w:themeColor="text1"/>
          <w:sz w:val="18"/>
          <w:szCs w:val="18"/>
        </w:rPr>
      </w:pPr>
      <w:r>
        <w:rPr>
          <w:b/>
          <w:color w:val="000000" w:themeColor="text1"/>
          <w:sz w:val="18"/>
        </w:rPr>
        <w:t>Partnership procedure</w:t>
      </w:r>
      <w:r>
        <w:rPr>
          <w:color w:val="000000" w:themeColor="text1"/>
          <w:sz w:val="18"/>
        </w:rPr>
        <w:t>: the public partner shall decide to implement the PPP project and choose the most appropriate option for selecting a private partner (see Chapter 1.6). The public partner shall decide to initiate a Procurement Procedure or a Concession Procedure by setting up a Procurement or Concession Committee. Please note that the start of the PPP project is the date of signature of the Partnership Contract.</w:t>
      </w:r>
    </w:p>
    <w:p w14:paraId="5DEA63C6" w14:textId="680AB325" w:rsidR="008C125D" w:rsidRPr="00251B39" w:rsidRDefault="0048711E" w:rsidP="008B6449">
      <w:pPr>
        <w:pStyle w:val="Sarakstarindkopa"/>
        <w:numPr>
          <w:ilvl w:val="0"/>
          <w:numId w:val="28"/>
        </w:numPr>
        <w:ind w:left="360"/>
        <w:jc w:val="both"/>
        <w:rPr>
          <w:color w:val="000000" w:themeColor="text1"/>
          <w:sz w:val="18"/>
          <w:szCs w:val="18"/>
        </w:rPr>
      </w:pPr>
      <w:r>
        <w:rPr>
          <w:b/>
          <w:color w:val="000000" w:themeColor="text1"/>
          <w:sz w:val="18"/>
        </w:rPr>
        <w:t>Partnership documentation</w:t>
      </w:r>
      <w:r>
        <w:rPr>
          <w:color w:val="000000" w:themeColor="text1"/>
          <w:sz w:val="18"/>
        </w:rPr>
        <w:t xml:space="preserve">: the public partner shall draft a Partnership Contract and the partnership procurement documentation. </w:t>
      </w:r>
    </w:p>
    <w:p w14:paraId="6A09E458" w14:textId="59D1A613" w:rsidR="0048711E" w:rsidRPr="00251B39" w:rsidRDefault="00D167AE" w:rsidP="03904FBB">
      <w:pPr>
        <w:pStyle w:val="Sarakstarindkopa"/>
        <w:ind w:left="360"/>
        <w:jc w:val="both"/>
        <w:rPr>
          <w:color w:val="000000" w:themeColor="text1"/>
          <w:sz w:val="18"/>
          <w:szCs w:val="18"/>
        </w:rPr>
      </w:pPr>
      <w:r>
        <w:rPr>
          <w:color w:val="000000" w:themeColor="text1"/>
          <w:sz w:val="18"/>
        </w:rPr>
        <w:t xml:space="preserve">If the Cabinet has decided at the time of approval of the FEC that the PPP project is to be implemented as a project off the balance sheet of the general government sector </w:t>
      </w:r>
      <w:r w:rsidR="00B25B39">
        <w:rPr>
          <w:color w:val="000000" w:themeColor="text1"/>
          <w:sz w:val="18"/>
        </w:rPr>
        <w:t xml:space="preserve">assets </w:t>
      </w:r>
      <w:r>
        <w:rPr>
          <w:color w:val="000000" w:themeColor="text1"/>
          <w:sz w:val="18"/>
        </w:rPr>
        <w:t xml:space="preserve">from a statistical treatment point of view and the relevant Eurostat </w:t>
      </w:r>
      <w:r w:rsidR="006A6738">
        <w:rPr>
          <w:color w:val="000000" w:themeColor="text1"/>
          <w:sz w:val="18"/>
        </w:rPr>
        <w:t xml:space="preserve">advice </w:t>
      </w:r>
      <w:r>
        <w:rPr>
          <w:color w:val="000000" w:themeColor="text1"/>
          <w:sz w:val="18"/>
        </w:rPr>
        <w:t xml:space="preserve">is required before the signature of a Partnership Contract, the draft Partnership Contract shall be sent to Eurostat for an ex-ante </w:t>
      </w:r>
      <w:r w:rsidR="006A6738">
        <w:rPr>
          <w:color w:val="000000" w:themeColor="text1"/>
          <w:sz w:val="18"/>
        </w:rPr>
        <w:t xml:space="preserve">advice </w:t>
      </w:r>
      <w:r>
        <w:rPr>
          <w:color w:val="000000" w:themeColor="text1"/>
          <w:sz w:val="18"/>
        </w:rPr>
        <w:t xml:space="preserve">via the Central Statistical Bureau. </w:t>
      </w:r>
    </w:p>
    <w:p w14:paraId="188A0154" w14:textId="55C5EB15" w:rsidR="0048711E" w:rsidRPr="00251B39" w:rsidRDefault="03904FBB" w:rsidP="008B6449">
      <w:pPr>
        <w:pStyle w:val="Sarakstarindkopa"/>
        <w:numPr>
          <w:ilvl w:val="0"/>
          <w:numId w:val="28"/>
        </w:numPr>
        <w:ind w:left="360"/>
        <w:jc w:val="both"/>
        <w:rPr>
          <w:color w:val="000000" w:themeColor="text1"/>
          <w:sz w:val="18"/>
          <w:szCs w:val="18"/>
        </w:rPr>
      </w:pPr>
      <w:r>
        <w:rPr>
          <w:b/>
          <w:color w:val="000000" w:themeColor="text1"/>
          <w:sz w:val="18"/>
        </w:rPr>
        <w:t>Selection of a private partner</w:t>
      </w:r>
      <w:r>
        <w:rPr>
          <w:color w:val="000000" w:themeColor="text1"/>
          <w:sz w:val="18"/>
        </w:rPr>
        <w:t>: the public partner shall carry out a procurement for the selection of a private partner (see Chapter 1.6). In the case of a Concession, the Concession Procedure under the PPP Law shall be applied.</w:t>
      </w:r>
    </w:p>
    <w:p w14:paraId="0161A293" w14:textId="0D696FB2" w:rsidR="0048711E" w:rsidRPr="00251B39" w:rsidRDefault="0048711E" w:rsidP="008B6449">
      <w:pPr>
        <w:pStyle w:val="Sarakstarindkopa"/>
        <w:numPr>
          <w:ilvl w:val="0"/>
          <w:numId w:val="28"/>
        </w:numPr>
        <w:ind w:left="360"/>
        <w:jc w:val="both"/>
        <w:rPr>
          <w:color w:val="000000" w:themeColor="text1"/>
          <w:sz w:val="18"/>
          <w:szCs w:val="18"/>
        </w:rPr>
      </w:pPr>
      <w:r>
        <w:rPr>
          <w:b/>
          <w:color w:val="000000" w:themeColor="text1"/>
          <w:sz w:val="18"/>
        </w:rPr>
        <w:t>Partnership Contract</w:t>
      </w:r>
      <w:r>
        <w:rPr>
          <w:color w:val="000000" w:themeColor="text1"/>
          <w:sz w:val="18"/>
        </w:rPr>
        <w:t>: The date of conclusion of the Partnership Contract is considered as the start of the PPP project. The Partnership Contract is concluded together with the other necessary agreements, including the Financing Contract, the Information Exchange Agreement and other contracts required depending on the objective and the results to be achieved from the planned PPP project.</w:t>
      </w:r>
    </w:p>
    <w:p w14:paraId="19A69794" w14:textId="4DC4E4E9" w:rsidR="0048711E" w:rsidRPr="00251B39" w:rsidRDefault="0048711E" w:rsidP="008B6449">
      <w:pPr>
        <w:pStyle w:val="Sarakstarindkopa"/>
        <w:numPr>
          <w:ilvl w:val="0"/>
          <w:numId w:val="28"/>
        </w:numPr>
        <w:ind w:left="360"/>
        <w:jc w:val="both"/>
        <w:rPr>
          <w:color w:val="000000" w:themeColor="text1"/>
          <w:sz w:val="18"/>
          <w:szCs w:val="18"/>
        </w:rPr>
      </w:pPr>
      <w:r>
        <w:rPr>
          <w:b/>
          <w:color w:val="000000" w:themeColor="text1"/>
          <w:sz w:val="18"/>
        </w:rPr>
        <w:t>PPP project implementation</w:t>
      </w:r>
      <w:r>
        <w:rPr>
          <w:color w:val="000000" w:themeColor="text1"/>
          <w:sz w:val="18"/>
        </w:rPr>
        <w:t>: the public partner and the private partner shall implement the PPP project or Concession. The public partner shall provide regular (</w:t>
      </w:r>
      <w:r>
        <w:rPr>
          <w:sz w:val="18"/>
          <w:shd w:val="clear" w:color="auto" w:fill="FFFFFF"/>
        </w:rPr>
        <w:t>once a year after the conclusion of the Partnership Contract</w:t>
      </w:r>
      <w:r>
        <w:rPr>
          <w:color w:val="000000" w:themeColor="text1"/>
          <w:sz w:val="18"/>
        </w:rPr>
        <w:t>) reports to the CFCA on the implementation of the PPP project or Concession. In case amendments to the Partnership Contract are necessary during its term, the public partner shall approve them with the CFCA. Concession Contracts and the allocation of risks they contain shall be monitored in more detail</w:t>
      </w:r>
      <w:r w:rsidRPr="7DB09CA3">
        <w:rPr>
          <w:rStyle w:val="Vresatsauce"/>
          <w:rFonts w:eastAsiaTheme="minorEastAsia"/>
          <w:color w:val="000000" w:themeColor="text1"/>
          <w:sz w:val="18"/>
          <w:szCs w:val="18"/>
          <w:lang w:val="lv-LV"/>
        </w:rPr>
        <w:footnoteReference w:id="15"/>
      </w:r>
      <w:r>
        <w:rPr>
          <w:color w:val="000000" w:themeColor="text1"/>
          <w:sz w:val="18"/>
        </w:rPr>
        <w:t xml:space="preserve">. </w:t>
      </w:r>
    </w:p>
    <w:p w14:paraId="2711C8C2" w14:textId="64B3A285" w:rsidR="0048711E" w:rsidRPr="00251B39" w:rsidRDefault="03904FBB" w:rsidP="008B6449">
      <w:pPr>
        <w:pStyle w:val="Sarakstarindkopa"/>
        <w:numPr>
          <w:ilvl w:val="0"/>
          <w:numId w:val="28"/>
        </w:numPr>
        <w:ind w:left="360"/>
        <w:jc w:val="both"/>
        <w:rPr>
          <w:color w:val="000000" w:themeColor="text1"/>
          <w:sz w:val="18"/>
          <w:szCs w:val="18"/>
        </w:rPr>
      </w:pPr>
      <w:r>
        <w:rPr>
          <w:b/>
          <w:color w:val="000000" w:themeColor="text1"/>
          <w:sz w:val="18"/>
        </w:rPr>
        <w:t>Completion of the PPP project</w:t>
      </w:r>
      <w:r>
        <w:rPr>
          <w:color w:val="000000" w:themeColor="text1"/>
          <w:sz w:val="18"/>
        </w:rPr>
        <w:t>: after the PPP project is completed, the public partner shall compile and evaluate its results. As the end of the PPP project will not normally coincide with the end of the calendar year, the public partner shall submit to the CFCA a regular progress report on the PPP Contract for the last partial year of the PPP project.</w:t>
      </w:r>
    </w:p>
    <w:p w14:paraId="704F7E19" w14:textId="77777777" w:rsidR="0048711E" w:rsidRPr="00251B39" w:rsidRDefault="0048711E" w:rsidP="0048711E">
      <w:pPr>
        <w:rPr>
          <w:color w:val="000000" w:themeColor="text1"/>
          <w:sz w:val="18"/>
          <w:szCs w:val="18"/>
          <w:lang w:val="lv-LV"/>
        </w:rPr>
      </w:pPr>
    </w:p>
    <w:p w14:paraId="34A56F72" w14:textId="45EC3BCD" w:rsidR="0048711E" w:rsidRPr="001032D5" w:rsidRDefault="0048711E" w:rsidP="008B6449">
      <w:pPr>
        <w:pStyle w:val="Virsraksts2"/>
        <w:numPr>
          <w:ilvl w:val="1"/>
          <w:numId w:val="16"/>
        </w:numPr>
        <w:rPr>
          <w:rFonts w:asciiTheme="minorHAnsi" w:hAnsiTheme="minorHAnsi"/>
        </w:rPr>
      </w:pPr>
      <w:bookmarkStart w:id="29" w:name="_Toc3759956"/>
      <w:bookmarkStart w:id="30" w:name="_Toc3804993"/>
      <w:bookmarkStart w:id="31" w:name="_Toc178586356"/>
      <w:r>
        <w:rPr>
          <w:rFonts w:asciiTheme="minorHAnsi" w:hAnsiTheme="minorHAnsi"/>
        </w:rPr>
        <w:t>FEC and the Contract Price</w:t>
      </w:r>
      <w:bookmarkEnd w:id="29"/>
      <w:bookmarkEnd w:id="30"/>
      <w:bookmarkEnd w:id="31"/>
    </w:p>
    <w:p w14:paraId="49B128ED" w14:textId="0593DF7B" w:rsidR="0048711E" w:rsidRPr="00251B39" w:rsidRDefault="0048711E" w:rsidP="0048711E">
      <w:pPr>
        <w:rPr>
          <w:color w:val="000000" w:themeColor="text1"/>
          <w:sz w:val="18"/>
          <w:szCs w:val="18"/>
        </w:rPr>
      </w:pPr>
      <w:r>
        <w:rPr>
          <w:noProof/>
          <w:color w:val="000000" w:themeColor="text1"/>
          <w:sz w:val="18"/>
        </w:rPr>
        <w:drawing>
          <wp:inline distT="0" distB="0" distL="0" distR="0" wp14:anchorId="43AEE379" wp14:editId="29232A59">
            <wp:extent cx="6058535" cy="814070"/>
            <wp:effectExtent l="19050" t="0" r="18415" b="0"/>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C7BF500" w14:textId="77777777" w:rsidR="0048711E" w:rsidRPr="00251B39" w:rsidRDefault="0048711E" w:rsidP="0048711E">
      <w:pPr>
        <w:rPr>
          <w:color w:val="000000" w:themeColor="text1"/>
          <w:sz w:val="18"/>
          <w:szCs w:val="18"/>
        </w:rPr>
      </w:pPr>
      <w:r>
        <w:rPr>
          <w:color w:val="000000" w:themeColor="text1"/>
          <w:sz w:val="18"/>
        </w:rPr>
        <w:t xml:space="preserve">The main tasks for the development of </w:t>
      </w:r>
      <w:r>
        <w:rPr>
          <w:b/>
          <w:bCs/>
          <w:color w:val="000000" w:themeColor="text1"/>
          <w:sz w:val="18"/>
        </w:rPr>
        <w:t>FEC</w:t>
      </w:r>
      <w:r>
        <w:rPr>
          <w:color w:val="000000" w:themeColor="text1"/>
          <w:sz w:val="18"/>
        </w:rPr>
        <w:t xml:space="preserve"> are the following</w:t>
      </w:r>
      <w:r w:rsidRPr="00251B39">
        <w:rPr>
          <w:rStyle w:val="Vresatsauce"/>
          <w:color w:val="000000" w:themeColor="text1"/>
          <w:sz w:val="18"/>
          <w:szCs w:val="18"/>
          <w:lang w:val="lv-LV"/>
        </w:rPr>
        <w:footnoteReference w:id="16"/>
      </w:r>
      <w:r>
        <w:rPr>
          <w:color w:val="000000" w:themeColor="text1"/>
          <w:sz w:val="18"/>
        </w:rPr>
        <w:t>:</w:t>
      </w:r>
    </w:p>
    <w:p w14:paraId="2A72BFDE" w14:textId="5ADD186B" w:rsidR="0048711E" w:rsidRPr="00251B39" w:rsidRDefault="0048711E" w:rsidP="008B6449">
      <w:pPr>
        <w:pStyle w:val="Sarakstarindkopa"/>
        <w:numPr>
          <w:ilvl w:val="0"/>
          <w:numId w:val="29"/>
        </w:numPr>
        <w:ind w:left="360"/>
        <w:jc w:val="both"/>
        <w:rPr>
          <w:color w:val="000000" w:themeColor="text1"/>
          <w:sz w:val="18"/>
          <w:szCs w:val="18"/>
        </w:rPr>
      </w:pPr>
      <w:r>
        <w:rPr>
          <w:color w:val="000000" w:themeColor="text1"/>
          <w:sz w:val="18"/>
        </w:rPr>
        <w:t>determine whether the planned project shall be implemented as a PPP</w:t>
      </w:r>
    </w:p>
    <w:p w14:paraId="0F376A57" w14:textId="6EFEA1D3" w:rsidR="0048711E" w:rsidRPr="00251B39" w:rsidRDefault="03904FBB" w:rsidP="008B6449">
      <w:pPr>
        <w:pStyle w:val="Sarakstarindkopa"/>
        <w:numPr>
          <w:ilvl w:val="0"/>
          <w:numId w:val="29"/>
        </w:numPr>
        <w:ind w:left="360"/>
        <w:jc w:val="both"/>
        <w:rPr>
          <w:color w:val="000000" w:themeColor="text1"/>
          <w:sz w:val="18"/>
          <w:szCs w:val="18"/>
        </w:rPr>
      </w:pPr>
      <w:r>
        <w:rPr>
          <w:color w:val="000000" w:themeColor="text1"/>
          <w:sz w:val="18"/>
        </w:rPr>
        <w:lastRenderedPageBreak/>
        <w:t>if the PPP project involves construction, select the most appropriate location for the structure in good time. Given the selected location, FEC shall include the most appropriate option for acquiring the land (e.g. acquisition, disposal for public use or lease), a reasonable timeframe for acquiring the land and the related formalities</w:t>
      </w:r>
    </w:p>
    <w:p w14:paraId="5BF7320B" w14:textId="39931D81" w:rsidR="0048711E" w:rsidRPr="00251B39" w:rsidRDefault="0048711E" w:rsidP="008B6449">
      <w:pPr>
        <w:pStyle w:val="Sarakstarindkopa"/>
        <w:numPr>
          <w:ilvl w:val="0"/>
          <w:numId w:val="29"/>
        </w:numPr>
        <w:ind w:left="360"/>
        <w:jc w:val="both"/>
        <w:rPr>
          <w:color w:val="000000" w:themeColor="text1"/>
          <w:sz w:val="18"/>
          <w:szCs w:val="18"/>
        </w:rPr>
      </w:pPr>
      <w:r>
        <w:rPr>
          <w:color w:val="000000" w:themeColor="text1"/>
          <w:sz w:val="18"/>
        </w:rPr>
        <w:t>carry out market sounding to gauge the potential interest of private partners and financiers in participating in or financing the planned PPP project</w:t>
      </w:r>
    </w:p>
    <w:p w14:paraId="3547B0CE" w14:textId="5BDFAF75" w:rsidR="0048711E" w:rsidRPr="00251B39" w:rsidRDefault="03904FBB" w:rsidP="008B6449">
      <w:pPr>
        <w:pStyle w:val="Sarakstarindkopa"/>
        <w:numPr>
          <w:ilvl w:val="0"/>
          <w:numId w:val="29"/>
        </w:numPr>
        <w:ind w:left="360"/>
        <w:jc w:val="both"/>
        <w:rPr>
          <w:color w:val="000000" w:themeColor="text1"/>
          <w:sz w:val="18"/>
          <w:szCs w:val="18"/>
        </w:rPr>
      </w:pPr>
      <w:r>
        <w:rPr>
          <w:color w:val="000000" w:themeColor="text1"/>
          <w:sz w:val="18"/>
        </w:rPr>
        <w:t>calculate the potential contract price corridor of the Partnership Contract that is most likely to be expected at the time of selection of a private partner. A PPP project shall be structured and designed so that the potentially expected contract price is as low as possible within the framework of the allocation of risks, responsibilities and benefits as defined by the statistical treatment planned for the PPP project</w:t>
      </w:r>
    </w:p>
    <w:p w14:paraId="1A569C64" w14:textId="2F5B144A" w:rsidR="0048711E" w:rsidRPr="00251B39" w:rsidRDefault="0048711E" w:rsidP="008B6449">
      <w:pPr>
        <w:pStyle w:val="Sarakstarindkopa"/>
        <w:numPr>
          <w:ilvl w:val="0"/>
          <w:numId w:val="29"/>
        </w:numPr>
        <w:ind w:left="360"/>
        <w:jc w:val="both"/>
        <w:rPr>
          <w:color w:val="000000" w:themeColor="text1"/>
          <w:sz w:val="18"/>
          <w:szCs w:val="18"/>
        </w:rPr>
      </w:pPr>
      <w:r>
        <w:rPr>
          <w:color w:val="000000" w:themeColor="text1"/>
          <w:sz w:val="18"/>
        </w:rPr>
        <w:t>verify the rational and efficient use of the public partner's financial resources if the planned project is implemented as a PPP</w:t>
      </w:r>
    </w:p>
    <w:p w14:paraId="07BA5BBC" w14:textId="54262D3A" w:rsidR="0048711E" w:rsidRPr="00251B39" w:rsidRDefault="0048711E" w:rsidP="008B6449">
      <w:pPr>
        <w:pStyle w:val="Sarakstarindkopa"/>
        <w:numPr>
          <w:ilvl w:val="0"/>
          <w:numId w:val="29"/>
        </w:numPr>
        <w:ind w:left="360"/>
        <w:jc w:val="both"/>
        <w:rPr>
          <w:color w:val="000000" w:themeColor="text1"/>
          <w:sz w:val="18"/>
          <w:szCs w:val="18"/>
        </w:rPr>
      </w:pPr>
      <w:r>
        <w:rPr>
          <w:color w:val="000000" w:themeColor="text1"/>
          <w:sz w:val="18"/>
        </w:rPr>
        <w:t>determine the most proportionate duration of the PPP project that is capable of recovering the investment made in the PPP project within a reasonable period of time</w:t>
      </w:r>
    </w:p>
    <w:p w14:paraId="135DDFA4" w14:textId="57A1FBCF" w:rsidR="0048711E" w:rsidRPr="00CC0CB8" w:rsidRDefault="03904FBB" w:rsidP="008B6449">
      <w:pPr>
        <w:pStyle w:val="Sarakstarindkopa"/>
        <w:numPr>
          <w:ilvl w:val="0"/>
          <w:numId w:val="29"/>
        </w:numPr>
        <w:ind w:left="360"/>
        <w:jc w:val="both"/>
        <w:rPr>
          <w:color w:val="000000" w:themeColor="text1"/>
          <w:sz w:val="18"/>
          <w:szCs w:val="18"/>
        </w:rPr>
      </w:pPr>
      <w:r>
        <w:rPr>
          <w:color w:val="000000" w:themeColor="text1"/>
          <w:sz w:val="18"/>
        </w:rPr>
        <w:t>identify the most appropriate PPP arrangement and model for the planned PPP project</w:t>
      </w:r>
    </w:p>
    <w:p w14:paraId="13594DBA" w14:textId="7C462A0F" w:rsidR="0048711E" w:rsidRPr="00251B39" w:rsidRDefault="03904FBB" w:rsidP="008B6449">
      <w:pPr>
        <w:pStyle w:val="Sarakstarindkopa"/>
        <w:numPr>
          <w:ilvl w:val="0"/>
          <w:numId w:val="29"/>
        </w:numPr>
        <w:ind w:left="360"/>
        <w:jc w:val="both"/>
        <w:rPr>
          <w:color w:val="000000" w:themeColor="text1"/>
          <w:sz w:val="18"/>
          <w:szCs w:val="18"/>
        </w:rPr>
      </w:pPr>
      <w:r>
        <w:rPr>
          <w:color w:val="000000" w:themeColor="text1"/>
          <w:sz w:val="18"/>
        </w:rPr>
        <w:t>anticipate the main considerations and criteria that have a bearing on the choice of the most appropriate procedure for selecting a private partner (e.g. if the public partner is able to draw up a technical specification, it is likely to be possible to use an open call for tenders as the criteria for evaluating bids. If the public partner can develop bid evaluation criteria and technical specifications, but the subject-matter of the procurement is sufficiently complex, it is reasonable to consider a negotiated procedure. However, if the public partner is unable to develop bid evaluation criteria and technical specifications, it is likely that a competitive dialogue will be appropriate)</w:t>
      </w:r>
    </w:p>
    <w:p w14:paraId="6407A66B" w14:textId="2AC876F0" w:rsidR="0048711E" w:rsidRPr="00251B39" w:rsidRDefault="03904FBB" w:rsidP="008B6449">
      <w:pPr>
        <w:pStyle w:val="Sarakstarindkopa"/>
        <w:numPr>
          <w:ilvl w:val="0"/>
          <w:numId w:val="29"/>
        </w:numPr>
        <w:ind w:left="360"/>
        <w:jc w:val="both"/>
        <w:rPr>
          <w:color w:val="000000" w:themeColor="text1"/>
          <w:sz w:val="18"/>
          <w:szCs w:val="18"/>
        </w:rPr>
      </w:pPr>
      <w:r>
        <w:rPr>
          <w:color w:val="000000" w:themeColor="text1"/>
          <w:sz w:val="18"/>
        </w:rPr>
        <w:t xml:space="preserve">elaborate the planned allocation of responsibilities, risks and benefits between the public partner and the private partner in conjunction with the possible statistical treatment of the planned Partnership Contract (see Chapter 1.5) </w:t>
      </w:r>
    </w:p>
    <w:p w14:paraId="14884C83" w14:textId="6787A7D5" w:rsidR="0048711E" w:rsidRPr="00251B39" w:rsidRDefault="03904FBB" w:rsidP="008B6449">
      <w:pPr>
        <w:pStyle w:val="Sarakstarindkopa"/>
        <w:numPr>
          <w:ilvl w:val="0"/>
          <w:numId w:val="29"/>
        </w:numPr>
        <w:ind w:left="360"/>
        <w:jc w:val="both"/>
        <w:rPr>
          <w:color w:val="000000" w:themeColor="text1"/>
          <w:sz w:val="18"/>
          <w:szCs w:val="18"/>
        </w:rPr>
      </w:pPr>
      <w:r>
        <w:rPr>
          <w:color w:val="000000" w:themeColor="text1"/>
          <w:sz w:val="18"/>
        </w:rPr>
        <w:t>structure the potential PPP project so that (i) as much competition as possible is ensured during the selection of the private partner (ensuring a sufficient level of competition during the Procurement Procedure), (ii) as few negative effects on competition as possible are created during the implementation of the PPP project (structuring the PPP project and setting the duration of the PPP project in a way that reasonable competition in the specific market does not disappear during the life cycle of the PPP project) and (iii) State aid elements, if any, are identified and recognised in a timely manner in the PPP project, allowing sufficient time, if necessary, for their approval in accordance with the procedure laid down in the laws and regulations</w:t>
      </w:r>
    </w:p>
    <w:p w14:paraId="4BEBF7CF" w14:textId="5A3E7DA1" w:rsidR="0048711E" w:rsidRPr="00251B39" w:rsidRDefault="2839D35B" w:rsidP="008B6449">
      <w:pPr>
        <w:pStyle w:val="Sarakstarindkopa"/>
        <w:numPr>
          <w:ilvl w:val="0"/>
          <w:numId w:val="29"/>
        </w:numPr>
        <w:ind w:left="360"/>
        <w:jc w:val="both"/>
        <w:rPr>
          <w:color w:val="000000" w:themeColor="text1"/>
          <w:sz w:val="18"/>
          <w:szCs w:val="18"/>
        </w:rPr>
      </w:pPr>
      <w:r>
        <w:rPr>
          <w:color w:val="000000" w:themeColor="text1"/>
          <w:sz w:val="18"/>
        </w:rPr>
        <w:t>assess the right of the public partner to engage in commercial activities within the PPP project if an Institutional PPP is planned</w:t>
      </w:r>
    </w:p>
    <w:p w14:paraId="4C309DB0" w14:textId="140219F9" w:rsidR="1BE666FA" w:rsidRDefault="5456C133" w:rsidP="1BE666FA">
      <w:pPr>
        <w:jc w:val="both"/>
        <w:rPr>
          <w:rFonts w:eastAsiaTheme="minorEastAsia"/>
          <w:color w:val="000000" w:themeColor="text1"/>
          <w:sz w:val="18"/>
          <w:szCs w:val="18"/>
        </w:rPr>
      </w:pPr>
      <w:r>
        <w:rPr>
          <w:color w:val="000000" w:themeColor="text1"/>
          <w:sz w:val="18"/>
        </w:rPr>
        <w:t xml:space="preserve">A schematic representation of the development of FEC is included in Annex A to the Guidelines. </w:t>
      </w:r>
    </w:p>
    <w:p w14:paraId="70C59054" w14:textId="7662B5F5" w:rsidR="7825D3D9" w:rsidRPr="00251B39" w:rsidRDefault="135A1CBC" w:rsidP="135A1CBC">
      <w:pPr>
        <w:jc w:val="both"/>
        <w:rPr>
          <w:rFonts w:eastAsiaTheme="minorEastAsia"/>
          <w:color w:val="000000" w:themeColor="text1"/>
          <w:sz w:val="18"/>
          <w:szCs w:val="18"/>
        </w:rPr>
      </w:pPr>
      <w:r>
        <w:rPr>
          <w:color w:val="000000" w:themeColor="text1"/>
          <w:sz w:val="18"/>
        </w:rPr>
        <w:t xml:space="preserve">The potential </w:t>
      </w:r>
      <w:r>
        <w:rPr>
          <w:b/>
          <w:bCs/>
          <w:color w:val="000000" w:themeColor="text1"/>
          <w:sz w:val="18"/>
        </w:rPr>
        <w:t>contract price corridor</w:t>
      </w:r>
      <w:r>
        <w:rPr>
          <w:color w:val="000000" w:themeColor="text1"/>
          <w:sz w:val="18"/>
        </w:rPr>
        <w:t xml:space="preserve"> for the Partnership Contract shall be calculated within FEC. The following considerations, which are most relevant to the competition aspect, justify the setting of a contract price corridor within FEC:</w:t>
      </w:r>
    </w:p>
    <w:p w14:paraId="404501BE" w14:textId="2A666EDE" w:rsidR="6E4A8A92"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a PPP project is implemented in the public interest on the basis of a Partnership Contract, which is a long-term cooperation between a public partner and a private partner (see Chapter 1.1)</w:t>
      </w:r>
    </w:p>
    <w:p w14:paraId="4952C032" w14:textId="36B80B46" w:rsidR="6E4A8A92"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one of the main objectives of the PPP regulatory framework is free competition and equal and fair treatment of private partners</w:t>
      </w:r>
      <w:r w:rsidRPr="00251B39">
        <w:rPr>
          <w:rStyle w:val="Vresatsauce"/>
          <w:color w:val="000000" w:themeColor="text1"/>
          <w:sz w:val="18"/>
          <w:szCs w:val="18"/>
          <w:lang w:val="lv"/>
        </w:rPr>
        <w:footnoteReference w:id="17"/>
      </w:r>
    </w:p>
    <w:p w14:paraId="5868F3F4" w14:textId="4D9540FD" w:rsidR="7825D3D9"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one of the main objectives of the procurement regulatory framework is to ensure free competition between potential suppliers, ensuring equal and fair treatment of them</w:t>
      </w:r>
      <w:r w:rsidR="00264DDD" w:rsidRPr="00251B39">
        <w:rPr>
          <w:rStyle w:val="Vresatsauce"/>
          <w:color w:val="000000" w:themeColor="text1"/>
          <w:sz w:val="18"/>
          <w:szCs w:val="18"/>
          <w:lang w:val="lv"/>
        </w:rPr>
        <w:footnoteReference w:id="18"/>
      </w:r>
      <w:r>
        <w:rPr>
          <w:color w:val="000000" w:themeColor="text1"/>
          <w:sz w:val="18"/>
        </w:rPr>
        <w:t xml:space="preserve"> </w:t>
      </w:r>
    </w:p>
    <w:p w14:paraId="20572962" w14:textId="71EB0B77" w:rsidR="00264DDD"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one of the main objectives of the competition regulatory framework is to protect, maintain and develop free, fair and equal competition</w:t>
      </w:r>
      <w:r w:rsidR="00264DDD" w:rsidRPr="00251B39">
        <w:rPr>
          <w:rStyle w:val="Vresatsauce"/>
          <w:color w:val="000000" w:themeColor="text1"/>
          <w:sz w:val="18"/>
          <w:szCs w:val="18"/>
          <w:lang w:val="lv"/>
        </w:rPr>
        <w:footnoteReference w:id="19"/>
      </w:r>
      <w:r>
        <w:rPr>
          <w:color w:val="000000" w:themeColor="text1"/>
          <w:sz w:val="18"/>
        </w:rPr>
        <w:t xml:space="preserve">. The procurement regulatory framework is one of the </w:t>
      </w:r>
      <w:r>
        <w:rPr>
          <w:color w:val="000000" w:themeColor="text1"/>
          <w:sz w:val="18"/>
        </w:rPr>
        <w:lastRenderedPageBreak/>
        <w:t xml:space="preserve">instruments that can be used to make an additional contribution to the achievement and implementation of the main objectives of the competition regulatory framework </w:t>
      </w:r>
    </w:p>
    <w:p w14:paraId="1F358701" w14:textId="6123C119" w:rsidR="00264DDD"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 xml:space="preserve">the time period between the identification of a PPP project and the conclusion of a Partnership Contract can take on average two to five years. During this period, changes in the assumptions underlying FEC and market data may objectively occur. In order to be proportionate to the public interest to be served and the ability of the public partner to deliver it within the timeframe required for the implementation of the PPP project, the estimated contract price corridor of the Partnership Contract shall be calculated within the FEC </w:t>
      </w:r>
    </w:p>
    <w:p w14:paraId="3F8CADFA" w14:textId="33B3D970" w:rsidR="00264DDD"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 xml:space="preserve">one of the characteristics of free competition in procurement is the ability of potential suppliers to compete on price by offering goods or services that meet the technical specifications </w:t>
      </w:r>
    </w:p>
    <w:p w14:paraId="674B5FD3" w14:textId="15A9731C" w:rsidR="00264DDD"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 xml:space="preserve">in the competition regulatory framework, competition means economic (business) rivalry between two or more market players in a given market, whether existing or potential </w:t>
      </w:r>
    </w:p>
    <w:p w14:paraId="2B5A353B" w14:textId="20B1AF59" w:rsidR="00264DDD"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in order to ensure that competition between potential private partners is meaningful, while achieving the fundamental objectives of both the PPP and procurement and competition regulatory framework, it is reasonable to create a potential contract price corridor in the framework of a PPP project. This provides a basis for potential private partners to compete by offering a competitively priced solution in line with the technical specifications and requirements of the PPP project</w:t>
      </w:r>
    </w:p>
    <w:p w14:paraId="4F1C6DE4" w14:textId="5BA0A952" w:rsidR="00264DDD" w:rsidRPr="00251B39" w:rsidRDefault="6E4A8A92" w:rsidP="008B6449">
      <w:pPr>
        <w:pStyle w:val="Sarakstarindkopa"/>
        <w:numPr>
          <w:ilvl w:val="0"/>
          <w:numId w:val="2"/>
        </w:numPr>
        <w:ind w:left="450" w:hanging="450"/>
        <w:jc w:val="both"/>
        <w:rPr>
          <w:color w:val="000000" w:themeColor="text1"/>
          <w:sz w:val="18"/>
          <w:szCs w:val="18"/>
        </w:rPr>
      </w:pPr>
      <w:r>
        <w:rPr>
          <w:color w:val="000000" w:themeColor="text1"/>
          <w:sz w:val="18"/>
        </w:rPr>
        <w:t>a Partnership Contract's potential contract price corridor would also make the FEC a workable document in the longer term, without the need for periodic updates during the structuring and development of the PPP project</w:t>
      </w:r>
    </w:p>
    <w:p w14:paraId="368E9F36" w14:textId="1493EBE1" w:rsidR="0048711E" w:rsidRPr="00251B39" w:rsidRDefault="0048711E" w:rsidP="6E4A8A92">
      <w:pPr>
        <w:rPr>
          <w:color w:val="000000" w:themeColor="text1"/>
          <w:sz w:val="18"/>
          <w:szCs w:val="18"/>
          <w:highlight w:val="yellow"/>
          <w:lang w:val="lv-LV"/>
        </w:rPr>
      </w:pPr>
    </w:p>
    <w:p w14:paraId="187E9A62" w14:textId="77777777" w:rsidR="0048711E" w:rsidRPr="001032D5" w:rsidRDefault="0048711E" w:rsidP="008B6449">
      <w:pPr>
        <w:pStyle w:val="Virsraksts2"/>
        <w:numPr>
          <w:ilvl w:val="1"/>
          <w:numId w:val="16"/>
        </w:numPr>
        <w:rPr>
          <w:rFonts w:asciiTheme="minorHAnsi" w:hAnsiTheme="minorHAnsi"/>
        </w:rPr>
      </w:pPr>
      <w:bookmarkStart w:id="32" w:name="_Toc3759957"/>
      <w:bookmarkStart w:id="33" w:name="_Toc3804994"/>
      <w:bookmarkStart w:id="34" w:name="_Toc178586357"/>
      <w:r>
        <w:rPr>
          <w:rFonts w:asciiTheme="minorHAnsi" w:hAnsiTheme="minorHAnsi"/>
        </w:rPr>
        <w:t>Statistical Treatment</w:t>
      </w:r>
      <w:bookmarkEnd w:id="32"/>
      <w:bookmarkEnd w:id="33"/>
      <w:bookmarkEnd w:id="34"/>
    </w:p>
    <w:p w14:paraId="4AEA40B1" w14:textId="6D43AA6B" w:rsidR="0048711E" w:rsidRPr="0070111F" w:rsidRDefault="0048711E" w:rsidP="47392C4E">
      <w:pPr>
        <w:jc w:val="both"/>
        <w:rPr>
          <w:color w:val="000000" w:themeColor="text1"/>
          <w:sz w:val="18"/>
          <w:szCs w:val="18"/>
        </w:rPr>
      </w:pPr>
      <w:r>
        <w:rPr>
          <w:noProof/>
          <w:color w:val="000000" w:themeColor="text1"/>
          <w:sz w:val="18"/>
        </w:rPr>
        <w:drawing>
          <wp:inline distT="0" distB="0" distL="0" distR="0" wp14:anchorId="2F75D82F" wp14:editId="669A306D">
            <wp:extent cx="5995283" cy="812165"/>
            <wp:effectExtent l="19050" t="0" r="24765" b="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Pr="0029152F">
        <w:rPr>
          <w:sz w:val="18"/>
          <w:szCs w:val="18"/>
        </w:rPr>
        <w:t>The</w:t>
      </w:r>
      <w:r>
        <w:t xml:space="preserve"> </w:t>
      </w:r>
      <w:r>
        <w:rPr>
          <w:color w:val="000000" w:themeColor="text1"/>
          <w:sz w:val="18"/>
        </w:rPr>
        <w:t>FEC shall be submitted to the CFCA and the MoF. The CFCA gives an opinion on the assumptions included in the FEC and on the allocation of risks between the public partner and the private partner. In turn, the MoF provides an opinion on the expected impact of the conditions referred to in the FEC on the amount of the long-term liabilities of the State budget, the balance sheet of the general government sector budget and the debt.</w:t>
      </w:r>
      <w:r w:rsidRPr="47392C4E">
        <w:rPr>
          <w:rStyle w:val="Vresatsauce"/>
          <w:rFonts w:eastAsiaTheme="minorEastAsia"/>
          <w:color w:val="000000" w:themeColor="text1"/>
          <w:sz w:val="18"/>
          <w:szCs w:val="18"/>
          <w:lang w:val="lv"/>
        </w:rPr>
        <w:footnoteReference w:id="20"/>
      </w:r>
      <w:r>
        <w:rPr>
          <w:color w:val="000000" w:themeColor="text1"/>
          <w:sz w:val="18"/>
        </w:rPr>
        <w:t xml:space="preserve"> In other words, the MoF assesses the FEC and gives an opinion on the preliminary impact of the Partnership Contract on the balance sheet of the general government budget and debt, based on the assessed statistical treatment.</w:t>
      </w:r>
    </w:p>
    <w:p w14:paraId="6CDBE083" w14:textId="2F8F197E" w:rsidR="0048711E" w:rsidRPr="00251B39" w:rsidRDefault="2839D35B" w:rsidP="135A1CBC">
      <w:pPr>
        <w:jc w:val="both"/>
        <w:rPr>
          <w:rFonts w:eastAsiaTheme="minorEastAsia"/>
          <w:color w:val="000000" w:themeColor="text1"/>
          <w:sz w:val="18"/>
          <w:szCs w:val="18"/>
        </w:rPr>
      </w:pPr>
      <w:r>
        <w:rPr>
          <w:color w:val="000000" w:themeColor="text1"/>
          <w:sz w:val="18"/>
        </w:rPr>
        <w:t>If the MoF considers that the potential Partnership Contract will not have an undesirable effect, a decision may be taken to initiate the implementation of the planned PPP project. The Partnership Contract shall be planned and structured as an on-balance or off-balance sheet Partnership Contract, as appropriate, in accordance with the decision of the Cabinet or other decision-making body under the PPP Law.</w:t>
      </w:r>
    </w:p>
    <w:p w14:paraId="0DA865AD" w14:textId="2EEB6C0E" w:rsidR="0048711E" w:rsidRPr="00251B39" w:rsidRDefault="2839D35B" w:rsidP="064C8007">
      <w:pPr>
        <w:jc w:val="both"/>
        <w:rPr>
          <w:rFonts w:eastAsiaTheme="minorEastAsia"/>
          <w:color w:val="000000" w:themeColor="text1"/>
          <w:sz w:val="18"/>
          <w:szCs w:val="18"/>
        </w:rPr>
      </w:pPr>
      <w:r>
        <w:rPr>
          <w:color w:val="000000" w:themeColor="text1"/>
          <w:sz w:val="18"/>
        </w:rPr>
        <w:t>However, if the MoF finds that the planned Partnership Contract will have an undesirable effect on the amount of the long-term liabilities of the State budget, the balance sheet of the general government sector budget, and the debt, the Cabinet shall take a decision on the initiation of the implementation of the PPP project (regardless of whether the public partner in the planned PPP project is the State, a local government or another entity (see Chapter 1.1)).</w:t>
      </w:r>
      <w:r w:rsidR="0048711E" w:rsidRPr="064C8007">
        <w:rPr>
          <w:rStyle w:val="Vresatsauce"/>
          <w:rFonts w:eastAsiaTheme="minorEastAsia"/>
          <w:color w:val="000000" w:themeColor="text1"/>
          <w:sz w:val="18"/>
          <w:szCs w:val="18"/>
          <w:lang w:val="lv"/>
        </w:rPr>
        <w:footnoteReference w:id="21"/>
      </w:r>
      <w:r>
        <w:rPr>
          <w:color w:val="000000" w:themeColor="text1"/>
          <w:sz w:val="18"/>
        </w:rPr>
        <w:t xml:space="preserve"> In this case, the decision of the Cabinet shall include a reference to the planning and structuring of the Partnership Contract as an on-balance or off-balance sheet Partnership Contract. </w:t>
      </w:r>
    </w:p>
    <w:p w14:paraId="1A202C0A" w14:textId="49D81B51" w:rsidR="135A1CBC" w:rsidRPr="00251B39" w:rsidRDefault="2FC4C6FB" w:rsidP="135A1CBC">
      <w:pPr>
        <w:jc w:val="both"/>
        <w:rPr>
          <w:rFonts w:eastAsiaTheme="minorEastAsia"/>
          <w:color w:val="000000" w:themeColor="text1"/>
          <w:sz w:val="18"/>
          <w:szCs w:val="18"/>
        </w:rPr>
      </w:pPr>
      <w:r>
        <w:rPr>
          <w:color w:val="000000" w:themeColor="text1"/>
          <w:sz w:val="18"/>
        </w:rPr>
        <w:t xml:space="preserve">The decision of the Cabinet or other decision-making body under the PPP Law on the establishment of a statistical treatment requirement for the Partnership Contract may specify that the public partner shall </w:t>
      </w:r>
      <w:r>
        <w:rPr>
          <w:color w:val="000000" w:themeColor="text1"/>
          <w:sz w:val="18"/>
        </w:rPr>
        <w:lastRenderedPageBreak/>
        <w:t xml:space="preserve">obtain the opinion of the Central Statistical Bureau or Eurostat on the compliance of the Partnership Contract with statistical off-balance sheet treatment. Such an opinion may be obtained before the Partnership Contract is concluded (ex-ante </w:t>
      </w:r>
      <w:r w:rsidR="00E072DE">
        <w:rPr>
          <w:color w:val="000000" w:themeColor="text1"/>
          <w:sz w:val="18"/>
        </w:rPr>
        <w:t>advice</w:t>
      </w:r>
      <w:r>
        <w:rPr>
          <w:color w:val="000000" w:themeColor="text1"/>
          <w:sz w:val="18"/>
        </w:rPr>
        <w:t xml:space="preserve">) or after its conclusion (ex-post </w:t>
      </w:r>
      <w:r w:rsidR="00E072DE">
        <w:rPr>
          <w:color w:val="000000" w:themeColor="text1"/>
          <w:sz w:val="18"/>
        </w:rPr>
        <w:t>advice</w:t>
      </w:r>
      <w:r>
        <w:rPr>
          <w:color w:val="000000" w:themeColor="text1"/>
          <w:sz w:val="18"/>
        </w:rPr>
        <w:t>).</w:t>
      </w:r>
    </w:p>
    <w:p w14:paraId="0761985E" w14:textId="77777777" w:rsidR="0048711E" w:rsidRPr="001032D5" w:rsidRDefault="0048711E" w:rsidP="008B6449">
      <w:pPr>
        <w:pStyle w:val="Virsraksts2"/>
        <w:numPr>
          <w:ilvl w:val="1"/>
          <w:numId w:val="16"/>
        </w:numPr>
        <w:rPr>
          <w:rFonts w:asciiTheme="minorHAnsi" w:hAnsiTheme="minorHAnsi"/>
        </w:rPr>
      </w:pPr>
      <w:bookmarkStart w:id="35" w:name="_Toc3759958"/>
      <w:bookmarkStart w:id="36" w:name="_Toc3804995"/>
      <w:bookmarkStart w:id="37" w:name="_Toc178586358"/>
      <w:r>
        <w:rPr>
          <w:rFonts w:asciiTheme="minorHAnsi" w:hAnsiTheme="minorHAnsi"/>
        </w:rPr>
        <w:t>Selecting a Private Partner</w:t>
      </w:r>
      <w:bookmarkEnd w:id="35"/>
      <w:bookmarkEnd w:id="36"/>
      <w:bookmarkEnd w:id="37"/>
    </w:p>
    <w:p w14:paraId="2C915FB0" w14:textId="39B8F839" w:rsidR="0048711E" w:rsidRPr="00251B39" w:rsidRDefault="0048711E" w:rsidP="135A1CBC">
      <w:pPr>
        <w:jc w:val="both"/>
        <w:rPr>
          <w:color w:val="000000" w:themeColor="text1"/>
          <w:sz w:val="18"/>
          <w:szCs w:val="18"/>
        </w:rPr>
      </w:pPr>
      <w:r>
        <w:rPr>
          <w:noProof/>
          <w:color w:val="000000" w:themeColor="text1"/>
          <w:sz w:val="18"/>
        </w:rPr>
        <w:drawing>
          <wp:inline distT="0" distB="0" distL="0" distR="0" wp14:anchorId="51882B72" wp14:editId="1D1BF5BE">
            <wp:extent cx="5995035" cy="812165"/>
            <wp:effectExtent l="19050" t="0" r="24765" b="0"/>
            <wp:docPr id="138" name="Diagram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Pr>
          <w:color w:val="000000" w:themeColor="text1"/>
          <w:sz w:val="18"/>
        </w:rPr>
        <w:t xml:space="preserve">In order to select a private partner for a particular PPP project, the public partner shall choose the most appropriate means of selecting a private partner for the purpose and deliverables of the PPP project, the identified market and the potential range of stakeholders. </w:t>
      </w:r>
    </w:p>
    <w:p w14:paraId="5F3F8994" w14:textId="42A620D0" w:rsidR="0048711E" w:rsidRPr="00251B39" w:rsidRDefault="0048711E" w:rsidP="6E4A8A92">
      <w:pPr>
        <w:jc w:val="both"/>
        <w:rPr>
          <w:color w:val="000000" w:themeColor="text1"/>
          <w:sz w:val="18"/>
          <w:szCs w:val="18"/>
        </w:rPr>
      </w:pPr>
      <w:r>
        <w:rPr>
          <w:color w:val="000000" w:themeColor="text1"/>
          <w:sz w:val="18"/>
        </w:rPr>
        <w:t>Depending on who the public partner is, the PPL, the LPPSP or the LPFDS shall be applied to the procurement of the Partnership Contract</w:t>
      </w:r>
      <w:r w:rsidRPr="00251B39">
        <w:rPr>
          <w:rStyle w:val="Vresatsauce"/>
          <w:color w:val="000000" w:themeColor="text1"/>
          <w:sz w:val="18"/>
          <w:szCs w:val="18"/>
          <w:lang w:val="lv-LV"/>
        </w:rPr>
        <w:footnoteReference w:id="22"/>
      </w:r>
      <w:r>
        <w:rPr>
          <w:color w:val="000000" w:themeColor="text1"/>
          <w:sz w:val="18"/>
        </w:rPr>
        <w:t>. The procurement procedures provided for in those laws for the selection of a private partner shall not be applied only in the cases provided for in those laws. In the case of a Concession, the Concession Procedure under the PPP Law shall be applied.</w:t>
      </w:r>
    </w:p>
    <w:p w14:paraId="7D29CFD5" w14:textId="31F58487" w:rsidR="0048711E" w:rsidRPr="00251B39" w:rsidRDefault="0048711E" w:rsidP="6E4A8A92">
      <w:pPr>
        <w:jc w:val="both"/>
        <w:rPr>
          <w:color w:val="000000" w:themeColor="text1"/>
          <w:sz w:val="18"/>
          <w:szCs w:val="18"/>
        </w:rPr>
      </w:pPr>
      <w:r>
        <w:rPr>
          <w:color w:val="000000" w:themeColor="text1"/>
          <w:sz w:val="18"/>
        </w:rPr>
        <w:t>PPPs have been identified as the most appropriate arrangement for delegating administration tasks</w:t>
      </w:r>
      <w:r w:rsidRPr="00251B39">
        <w:rPr>
          <w:rStyle w:val="Vresatsauce"/>
          <w:color w:val="000000" w:themeColor="text1"/>
          <w:sz w:val="18"/>
          <w:szCs w:val="18"/>
          <w:lang w:val="lv-LV"/>
        </w:rPr>
        <w:footnoteReference w:id="23"/>
      </w:r>
      <w:r>
        <w:rPr>
          <w:color w:val="000000" w:themeColor="text1"/>
          <w:sz w:val="18"/>
        </w:rPr>
        <w:t>. In the case of delegation of a public administration task, the Partnership Contract shall be concluded in accordance with the procedure laid down in the PPP Law</w:t>
      </w:r>
      <w:r w:rsidRPr="00251B39">
        <w:rPr>
          <w:rStyle w:val="Vresatsauce"/>
          <w:color w:val="000000" w:themeColor="text1"/>
          <w:sz w:val="18"/>
          <w:szCs w:val="18"/>
          <w:lang w:val="lv-LV"/>
        </w:rPr>
        <w:footnoteReference w:id="24"/>
      </w:r>
      <w:r>
        <w:rPr>
          <w:color w:val="000000" w:themeColor="text1"/>
          <w:sz w:val="18"/>
        </w:rPr>
        <w:t>, supplementing the Partnership Contract with the minimum mandatory content of the delegation contract</w:t>
      </w:r>
      <w:r w:rsidRPr="00251B39">
        <w:rPr>
          <w:rStyle w:val="Vresatsauce"/>
          <w:color w:val="000000" w:themeColor="text1"/>
          <w:sz w:val="18"/>
          <w:szCs w:val="18"/>
          <w:lang w:val="lv-LV"/>
        </w:rPr>
        <w:footnoteReference w:id="25"/>
      </w:r>
      <w:r>
        <w:rPr>
          <w:color w:val="000000" w:themeColor="text1"/>
          <w:sz w:val="18"/>
        </w:rPr>
        <w:t>. Consequently, also in the case of delegation, the selection of a private partner shall be made using one of the procurement procedures or the Concession Procedure provided for in the PPP Law, unless the laws and regulations governing procurement or the PPP Law provide otherwise.</w:t>
      </w:r>
    </w:p>
    <w:p w14:paraId="48171A03" w14:textId="77777777" w:rsidR="0048711E" w:rsidRPr="001032D5" w:rsidRDefault="0048711E" w:rsidP="008B6449">
      <w:pPr>
        <w:pStyle w:val="Virsraksts2"/>
        <w:numPr>
          <w:ilvl w:val="1"/>
          <w:numId w:val="16"/>
        </w:numPr>
        <w:rPr>
          <w:rFonts w:asciiTheme="minorHAnsi" w:hAnsiTheme="minorHAnsi"/>
        </w:rPr>
      </w:pPr>
      <w:bookmarkStart w:id="38" w:name="_Toc3759959"/>
      <w:bookmarkStart w:id="39" w:name="_Toc3804996"/>
      <w:bookmarkStart w:id="40" w:name="_Toc178586359"/>
      <w:r>
        <w:rPr>
          <w:rFonts w:asciiTheme="minorHAnsi" w:hAnsiTheme="minorHAnsi"/>
        </w:rPr>
        <w:t>Competition and State Aid</w:t>
      </w:r>
      <w:bookmarkEnd w:id="38"/>
      <w:bookmarkEnd w:id="39"/>
      <w:bookmarkEnd w:id="40"/>
    </w:p>
    <w:p w14:paraId="04B9954B" w14:textId="701BE383" w:rsidR="0048711E" w:rsidRPr="00251B39" w:rsidRDefault="0048711E" w:rsidP="68A3781E">
      <w:pPr>
        <w:jc w:val="both"/>
        <w:rPr>
          <w:sz w:val="18"/>
          <w:szCs w:val="18"/>
        </w:rPr>
      </w:pPr>
      <w:r>
        <w:rPr>
          <w:noProof/>
          <w:color w:val="000000" w:themeColor="text1"/>
          <w:sz w:val="18"/>
        </w:rPr>
        <w:drawing>
          <wp:inline distT="0" distB="0" distL="0" distR="0" wp14:anchorId="08D6B13E" wp14:editId="532746ED">
            <wp:extent cx="5979380" cy="812165"/>
            <wp:effectExtent l="19050" t="0" r="2159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Pr>
          <w:b/>
          <w:sz w:val="18"/>
        </w:rPr>
        <w:t>Competition</w:t>
      </w:r>
      <w:r>
        <w:rPr>
          <w:sz w:val="18"/>
        </w:rPr>
        <w:t xml:space="preserve">. In order to ensure a proper and proportionate link between PPPs and the competition regulatory framework, competition aspects of PPPs need to be assessed beyond the competition between potential private partners for the right to implement a particular PPP project. </w:t>
      </w:r>
    </w:p>
    <w:p w14:paraId="2FA69AD1" w14:textId="2E020945" w:rsidR="0048711E" w:rsidRPr="00251B39" w:rsidRDefault="68A3781E" w:rsidP="2FC20CF1">
      <w:pPr>
        <w:jc w:val="both"/>
        <w:rPr>
          <w:sz w:val="18"/>
          <w:szCs w:val="18"/>
        </w:rPr>
      </w:pPr>
      <w:r>
        <w:rPr>
          <w:sz w:val="18"/>
        </w:rPr>
        <w:t xml:space="preserve">In particular, when defining the objective and deliverables of a PPP project, by sounding the market and the interest of potential private partners within FEC, the public partner shall structure the PPP project in such a way that free, fair and equal competition (provided that it exists in the relevant market) is protected, maintained and developed. The use of PPPs does not in itself automatically distort, restrict or exclude competition. However, choosing a PPP arrangement that is inappropriate for the market, the number of market players, the development and functioning of the market during the life cycle of the PPP project risks unduly distorting, restricting or excluding competition. </w:t>
      </w:r>
    </w:p>
    <w:p w14:paraId="30C6099F" w14:textId="0563595B" w:rsidR="0048711E" w:rsidRPr="00251B39" w:rsidRDefault="2FC20CF1" w:rsidP="68A3781E">
      <w:pPr>
        <w:jc w:val="both"/>
        <w:rPr>
          <w:sz w:val="18"/>
          <w:szCs w:val="18"/>
        </w:rPr>
      </w:pPr>
      <w:r>
        <w:rPr>
          <w:sz w:val="18"/>
        </w:rPr>
        <w:t>When planning and structuring a PPP project, it shall be taken into account that the Competition Council has a certain competence to assess and issue opinions on draft legislation and other documents if they contain market mechanisms that may directly or indirectly restrict competition</w:t>
      </w:r>
      <w:r w:rsidR="0048711E" w:rsidRPr="00251B39">
        <w:rPr>
          <w:rStyle w:val="Vresatsauce"/>
          <w:sz w:val="18"/>
          <w:szCs w:val="18"/>
          <w:lang w:val="lv-LV"/>
        </w:rPr>
        <w:footnoteReference w:id="26"/>
      </w:r>
      <w:r>
        <w:rPr>
          <w:sz w:val="18"/>
        </w:rPr>
        <w:t xml:space="preserve">. The Competition </w:t>
      </w:r>
      <w:r>
        <w:rPr>
          <w:sz w:val="18"/>
        </w:rPr>
        <w:lastRenderedPageBreak/>
        <w:t xml:space="preserve">Council is entitled to exercise this competence at any time during the structuring and development of a PPP project.  </w:t>
      </w:r>
    </w:p>
    <w:p w14:paraId="4ACBBC50" w14:textId="032A8F5A" w:rsidR="0048711E" w:rsidRPr="00251B39" w:rsidRDefault="2FC20CF1" w:rsidP="2FC20CF1">
      <w:pPr>
        <w:jc w:val="both"/>
        <w:rPr>
          <w:sz w:val="18"/>
          <w:szCs w:val="18"/>
        </w:rPr>
      </w:pPr>
      <w:r>
        <w:rPr>
          <w:sz w:val="18"/>
        </w:rPr>
        <w:t xml:space="preserve">Therefore, when implementing a PPP project, the public partner shall, among other things, assess the burden that the particular PPP project could potentially impose on the conditions of competition. The loss of effective competition in a given market during the life cycle of a PPP project shall be seen as an independent and sufficient reason to consider another PPP arrangement, PPP model or non-PPP solution for the given project. </w:t>
      </w:r>
    </w:p>
    <w:p w14:paraId="14994D30" w14:textId="291B7E87" w:rsidR="2FC20CF1" w:rsidRPr="00251B39" w:rsidRDefault="2839D35B" w:rsidP="7DB09CA3">
      <w:pPr>
        <w:jc w:val="both"/>
        <w:rPr>
          <w:sz w:val="18"/>
          <w:szCs w:val="18"/>
        </w:rPr>
      </w:pPr>
      <w:r>
        <w:rPr>
          <w:b/>
          <w:sz w:val="18"/>
        </w:rPr>
        <w:t>A public partner's right to engage in commercial activities</w:t>
      </w:r>
      <w:r>
        <w:rPr>
          <w:sz w:val="18"/>
        </w:rPr>
        <w:t>. When considering an Institutional PPP, the public partner shall carefully assess its ability to engage in commercial activities within the FEC. Such engagement is allowed in one of the following cases</w:t>
      </w:r>
      <w:r w:rsidR="2FC20CF1" w:rsidRPr="00251B39">
        <w:rPr>
          <w:rStyle w:val="Vresatsauce"/>
          <w:sz w:val="18"/>
          <w:szCs w:val="18"/>
          <w:lang w:val="lv-LV"/>
        </w:rPr>
        <w:footnoteReference w:id="27"/>
      </w:r>
      <w:r>
        <w:rPr>
          <w:sz w:val="18"/>
        </w:rPr>
        <w:t xml:space="preserve">: </w:t>
      </w:r>
    </w:p>
    <w:p w14:paraId="2CAFAEF5" w14:textId="1777E4FA" w:rsidR="008BB93E" w:rsidRPr="00251B39" w:rsidRDefault="2839D35B" w:rsidP="008B6449">
      <w:pPr>
        <w:pStyle w:val="Sarakstarindkopa"/>
        <w:numPr>
          <w:ilvl w:val="0"/>
          <w:numId w:val="34"/>
        </w:numPr>
        <w:jc w:val="both"/>
        <w:rPr>
          <w:sz w:val="18"/>
          <w:szCs w:val="18"/>
        </w:rPr>
      </w:pPr>
      <w:r>
        <w:rPr>
          <w:sz w:val="18"/>
        </w:rPr>
        <w:t>commercial engagement is necessary to prevent a market failure in circumstances where the market is incapable of serving the public interest; or</w:t>
      </w:r>
    </w:p>
    <w:p w14:paraId="1601C606" w14:textId="703125EB" w:rsidR="008BB93E" w:rsidRPr="00251B39" w:rsidRDefault="2839D35B" w:rsidP="008B6449">
      <w:pPr>
        <w:pStyle w:val="Sarakstarindkopa"/>
        <w:numPr>
          <w:ilvl w:val="0"/>
          <w:numId w:val="34"/>
        </w:numPr>
        <w:jc w:val="both"/>
        <w:rPr>
          <w:sz w:val="18"/>
          <w:szCs w:val="18"/>
        </w:rPr>
      </w:pPr>
      <w:r>
        <w:rPr>
          <w:sz w:val="18"/>
        </w:rPr>
        <w:t>goods or services of strategic importance for the development of the national or local administrative territory or for national security will be created; or</w:t>
      </w:r>
    </w:p>
    <w:p w14:paraId="207CEB2F" w14:textId="1AEA9E34" w:rsidR="008BB93E" w:rsidRPr="00251B39" w:rsidRDefault="2839D35B" w:rsidP="008B6449">
      <w:pPr>
        <w:pStyle w:val="Sarakstarindkopa"/>
        <w:numPr>
          <w:ilvl w:val="0"/>
          <w:numId w:val="34"/>
        </w:numPr>
        <w:jc w:val="both"/>
        <w:rPr>
          <w:sz w:val="18"/>
          <w:szCs w:val="18"/>
        </w:rPr>
      </w:pPr>
      <w:r>
        <w:rPr>
          <w:sz w:val="18"/>
        </w:rPr>
        <w:t>properties of strategic importance for the development of the national or local administrative territory or for national security will be administered.</w:t>
      </w:r>
    </w:p>
    <w:p w14:paraId="792B5098" w14:textId="37786F1F" w:rsidR="008BB93E" w:rsidRPr="00251B39" w:rsidRDefault="2839D35B" w:rsidP="2839D35B">
      <w:pPr>
        <w:jc w:val="both"/>
        <w:rPr>
          <w:rFonts w:eastAsiaTheme="minorEastAsia"/>
          <w:sz w:val="18"/>
          <w:szCs w:val="18"/>
        </w:rPr>
      </w:pPr>
      <w:r>
        <w:rPr>
          <w:sz w:val="18"/>
        </w:rPr>
        <w:t>When assessing its potential commercial engagement, the public partner shall justify in the FEC that the PPP project's objective will not otherwise be effectively achieved. The public partner shall consult with competent authorities and associations or foundations representing merchants, and comply with the requirements of the laws and regulations governing the field of control of aid for commercial activity.</w:t>
      </w:r>
      <w:r w:rsidR="008BB93E" w:rsidRPr="00251B39">
        <w:rPr>
          <w:rStyle w:val="Vresatsauce"/>
          <w:rFonts w:eastAsiaTheme="minorEastAsia"/>
          <w:sz w:val="18"/>
          <w:szCs w:val="18"/>
          <w:lang w:val="lv-LV"/>
        </w:rPr>
        <w:footnoteReference w:id="28"/>
      </w:r>
    </w:p>
    <w:p w14:paraId="6E83463B" w14:textId="71C1BE82" w:rsidR="0048711E" w:rsidRPr="00251B39" w:rsidRDefault="5F33FD79" w:rsidP="5F33FD79">
      <w:pPr>
        <w:jc w:val="both"/>
        <w:rPr>
          <w:color w:val="000000" w:themeColor="text1"/>
          <w:sz w:val="18"/>
          <w:szCs w:val="18"/>
        </w:rPr>
      </w:pPr>
      <w:r>
        <w:rPr>
          <w:b/>
          <w:color w:val="000000" w:themeColor="text1"/>
          <w:sz w:val="18"/>
        </w:rPr>
        <w:t>State aid.</w:t>
      </w:r>
      <w:r>
        <w:rPr>
          <w:color w:val="000000" w:themeColor="text1"/>
          <w:sz w:val="18"/>
        </w:rPr>
        <w:t xml:space="preserve"> According to the case law developed by the Court of Justice of the European Union, in order to establish the existence of State aid, it shall be shown that: </w:t>
      </w:r>
    </w:p>
    <w:p w14:paraId="0F220FA0" w14:textId="1FCE86A5" w:rsidR="0048711E" w:rsidRPr="00251B39" w:rsidRDefault="5F33FD79" w:rsidP="008B6449">
      <w:pPr>
        <w:pStyle w:val="Sarakstarindkopa"/>
        <w:numPr>
          <w:ilvl w:val="0"/>
          <w:numId w:val="51"/>
        </w:numPr>
        <w:jc w:val="both"/>
        <w:rPr>
          <w:color w:val="000000" w:themeColor="text1"/>
          <w:sz w:val="18"/>
          <w:szCs w:val="18"/>
        </w:rPr>
      </w:pPr>
      <w:r>
        <w:rPr>
          <w:color w:val="000000" w:themeColor="text1"/>
          <w:sz w:val="18"/>
        </w:rPr>
        <w:t>the funds are provided by the State or from State resources; and</w:t>
      </w:r>
    </w:p>
    <w:p w14:paraId="1E47B2F9" w14:textId="7C9C9034" w:rsidR="0048711E" w:rsidRPr="00251B39" w:rsidRDefault="5F33FD79" w:rsidP="008B6449">
      <w:pPr>
        <w:pStyle w:val="Sarakstarindkopa"/>
        <w:numPr>
          <w:ilvl w:val="0"/>
          <w:numId w:val="51"/>
        </w:numPr>
        <w:jc w:val="both"/>
        <w:rPr>
          <w:color w:val="000000" w:themeColor="text1"/>
          <w:sz w:val="18"/>
          <w:szCs w:val="18"/>
        </w:rPr>
      </w:pPr>
      <w:r>
        <w:rPr>
          <w:color w:val="000000" w:themeColor="text1"/>
          <w:sz w:val="18"/>
        </w:rPr>
        <w:t>the aid confers an advantage on certain undertakings or the production of certain goods, and</w:t>
      </w:r>
    </w:p>
    <w:p w14:paraId="47A97E76" w14:textId="3E087455" w:rsidR="0048711E" w:rsidRPr="00251B39" w:rsidRDefault="5F33FD79" w:rsidP="008B6449">
      <w:pPr>
        <w:pStyle w:val="Sarakstarindkopa"/>
        <w:numPr>
          <w:ilvl w:val="0"/>
          <w:numId w:val="51"/>
        </w:numPr>
        <w:jc w:val="both"/>
        <w:rPr>
          <w:color w:val="000000" w:themeColor="text1"/>
          <w:sz w:val="18"/>
          <w:szCs w:val="18"/>
        </w:rPr>
      </w:pPr>
      <w:r>
        <w:rPr>
          <w:color w:val="000000" w:themeColor="text1"/>
          <w:sz w:val="18"/>
        </w:rPr>
        <w:t>the aid distorts or threatens to distort competition in the common market; and</w:t>
      </w:r>
    </w:p>
    <w:p w14:paraId="16BCCEE5" w14:textId="59478AF0" w:rsidR="0048711E" w:rsidRPr="00251B39" w:rsidRDefault="5F33FD79" w:rsidP="008B6449">
      <w:pPr>
        <w:pStyle w:val="Sarakstarindkopa"/>
        <w:numPr>
          <w:ilvl w:val="0"/>
          <w:numId w:val="51"/>
        </w:numPr>
        <w:jc w:val="both"/>
        <w:rPr>
          <w:color w:val="000000" w:themeColor="text1"/>
          <w:sz w:val="18"/>
          <w:szCs w:val="18"/>
        </w:rPr>
      </w:pPr>
      <w:r>
        <w:rPr>
          <w:color w:val="000000" w:themeColor="text1"/>
          <w:sz w:val="18"/>
        </w:rPr>
        <w:t>the aid affects trade between Member States (it should also be noted that State aid affects trade between Member States both where there is trade between Member States in the aided sector and where there is no trade between Member States in the aided sector, provided that there is no surplus production on the relevant market</w:t>
      </w:r>
      <w:r w:rsidR="68A3781E" w:rsidRPr="5F33FD79">
        <w:rPr>
          <w:rStyle w:val="Vresatsauce"/>
          <w:color w:val="000000" w:themeColor="text1"/>
          <w:sz w:val="18"/>
          <w:szCs w:val="18"/>
          <w:lang w:val="lv-LV"/>
        </w:rPr>
        <w:footnoteReference w:id="29"/>
      </w:r>
      <w:r>
        <w:rPr>
          <w:color w:val="000000" w:themeColor="text1"/>
          <w:sz w:val="18"/>
        </w:rPr>
        <w:t>).</w:t>
      </w:r>
      <w:r w:rsidR="68A3781E" w:rsidRPr="5F33FD79">
        <w:rPr>
          <w:rStyle w:val="Vresatsauce"/>
          <w:color w:val="000000" w:themeColor="text1"/>
          <w:sz w:val="18"/>
          <w:szCs w:val="18"/>
          <w:lang w:val="lv-LV"/>
        </w:rPr>
        <w:footnoteReference w:id="30"/>
      </w:r>
    </w:p>
    <w:p w14:paraId="6713ACFE" w14:textId="60415A85" w:rsidR="005459B8" w:rsidRPr="005459B8" w:rsidRDefault="7F952482" w:rsidP="005459B8">
      <w:pPr>
        <w:jc w:val="both"/>
        <w:rPr>
          <w:rFonts w:ascii="Verdana" w:eastAsia="Verdana" w:hAnsi="Verdana" w:cs="Verdana"/>
          <w:color w:val="000000" w:themeColor="text1"/>
          <w:sz w:val="18"/>
          <w:szCs w:val="18"/>
        </w:rPr>
      </w:pPr>
      <w:r>
        <w:rPr>
          <w:rFonts w:ascii="Verdana" w:hAnsi="Verdana"/>
          <w:color w:val="000000" w:themeColor="text1"/>
          <w:sz w:val="18"/>
        </w:rPr>
        <w:t>The Aid Law is designed to ensure the necessary coherence between the EU and national legal frameworks on State aid. By explaining the EU legal framework in more detail, but without narrowing it down, and maintaining the primacy of the EU legal framework over the national legal framework in this respect, the Aid Law sets out the following features of aid for commercial activity, which shall be fulfilled simultaneously:</w:t>
      </w:r>
    </w:p>
    <w:p w14:paraId="007BBCCE" w14:textId="77587539" w:rsidR="00645164" w:rsidRPr="00645164" w:rsidRDefault="52C2A8E6" w:rsidP="008B6449">
      <w:pPr>
        <w:pStyle w:val="Sarakstarindkopa"/>
        <w:numPr>
          <w:ilvl w:val="0"/>
          <w:numId w:val="52"/>
        </w:numPr>
        <w:jc w:val="both"/>
        <w:rPr>
          <w:color w:val="000000" w:themeColor="text1"/>
          <w:sz w:val="18"/>
          <w:szCs w:val="18"/>
        </w:rPr>
      </w:pPr>
      <w:r>
        <w:rPr>
          <w:rFonts w:ascii="Verdana" w:hAnsi="Verdana"/>
          <w:color w:val="000000" w:themeColor="text1"/>
          <w:sz w:val="18"/>
        </w:rPr>
        <w:t>financial assistance is directly or indirectly provided from the State, local government, European Union or other public resources, and the public authorities have a controlling influence over the financial resources; and</w:t>
      </w:r>
    </w:p>
    <w:p w14:paraId="28EC80E5" w14:textId="25A4F151" w:rsidR="51366C97" w:rsidRDefault="52C2A8E6" w:rsidP="008B6449">
      <w:pPr>
        <w:pStyle w:val="Sarakstarindkopa"/>
        <w:numPr>
          <w:ilvl w:val="0"/>
          <w:numId w:val="52"/>
        </w:numPr>
        <w:jc w:val="both"/>
        <w:rPr>
          <w:color w:val="000000" w:themeColor="text1"/>
          <w:sz w:val="18"/>
          <w:szCs w:val="18"/>
        </w:rPr>
      </w:pPr>
      <w:r>
        <w:rPr>
          <w:rFonts w:ascii="Verdana" w:hAnsi="Verdana"/>
          <w:color w:val="000000" w:themeColor="text1"/>
          <w:sz w:val="18"/>
        </w:rPr>
        <w:t>the commercial company carries out commercial activity and acquires economic advantages which it could not acquire if the aid for commercial activity was not provided; and</w:t>
      </w:r>
    </w:p>
    <w:p w14:paraId="0ACED35B" w14:textId="53E58E6E" w:rsidR="00CD6178" w:rsidRPr="00CD6178" w:rsidRDefault="52C2A8E6" w:rsidP="008B6449">
      <w:pPr>
        <w:pStyle w:val="Sarakstarindkopa"/>
        <w:numPr>
          <w:ilvl w:val="0"/>
          <w:numId w:val="52"/>
        </w:numPr>
        <w:jc w:val="both"/>
        <w:rPr>
          <w:rFonts w:ascii="Verdana" w:eastAsia="Verdana" w:hAnsi="Verdana" w:cs="Verdana"/>
          <w:color w:val="000000" w:themeColor="text1"/>
          <w:sz w:val="18"/>
          <w:szCs w:val="18"/>
        </w:rPr>
      </w:pPr>
      <w:r>
        <w:rPr>
          <w:rFonts w:ascii="Verdana" w:hAnsi="Verdana"/>
          <w:color w:val="000000" w:themeColor="text1"/>
          <w:sz w:val="18"/>
        </w:rPr>
        <w:t xml:space="preserve">financial assistance does not apply equally to all commercial companies, but it is provided to commercial companies depending on the size, type of activity or location thereof, as well as other differentiating criteria or is also provided to a particular commercial company; and </w:t>
      </w:r>
    </w:p>
    <w:p w14:paraId="5CAA44E5" w14:textId="456CF5CA" w:rsidR="34C20381" w:rsidRDefault="52C2A8E6" w:rsidP="008B6449">
      <w:pPr>
        <w:pStyle w:val="Sarakstarindkopa"/>
        <w:numPr>
          <w:ilvl w:val="0"/>
          <w:numId w:val="52"/>
        </w:numPr>
        <w:jc w:val="both"/>
        <w:rPr>
          <w:color w:val="000000" w:themeColor="text1"/>
          <w:sz w:val="18"/>
          <w:szCs w:val="18"/>
        </w:rPr>
      </w:pPr>
      <w:r>
        <w:rPr>
          <w:rFonts w:ascii="Verdana" w:hAnsi="Verdana"/>
          <w:color w:val="000000" w:themeColor="text1"/>
          <w:sz w:val="18"/>
        </w:rPr>
        <w:lastRenderedPageBreak/>
        <w:t>financial assistance affects trade and distorts competition in the internal market of the European Union.</w:t>
      </w:r>
      <w:r w:rsidRPr="52C2A8E6">
        <w:rPr>
          <w:rStyle w:val="Vresatsauce"/>
          <w:rFonts w:ascii="Verdana" w:eastAsia="Verdana" w:hAnsi="Verdana" w:cs="Verdana"/>
          <w:color w:val="000000" w:themeColor="text1"/>
          <w:sz w:val="18"/>
          <w:szCs w:val="18"/>
          <w:lang w:val="lv"/>
        </w:rPr>
        <w:footnoteReference w:id="31"/>
      </w:r>
    </w:p>
    <w:p w14:paraId="01204F26" w14:textId="09F9F429" w:rsidR="0048711E" w:rsidRPr="00251B39" w:rsidRDefault="5F33FD79" w:rsidP="0C316C09">
      <w:pPr>
        <w:jc w:val="both"/>
        <w:rPr>
          <w:color w:val="000000" w:themeColor="text1"/>
          <w:sz w:val="18"/>
          <w:szCs w:val="18"/>
        </w:rPr>
      </w:pPr>
      <w:r>
        <w:rPr>
          <w:rFonts w:ascii="Verdana" w:hAnsi="Verdana"/>
          <w:color w:val="000000" w:themeColor="text1"/>
          <w:sz w:val="18"/>
        </w:rPr>
        <w:t>Depending on the planned PPP project, its objective and deliverables, it is possible that during the structuring of the PPP project, some features characterising commercial aid (in other words, State aid) may be identified. If they cannot be excluded from the PPP project, the public partner shall include in the FEC and in the PPP project timetable the reconciliation of this State aid in the cases and procedures provided for in the laws and regulations</w:t>
      </w:r>
      <w:r w:rsidR="006B4FBE">
        <w:rPr>
          <w:rStyle w:val="Vresatsauce"/>
          <w:rFonts w:ascii="Verdana" w:eastAsia="Verdana" w:hAnsi="Verdana" w:cs="Verdana"/>
          <w:color w:val="000000" w:themeColor="text1"/>
          <w:sz w:val="18"/>
          <w:szCs w:val="18"/>
          <w:lang w:val="lv"/>
        </w:rPr>
        <w:footnoteReference w:id="32"/>
      </w:r>
      <w:r>
        <w:rPr>
          <w:rFonts w:ascii="Verdana" w:hAnsi="Verdana"/>
          <w:color w:val="000000" w:themeColor="text1"/>
          <w:sz w:val="18"/>
        </w:rPr>
        <w:t xml:space="preserve">. Moreover, in case amendments to the Partnership Contract become necessary during the implementation of a PPP project, it is essential to assess each of them in depth in order to avoid increasing the existing State aid intensity or introducing new State aid. </w:t>
      </w:r>
    </w:p>
    <w:p w14:paraId="452E5FF3" w14:textId="24DC472D" w:rsidR="0048711E" w:rsidRPr="00251B39" w:rsidRDefault="5F33FD79" w:rsidP="5F33FD79">
      <w:pPr>
        <w:jc w:val="both"/>
        <w:rPr>
          <w:rFonts w:eastAsiaTheme="minorEastAsia"/>
          <w:sz w:val="18"/>
          <w:szCs w:val="18"/>
        </w:rPr>
      </w:pPr>
      <w:r>
        <w:rPr>
          <w:rFonts w:ascii="Verdana" w:hAnsi="Verdana"/>
          <w:color w:val="000000" w:themeColor="text1"/>
          <w:sz w:val="18"/>
        </w:rPr>
        <w:t>The compatibility of PPP projects with the regulatory framework of State aid can be checked at any time during the term of the Partnership Contract. Recovery of unlawful State aid can also be sought in the case of PPPs</w:t>
      </w:r>
      <w:r w:rsidR="000F488D">
        <w:rPr>
          <w:rStyle w:val="Vresatsauce"/>
          <w:rFonts w:ascii="Verdana" w:eastAsia="Verdana" w:hAnsi="Verdana" w:cs="Verdana"/>
          <w:color w:val="000000" w:themeColor="text1"/>
          <w:sz w:val="18"/>
          <w:szCs w:val="18"/>
          <w:lang w:val="lv"/>
        </w:rPr>
        <w:footnoteReference w:id="33"/>
      </w:r>
      <w:r>
        <w:rPr>
          <w:rFonts w:ascii="Verdana" w:hAnsi="Verdana"/>
          <w:color w:val="000000" w:themeColor="text1"/>
          <w:sz w:val="18"/>
        </w:rPr>
        <w:t>.</w:t>
      </w:r>
      <w:r>
        <w:rPr>
          <w:rFonts w:ascii="Times New Roman" w:hAnsi="Times New Roman"/>
          <w:sz w:val="18"/>
        </w:rPr>
        <w:t xml:space="preserve"> </w:t>
      </w:r>
      <w:r>
        <w:rPr>
          <w:sz w:val="18"/>
        </w:rPr>
        <w:t>It should be noted that unlawful State aid, including without exception unlawful de minimis State aid, will be recovered in full, applying a penalty interest rate determined by the European Commission to the amount to be recovered</w:t>
      </w:r>
      <w:r w:rsidRPr="52C2A8E6">
        <w:rPr>
          <w:rStyle w:val="Vresatsauce"/>
          <w:rFonts w:eastAsiaTheme="minorEastAsia"/>
          <w:sz w:val="18"/>
          <w:szCs w:val="18"/>
          <w:lang w:val="lv-LV"/>
        </w:rPr>
        <w:footnoteReference w:id="34"/>
      </w:r>
      <w:r>
        <w:rPr>
          <w:sz w:val="18"/>
        </w:rPr>
        <w:t>. When engaging a private partner for the execution of a Partnership Contract containing State aid elements, it shall be ensured that the private partner has no outstanding commitments for the repayment of other unlawful State aid received in the past.</w:t>
      </w:r>
      <w:r w:rsidR="61463212" w:rsidRPr="6430CE97">
        <w:rPr>
          <w:rStyle w:val="Vresatsauce"/>
          <w:rFonts w:eastAsiaTheme="minorEastAsia"/>
          <w:sz w:val="18"/>
          <w:szCs w:val="18"/>
          <w:lang w:val="lv-LV"/>
        </w:rPr>
        <w:footnoteReference w:id="35"/>
      </w:r>
      <w:r>
        <w:rPr>
          <w:sz w:val="18"/>
        </w:rPr>
        <w:t xml:space="preserve"> </w:t>
      </w:r>
    </w:p>
    <w:p w14:paraId="6B10DB04" w14:textId="075EEDBB" w:rsidR="0048711E" w:rsidRPr="002C1427" w:rsidRDefault="68A3781E" w:rsidP="00BC0E18">
      <w:pPr>
        <w:jc w:val="both"/>
      </w:pPr>
      <w:r>
        <w:br/>
      </w:r>
      <w:r>
        <w:br/>
      </w:r>
    </w:p>
    <w:p w14:paraId="044698D9" w14:textId="77777777" w:rsidR="00584235" w:rsidRPr="00251B39" w:rsidRDefault="00584235">
      <w:pPr>
        <w:rPr>
          <w:sz w:val="18"/>
          <w:szCs w:val="18"/>
        </w:rPr>
      </w:pPr>
      <w:r>
        <w:br w:type="page"/>
      </w:r>
    </w:p>
    <w:p w14:paraId="72422739" w14:textId="7698C977" w:rsidR="00E97724" w:rsidRPr="00251B39" w:rsidRDefault="009E541C" w:rsidP="008B6449">
      <w:pPr>
        <w:pStyle w:val="Virsraksts1"/>
        <w:numPr>
          <w:ilvl w:val="0"/>
          <w:numId w:val="16"/>
        </w:numPr>
        <w:rPr>
          <w:rFonts w:asciiTheme="minorHAnsi" w:hAnsiTheme="minorHAnsi"/>
        </w:rPr>
      </w:pPr>
      <w:bookmarkStart w:id="41" w:name="_Projekta_īstenošanas_pamatojums"/>
      <w:bookmarkStart w:id="42" w:name="_Toc3205479"/>
      <w:bookmarkStart w:id="43" w:name="_Toc3246829"/>
      <w:bookmarkStart w:id="44" w:name="_Toc3249538"/>
      <w:bookmarkStart w:id="45" w:name="_Toc3759960"/>
      <w:bookmarkStart w:id="46" w:name="_Toc3804997"/>
      <w:bookmarkStart w:id="47" w:name="_Toc178586360"/>
      <w:bookmarkEnd w:id="41"/>
      <w:r>
        <w:rPr>
          <w:rFonts w:asciiTheme="minorHAnsi" w:hAnsiTheme="minorHAnsi"/>
        </w:rPr>
        <w:lastRenderedPageBreak/>
        <w:t>Justification of Project Implementation</w:t>
      </w:r>
      <w:bookmarkEnd w:id="42"/>
      <w:bookmarkEnd w:id="43"/>
      <w:bookmarkEnd w:id="44"/>
      <w:bookmarkEnd w:id="45"/>
      <w:bookmarkEnd w:id="46"/>
      <w:bookmarkEnd w:id="47"/>
    </w:p>
    <w:p w14:paraId="023DB377" w14:textId="316C2BAB" w:rsidR="00E97724" w:rsidRPr="00251B39" w:rsidRDefault="00E97724" w:rsidP="00172A7C">
      <w:pPr>
        <w:spacing w:after="0"/>
        <w:rPr>
          <w:lang w:val="lv-LV"/>
        </w:rPr>
      </w:pPr>
    </w:p>
    <w:p w14:paraId="7DA1CE6C" w14:textId="3DBEF2FC" w:rsidR="00A17D71" w:rsidRPr="00251B39" w:rsidRDefault="009E541C" w:rsidP="008B6449">
      <w:pPr>
        <w:pStyle w:val="Virsraksts2"/>
        <w:numPr>
          <w:ilvl w:val="1"/>
          <w:numId w:val="16"/>
        </w:numPr>
        <w:rPr>
          <w:rFonts w:asciiTheme="minorHAnsi" w:hAnsiTheme="minorHAnsi"/>
        </w:rPr>
      </w:pPr>
      <w:bookmarkStart w:id="48" w:name="_Vajadzību_novērtējums"/>
      <w:bookmarkStart w:id="49" w:name="_Toc3205480"/>
      <w:bookmarkStart w:id="50" w:name="_Toc3246830"/>
      <w:bookmarkStart w:id="51" w:name="_Toc3249539"/>
      <w:bookmarkStart w:id="52" w:name="_Toc3759961"/>
      <w:bookmarkStart w:id="53" w:name="_Toc3804998"/>
      <w:bookmarkStart w:id="54" w:name="_Toc178586361"/>
      <w:bookmarkEnd w:id="48"/>
      <w:r>
        <w:rPr>
          <w:rFonts w:asciiTheme="minorHAnsi" w:hAnsiTheme="minorHAnsi"/>
        </w:rPr>
        <w:t>Needs Assessment</w:t>
      </w:r>
      <w:bookmarkEnd w:id="49"/>
      <w:bookmarkEnd w:id="50"/>
      <w:bookmarkEnd w:id="51"/>
      <w:bookmarkEnd w:id="52"/>
      <w:bookmarkEnd w:id="53"/>
      <w:bookmarkEnd w:id="54"/>
    </w:p>
    <w:p w14:paraId="4AB02704" w14:textId="4FB733F7" w:rsidR="00962735" w:rsidRPr="00251B39" w:rsidRDefault="00A80C38" w:rsidP="0015600C">
      <w:r w:rsidRPr="005D3F46">
        <w:rPr>
          <w:noProof/>
          <w:sz w:val="18"/>
        </w:rPr>
        <mc:AlternateContent>
          <mc:Choice Requires="wps">
            <w:drawing>
              <wp:anchor distT="45720" distB="45720" distL="114300" distR="114300" simplePos="0" relativeHeight="251658291" behindDoc="0" locked="0" layoutInCell="1" allowOverlap="1" wp14:anchorId="2BF77B23" wp14:editId="47C58420">
                <wp:simplePos x="0" y="0"/>
                <wp:positionH relativeFrom="column">
                  <wp:posOffset>4079019</wp:posOffset>
                </wp:positionH>
                <wp:positionV relativeFrom="paragraph">
                  <wp:posOffset>366008</wp:posOffset>
                </wp:positionV>
                <wp:extent cx="1240404" cy="326004"/>
                <wp:effectExtent l="0" t="0" r="0" b="0"/>
                <wp:wrapNone/>
                <wp:docPr id="466081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4" cy="326004"/>
                        </a:xfrm>
                        <a:prstGeom prst="rect">
                          <a:avLst/>
                        </a:prstGeom>
                        <a:solidFill>
                          <a:schemeClr val="bg1"/>
                        </a:solidFill>
                        <a:ln w="9525">
                          <a:noFill/>
                          <a:miter lim="800000"/>
                          <a:headEnd/>
                          <a:tailEnd/>
                        </a:ln>
                      </wps:spPr>
                      <wps:txbx>
                        <w:txbxContent>
                          <w:p w14:paraId="2938C020" w14:textId="2E20FFF7" w:rsidR="00A80C38" w:rsidRPr="00A80C38" w:rsidRDefault="00A80C38" w:rsidP="00A80C38">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77B23" id="_x0000_s1042" type="#_x0000_t202" style="position:absolute;margin-left:321.2pt;margin-top:28.8pt;width:97.65pt;height:25.6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" fillcolor="white [3212]" stroked="f">
                <v:textbox>
                  <w:txbxContent>
                    <w:p w14:paraId="2938C020" w14:textId="2E20FFF7" w:rsidR="00A80C38" w:rsidRPr="00A80C38" w:rsidRDefault="00A80C38" w:rsidP="00A80C38">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r w:rsidRPr="005D3F46">
        <w:rPr>
          <w:noProof/>
          <w:sz w:val="18"/>
        </w:rPr>
        <mc:AlternateContent>
          <mc:Choice Requires="wps">
            <w:drawing>
              <wp:anchor distT="45720" distB="45720" distL="114300" distR="114300" simplePos="0" relativeHeight="251658290" behindDoc="0" locked="0" layoutInCell="1" allowOverlap="1" wp14:anchorId="27A49D7F" wp14:editId="07226968">
                <wp:simplePos x="0" y="0"/>
                <wp:positionH relativeFrom="column">
                  <wp:posOffset>2146852</wp:posOffset>
                </wp:positionH>
                <wp:positionV relativeFrom="paragraph">
                  <wp:posOffset>357201</wp:posOffset>
                </wp:positionV>
                <wp:extent cx="1534602" cy="326004"/>
                <wp:effectExtent l="0" t="0" r="8890" b="0"/>
                <wp:wrapNone/>
                <wp:docPr id="1260010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326004"/>
                        </a:xfrm>
                        <a:prstGeom prst="rect">
                          <a:avLst/>
                        </a:prstGeom>
                        <a:solidFill>
                          <a:schemeClr val="bg1"/>
                        </a:solidFill>
                        <a:ln w="9525">
                          <a:noFill/>
                          <a:miter lim="800000"/>
                          <a:headEnd/>
                          <a:tailEnd/>
                        </a:ln>
                      </wps:spPr>
                      <wps:txbx>
                        <w:txbxContent>
                          <w:p w14:paraId="3C349E92" w14:textId="4B24980A" w:rsidR="00A80C38" w:rsidRPr="00A80C38" w:rsidRDefault="00A80C38" w:rsidP="00A80C38">
                            <w:pPr>
                              <w:rPr>
                                <w:color w:val="7F7F7F" w:themeColor="text1" w:themeTint="80"/>
                                <w:sz w:val="14"/>
                                <w:szCs w:val="14"/>
                                <w:lang w:val="en-GB"/>
                              </w:rPr>
                            </w:pPr>
                            <w:r w:rsidRPr="00A80C38">
                              <w:rPr>
                                <w:color w:val="7F7F7F" w:themeColor="text1" w:themeTint="80"/>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9D7F" id="_x0000_s1043" type="#_x0000_t202" style="position:absolute;margin-left:169.05pt;margin-top:28.15pt;width:120.85pt;height:25.6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" fillcolor="white [3212]" stroked="f">
                <v:textbox>
                  <w:txbxContent>
                    <w:p w14:paraId="3C349E92" w14:textId="4B24980A" w:rsidR="00A80C38" w:rsidRPr="00A80C38" w:rsidRDefault="00A80C38" w:rsidP="00A80C38">
                      <w:pPr>
                        <w:rPr>
                          <w:color w:val="7F7F7F" w:themeColor="text1" w:themeTint="80"/>
                          <w:sz w:val="14"/>
                          <w:szCs w:val="14"/>
                          <w:lang w:val="en-GB"/>
                        </w:rPr>
                      </w:pPr>
                      <w:r w:rsidRPr="00A80C38">
                        <w:rPr>
                          <w:color w:val="7F7F7F" w:themeColor="text1" w:themeTint="80"/>
                          <w:sz w:val="14"/>
                          <w:szCs w:val="14"/>
                          <w:lang w:val="en-GB"/>
                        </w:rPr>
                        <w:t>Assessing project implementation alternatives</w:t>
                      </w:r>
                    </w:p>
                  </w:txbxContent>
                </v:textbox>
              </v:shape>
            </w:pict>
          </mc:Fallback>
        </mc:AlternateContent>
      </w:r>
      <w:r w:rsidR="00B431B1" w:rsidRPr="005D3F46">
        <w:rPr>
          <w:noProof/>
          <w:sz w:val="18"/>
        </w:rPr>
        <mc:AlternateContent>
          <mc:Choice Requires="wps">
            <w:drawing>
              <wp:anchor distT="45720" distB="45720" distL="114300" distR="114300" simplePos="0" relativeHeight="251658289" behindDoc="0" locked="0" layoutInCell="1" allowOverlap="1" wp14:anchorId="476F0238" wp14:editId="7C77E9CD">
                <wp:simplePos x="0" y="0"/>
                <wp:positionH relativeFrom="column">
                  <wp:posOffset>4230094</wp:posOffset>
                </wp:positionH>
                <wp:positionV relativeFrom="paragraph">
                  <wp:posOffset>16151</wp:posOffset>
                </wp:positionV>
                <wp:extent cx="1311965" cy="341906"/>
                <wp:effectExtent l="0" t="0" r="2540" b="1270"/>
                <wp:wrapNone/>
                <wp:docPr id="175518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5" cy="341906"/>
                        </a:xfrm>
                        <a:prstGeom prst="rect">
                          <a:avLst/>
                        </a:prstGeom>
                        <a:solidFill>
                          <a:schemeClr val="bg1">
                            <a:lumMod val="75000"/>
                          </a:schemeClr>
                        </a:solidFill>
                        <a:ln w="9525">
                          <a:noFill/>
                          <a:miter lim="800000"/>
                          <a:headEnd/>
                          <a:tailEnd/>
                        </a:ln>
                      </wps:spPr>
                      <wps:txbx>
                        <w:txbxContent>
                          <w:p w14:paraId="0DCFFA74" w14:textId="23AA43E6" w:rsidR="00B431B1" w:rsidRPr="00B431B1" w:rsidRDefault="00B431B1" w:rsidP="00B431B1">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F0238" id="_x0000_s1044" type="#_x0000_t202" style="position:absolute;margin-left:333.1pt;margin-top:1.25pt;width:103.3pt;height:26.9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" fillcolor="#bfbfbf [2412]" stroked="f">
                <v:textbox>
                  <w:txbxContent>
                    <w:p w14:paraId="0DCFFA74" w14:textId="23AA43E6" w:rsidR="00B431B1" w:rsidRPr="00B431B1" w:rsidRDefault="00B431B1" w:rsidP="00B431B1">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00B431B1" w:rsidRPr="005D3F46">
        <w:rPr>
          <w:noProof/>
          <w:sz w:val="18"/>
        </w:rPr>
        <mc:AlternateContent>
          <mc:Choice Requires="wps">
            <w:drawing>
              <wp:anchor distT="45720" distB="45720" distL="114300" distR="114300" simplePos="0" relativeHeight="251658288" behindDoc="0" locked="0" layoutInCell="1" allowOverlap="1" wp14:anchorId="1F48E646" wp14:editId="74AFD435">
                <wp:simplePos x="0" y="0"/>
                <wp:positionH relativeFrom="column">
                  <wp:posOffset>2305602</wp:posOffset>
                </wp:positionH>
                <wp:positionV relativeFrom="paragraph">
                  <wp:posOffset>16621</wp:posOffset>
                </wp:positionV>
                <wp:extent cx="1208598" cy="318052"/>
                <wp:effectExtent l="0" t="0" r="0" b="6350"/>
                <wp:wrapNone/>
                <wp:docPr id="1613003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598" cy="318052"/>
                        </a:xfrm>
                        <a:prstGeom prst="rect">
                          <a:avLst/>
                        </a:prstGeom>
                        <a:solidFill>
                          <a:schemeClr val="bg1">
                            <a:lumMod val="75000"/>
                          </a:schemeClr>
                        </a:solidFill>
                        <a:ln w="9525">
                          <a:noFill/>
                          <a:miter lim="800000"/>
                          <a:headEnd/>
                          <a:tailEnd/>
                        </a:ln>
                      </wps:spPr>
                      <wps:txbx>
                        <w:txbxContent>
                          <w:p w14:paraId="15F81714" w14:textId="44537F7A" w:rsidR="00B431B1" w:rsidRPr="00B431B1" w:rsidRDefault="00B431B1" w:rsidP="00B431B1">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8E646" id="_x0000_s1045" type="#_x0000_t202" style="position:absolute;margin-left:181.55pt;margin-top:1.3pt;width:95.15pt;height:25.0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" fillcolor="#bfbfbf [2412]" stroked="f">
                <v:textbox>
                  <w:txbxContent>
                    <w:p w14:paraId="15F81714" w14:textId="44537F7A" w:rsidR="00B431B1" w:rsidRPr="00B431B1" w:rsidRDefault="00B431B1" w:rsidP="00B431B1">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006D5DD2" w:rsidRPr="005D3F46">
        <w:rPr>
          <w:noProof/>
          <w:sz w:val="18"/>
        </w:rPr>
        <mc:AlternateContent>
          <mc:Choice Requires="wps">
            <w:drawing>
              <wp:anchor distT="45720" distB="45720" distL="114300" distR="114300" simplePos="0" relativeHeight="251658287" behindDoc="0" locked="0" layoutInCell="1" allowOverlap="1" wp14:anchorId="5845EEFB" wp14:editId="58E52719">
                <wp:simplePos x="0" y="0"/>
                <wp:positionH relativeFrom="column">
                  <wp:posOffset>79486</wp:posOffset>
                </wp:positionH>
                <wp:positionV relativeFrom="paragraph">
                  <wp:posOffset>365401</wp:posOffset>
                </wp:positionV>
                <wp:extent cx="1407160" cy="326004"/>
                <wp:effectExtent l="0" t="0" r="2540" b="0"/>
                <wp:wrapNone/>
                <wp:docPr id="263462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26004"/>
                        </a:xfrm>
                        <a:prstGeom prst="rect">
                          <a:avLst/>
                        </a:prstGeom>
                        <a:solidFill>
                          <a:schemeClr val="bg1"/>
                        </a:solidFill>
                        <a:ln w="9525">
                          <a:noFill/>
                          <a:miter lim="800000"/>
                          <a:headEnd/>
                          <a:tailEnd/>
                        </a:ln>
                      </wps:spPr>
                      <wps:txbx>
                        <w:txbxContent>
                          <w:p w14:paraId="2C61BD53" w14:textId="1806E4B5" w:rsidR="006D5DD2" w:rsidRPr="006D5DD2" w:rsidRDefault="006D5DD2" w:rsidP="006D5DD2">
                            <w:pPr>
                              <w:rPr>
                                <w:b/>
                                <w:bCs/>
                                <w:sz w:val="14"/>
                                <w:szCs w:val="14"/>
                                <w:lang w:val="en-GB"/>
                              </w:rPr>
                            </w:pPr>
                            <w:r w:rsidRPr="006D5DD2">
                              <w:rPr>
                                <w:b/>
                                <w:bCs/>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5EEFB" id="_x0000_s1046" type="#_x0000_t202" style="position:absolute;margin-left:6.25pt;margin-top:28.75pt;width:110.8pt;height:25.6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" fillcolor="white [3212]" stroked="f">
                <v:textbox>
                  <w:txbxContent>
                    <w:p w14:paraId="2C61BD53" w14:textId="1806E4B5" w:rsidR="006D5DD2" w:rsidRPr="006D5DD2" w:rsidRDefault="006D5DD2" w:rsidP="006D5DD2">
                      <w:pPr>
                        <w:rPr>
                          <w:b/>
                          <w:bCs/>
                          <w:sz w:val="14"/>
                          <w:szCs w:val="14"/>
                          <w:lang w:val="en-GB"/>
                        </w:rPr>
                      </w:pPr>
                      <w:r w:rsidRPr="006D5DD2">
                        <w:rPr>
                          <w:b/>
                          <w:bCs/>
                          <w:sz w:val="14"/>
                          <w:szCs w:val="14"/>
                          <w:lang w:val="en-GB"/>
                        </w:rPr>
                        <w:t>Justification of project implementation</w:t>
                      </w:r>
                    </w:p>
                  </w:txbxContent>
                </v:textbox>
              </v:shape>
            </w:pict>
          </mc:Fallback>
        </mc:AlternateContent>
      </w:r>
      <w:r w:rsidR="005D3F46" w:rsidRPr="005D3F46">
        <w:rPr>
          <w:noProof/>
          <w:sz w:val="18"/>
        </w:rPr>
        <mc:AlternateContent>
          <mc:Choice Requires="wps">
            <w:drawing>
              <wp:anchor distT="45720" distB="45720" distL="114300" distR="114300" simplePos="0" relativeHeight="251658286" behindDoc="0" locked="0" layoutInCell="1" allowOverlap="1" wp14:anchorId="29B9C78D" wp14:editId="65C32588">
                <wp:simplePos x="0" y="0"/>
                <wp:positionH relativeFrom="column">
                  <wp:posOffset>237986</wp:posOffset>
                </wp:positionH>
                <wp:positionV relativeFrom="paragraph">
                  <wp:posOffset>135117</wp:posOffset>
                </wp:positionV>
                <wp:extent cx="1407160" cy="198755"/>
                <wp:effectExtent l="0" t="0" r="2540" b="0"/>
                <wp:wrapNone/>
                <wp:docPr id="1286676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accent1"/>
                        </a:solidFill>
                        <a:ln w="9525">
                          <a:noFill/>
                          <a:miter lim="800000"/>
                          <a:headEnd/>
                          <a:tailEnd/>
                        </a:ln>
                      </wps:spPr>
                      <wps:txbx>
                        <w:txbxContent>
                          <w:p w14:paraId="3441D955" w14:textId="0B98D89B" w:rsidR="005D3F46" w:rsidRPr="005D3F46" w:rsidRDefault="005D3F46" w:rsidP="005D3F46">
                            <w:pPr>
                              <w:jc w:val="center"/>
                              <w:rPr>
                                <w:b/>
                                <w:bCs/>
                                <w:color w:val="FFFFFF" w:themeColor="background1"/>
                                <w:sz w:val="14"/>
                                <w:szCs w:val="14"/>
                              </w:rPr>
                            </w:pPr>
                            <w:r w:rsidRPr="005D3F46">
                              <w:rPr>
                                <w:b/>
                                <w:bCs/>
                                <w:color w:val="FFFFFF" w:themeColor="background1"/>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9C78D" id="_x0000_s1047" type="#_x0000_t202" style="position:absolute;margin-left:18.75pt;margin-top:10.65pt;width:110.8pt;height:15.6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" fillcolor="#86bc25 [3204]" stroked="f">
                <v:textbox>
                  <w:txbxContent>
                    <w:p w14:paraId="3441D955" w14:textId="0B98D89B" w:rsidR="005D3F46" w:rsidRPr="005D3F46" w:rsidRDefault="005D3F46" w:rsidP="005D3F46">
                      <w:pPr>
                        <w:jc w:val="center"/>
                        <w:rPr>
                          <w:b/>
                          <w:bCs/>
                          <w:color w:val="FFFFFF" w:themeColor="background1"/>
                          <w:sz w:val="14"/>
                          <w:szCs w:val="14"/>
                        </w:rPr>
                      </w:pPr>
                      <w:r w:rsidRPr="005D3F46">
                        <w:rPr>
                          <w:b/>
                          <w:bCs/>
                          <w:color w:val="FFFFFF" w:themeColor="background1"/>
                          <w:sz w:val="14"/>
                          <w:szCs w:val="14"/>
                        </w:rPr>
                        <w:t>Prior to FEC preparation</w:t>
                      </w:r>
                    </w:p>
                  </w:txbxContent>
                </v:textbox>
              </v:shape>
            </w:pict>
          </mc:Fallback>
        </mc:AlternateContent>
      </w:r>
      <w:r w:rsidR="00013586">
        <w:rPr>
          <w:noProof/>
          <w:color w:val="002060"/>
          <w:sz w:val="24"/>
          <w:shd w:val="clear" w:color="auto" w:fill="E6E6E6"/>
        </w:rPr>
        <mc:AlternateContent>
          <mc:Choice Requires="wps">
            <w:drawing>
              <wp:anchor distT="45720" distB="45720" distL="114300" distR="114300" simplePos="0" relativeHeight="251658240" behindDoc="0" locked="0" layoutInCell="1" allowOverlap="1" wp14:anchorId="1003ED79" wp14:editId="49402A9A">
                <wp:simplePos x="0" y="0"/>
                <wp:positionH relativeFrom="column">
                  <wp:posOffset>44450</wp:posOffset>
                </wp:positionH>
                <wp:positionV relativeFrom="paragraph">
                  <wp:posOffset>851535</wp:posOffset>
                </wp:positionV>
                <wp:extent cx="5829300" cy="9398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39800"/>
                        </a:xfrm>
                        <a:prstGeom prst="rect">
                          <a:avLst/>
                        </a:prstGeom>
                        <a:solidFill>
                          <a:srgbClr val="FFFFFF"/>
                        </a:solidFill>
                        <a:ln w="9525">
                          <a:solidFill>
                            <a:schemeClr val="tx2"/>
                          </a:solidFill>
                          <a:miter lim="800000"/>
                          <a:headEnd/>
                          <a:tailEnd/>
                        </a:ln>
                      </wps:spPr>
                      <wps:txbx>
                        <w:txbxContent>
                          <w:p w14:paraId="7578E9E9" w14:textId="74A3EA89" w:rsidR="00EF0F26" w:rsidRPr="00EF2F59" w:rsidRDefault="00746F6D" w:rsidP="00013586">
                            <w:pPr>
                              <w:spacing w:after="120"/>
                              <w:rPr>
                                <w:sz w:val="18"/>
                                <w:szCs w:val="18"/>
                              </w:rPr>
                            </w:pPr>
                            <w:hyperlink w:anchor="_Pielikums_B._Izmantoto" w:history="1">
                              <w:r>
                                <w:rPr>
                                  <w:rStyle w:val="Hipersaite"/>
                                  <w:sz w:val="18"/>
                                </w:rPr>
                                <w:t>Documents to be used</w:t>
                              </w:r>
                            </w:hyperlink>
                            <w:r>
                              <w:rPr>
                                <w:sz w:val="18"/>
                              </w:rPr>
                              <w:t>:</w:t>
                            </w:r>
                          </w:p>
                          <w:p w14:paraId="0D0ABC1A" w14:textId="6B7F4C33" w:rsidR="00EF0F26" w:rsidRPr="00EF2F59" w:rsidRDefault="00EF0F26" w:rsidP="008B6449">
                            <w:pPr>
                              <w:pStyle w:val="Sarakstarindkopa"/>
                              <w:numPr>
                                <w:ilvl w:val="0"/>
                                <w:numId w:val="7"/>
                              </w:numPr>
                              <w:spacing w:after="120"/>
                              <w:rPr>
                                <w:rFonts w:ascii="Verdana" w:hAnsi="Verdana"/>
                                <w:sz w:val="18"/>
                                <w:szCs w:val="18"/>
                              </w:rPr>
                            </w:pPr>
                            <w:r>
                              <w:rPr>
                                <w:rStyle w:val="Hipersaite"/>
                                <w:color w:val="auto"/>
                                <w:sz w:val="18"/>
                                <w:u w:val="none"/>
                              </w:rPr>
                              <w:t>A Guide to Preparing a PPP Project</w:t>
                            </w:r>
                            <w:r>
                              <w:rPr>
                                <w:sz w:val="18"/>
                              </w:rPr>
                              <w:t xml:space="preserve"> </w:t>
                            </w:r>
                          </w:p>
                          <w:p w14:paraId="6D28E1E4" w14:textId="77777777" w:rsidR="00EF0F26" w:rsidRPr="00EF2F59" w:rsidRDefault="00EF0F26" w:rsidP="008B6449">
                            <w:pPr>
                              <w:pStyle w:val="Sarakstarindkopa"/>
                              <w:numPr>
                                <w:ilvl w:val="0"/>
                                <w:numId w:val="7"/>
                              </w:numPr>
                              <w:rPr>
                                <w:rFonts w:ascii="Verdana" w:hAnsi="Verdana"/>
                                <w:sz w:val="18"/>
                                <w:szCs w:val="18"/>
                              </w:rPr>
                            </w:pPr>
                            <w:r>
                              <w:rPr>
                                <w:rFonts w:ascii="Verdana" w:hAnsi="Verdana"/>
                                <w:sz w:val="18"/>
                              </w:rPr>
                              <w:t>National Development Plan</w:t>
                            </w:r>
                          </w:p>
                          <w:p w14:paraId="546ECFAE" w14:textId="77777777" w:rsidR="00EF0F26" w:rsidRPr="00EF2F59" w:rsidRDefault="00EF0F26" w:rsidP="008B6449">
                            <w:pPr>
                              <w:pStyle w:val="Sarakstarindkopa"/>
                              <w:numPr>
                                <w:ilvl w:val="0"/>
                                <w:numId w:val="7"/>
                              </w:numPr>
                              <w:rPr>
                                <w:rFonts w:ascii="Verdana" w:hAnsi="Verdana"/>
                                <w:sz w:val="18"/>
                                <w:szCs w:val="18"/>
                              </w:rPr>
                            </w:pPr>
                            <w:r>
                              <w:rPr>
                                <w:rFonts w:ascii="Verdana" w:hAnsi="Verdana"/>
                                <w:sz w:val="18"/>
                              </w:rPr>
                              <w:t>Local government development plans</w:t>
                            </w:r>
                          </w:p>
                          <w:p w14:paraId="3A2216C2" w14:textId="77777777" w:rsidR="00EF0F26" w:rsidRPr="00EF2F59" w:rsidRDefault="00EF0F26" w:rsidP="008B6449">
                            <w:pPr>
                              <w:pStyle w:val="Sarakstarindkopa"/>
                              <w:numPr>
                                <w:ilvl w:val="0"/>
                                <w:numId w:val="7"/>
                              </w:numPr>
                              <w:rPr>
                                <w:rFonts w:ascii="Verdana" w:hAnsi="Verdana"/>
                                <w:sz w:val="18"/>
                                <w:szCs w:val="18"/>
                              </w:rPr>
                            </w:pPr>
                            <w:r>
                              <w:rPr>
                                <w:rFonts w:ascii="Verdana" w:hAnsi="Verdana"/>
                                <w:sz w:val="18"/>
                              </w:rPr>
                              <w:t>Medium- and long-term planning documents for the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ED79" id="_x0000_s1048" type="#_x0000_t202" style="position:absolute;margin-left:3.5pt;margin-top:67.05pt;width:459pt;height:7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" strokecolor="#44546a [3215]">
                <v:textbox>
                  <w:txbxContent>
                    <w:p w14:paraId="7578E9E9" w14:textId="74A3EA89" w:rsidR="00EF0F26" w:rsidRPr="00EF2F59" w:rsidRDefault="00746F6D" w:rsidP="00013586">
                      <w:pPr>
                        <w:spacing w:after="120"/>
                        <w:rPr>
                          <w:sz w:val="18"/>
                          <w:szCs w:val="18"/>
                        </w:rPr>
                      </w:pPr>
                      <w:hyperlink w:anchor="_Pielikums_B._Izmantoto" w:history="1">
                        <w:r>
                          <w:rPr>
                            <w:rStyle w:val="Hipersaite"/>
                            <w:sz w:val="18"/>
                          </w:rPr>
                          <w:t>Documents to be used</w:t>
                        </w:r>
                      </w:hyperlink>
                      <w:r>
                        <w:rPr>
                          <w:sz w:val="18"/>
                        </w:rPr>
                        <w:t>:</w:t>
                      </w:r>
                    </w:p>
                    <w:p w14:paraId="0D0ABC1A" w14:textId="6B7F4C33" w:rsidR="00EF0F26" w:rsidRPr="00EF2F59" w:rsidRDefault="00EF0F26" w:rsidP="008B6449">
                      <w:pPr>
                        <w:pStyle w:val="Sarakstarindkopa"/>
                        <w:numPr>
                          <w:ilvl w:val="0"/>
                          <w:numId w:val="7"/>
                        </w:numPr>
                        <w:spacing w:after="120"/>
                        <w:rPr>
                          <w:rFonts w:ascii="Verdana" w:hAnsi="Verdana"/>
                          <w:sz w:val="18"/>
                          <w:szCs w:val="18"/>
                        </w:rPr>
                      </w:pPr>
                      <w:r>
                        <w:rPr>
                          <w:rStyle w:val="Hipersaite"/>
                          <w:color w:val="auto"/>
                          <w:sz w:val="18"/>
                          <w:u w:val="none"/>
                        </w:rPr>
                        <w:t>A Guide to Preparing a PPP Project</w:t>
                      </w:r>
                      <w:r>
                        <w:rPr>
                          <w:sz w:val="18"/>
                        </w:rPr>
                        <w:t xml:space="preserve"> </w:t>
                      </w:r>
                    </w:p>
                    <w:p w14:paraId="6D28E1E4" w14:textId="77777777" w:rsidR="00EF0F26" w:rsidRPr="00EF2F59" w:rsidRDefault="00EF0F26" w:rsidP="008B6449">
                      <w:pPr>
                        <w:pStyle w:val="Sarakstarindkopa"/>
                        <w:numPr>
                          <w:ilvl w:val="0"/>
                          <w:numId w:val="7"/>
                        </w:numPr>
                        <w:rPr>
                          <w:rFonts w:ascii="Verdana" w:hAnsi="Verdana"/>
                          <w:sz w:val="18"/>
                          <w:szCs w:val="18"/>
                        </w:rPr>
                      </w:pPr>
                      <w:r>
                        <w:rPr>
                          <w:rFonts w:ascii="Verdana" w:hAnsi="Verdana"/>
                          <w:sz w:val="18"/>
                        </w:rPr>
                        <w:t>National Development Plan</w:t>
                      </w:r>
                    </w:p>
                    <w:p w14:paraId="546ECFAE" w14:textId="77777777" w:rsidR="00EF0F26" w:rsidRPr="00EF2F59" w:rsidRDefault="00EF0F26" w:rsidP="008B6449">
                      <w:pPr>
                        <w:pStyle w:val="Sarakstarindkopa"/>
                        <w:numPr>
                          <w:ilvl w:val="0"/>
                          <w:numId w:val="7"/>
                        </w:numPr>
                        <w:rPr>
                          <w:rFonts w:ascii="Verdana" w:hAnsi="Verdana"/>
                          <w:sz w:val="18"/>
                          <w:szCs w:val="18"/>
                        </w:rPr>
                      </w:pPr>
                      <w:r>
                        <w:rPr>
                          <w:rFonts w:ascii="Verdana" w:hAnsi="Verdana"/>
                          <w:sz w:val="18"/>
                        </w:rPr>
                        <w:t>Local government development plans</w:t>
                      </w:r>
                    </w:p>
                    <w:p w14:paraId="3A2216C2" w14:textId="77777777" w:rsidR="00EF0F26" w:rsidRPr="00EF2F59" w:rsidRDefault="00EF0F26" w:rsidP="008B6449">
                      <w:pPr>
                        <w:pStyle w:val="Sarakstarindkopa"/>
                        <w:numPr>
                          <w:ilvl w:val="0"/>
                          <w:numId w:val="7"/>
                        </w:numPr>
                        <w:rPr>
                          <w:rFonts w:ascii="Verdana" w:hAnsi="Verdana"/>
                          <w:sz w:val="18"/>
                          <w:szCs w:val="18"/>
                        </w:rPr>
                      </w:pPr>
                      <w:r>
                        <w:rPr>
                          <w:rFonts w:ascii="Verdana" w:hAnsi="Verdana"/>
                          <w:sz w:val="18"/>
                        </w:rPr>
                        <w:t>Medium- and long-term planning documents for the sector</w:t>
                      </w:r>
                    </w:p>
                  </w:txbxContent>
                </v:textbox>
                <w10:wrap type="square"/>
              </v:shape>
            </w:pict>
          </mc:Fallback>
        </mc:AlternateContent>
      </w:r>
      <w:r w:rsidR="00013586">
        <w:rPr>
          <w:noProof/>
        </w:rPr>
        <w:drawing>
          <wp:inline distT="0" distB="0" distL="0" distR="0" wp14:anchorId="05A4622B" wp14:editId="0AECAFBE">
            <wp:extent cx="5943600" cy="7943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794385"/>
                    </a:xfrm>
                    <a:prstGeom prst="rect">
                      <a:avLst/>
                    </a:prstGeom>
                  </pic:spPr>
                </pic:pic>
              </a:graphicData>
            </a:graphic>
          </wp:inline>
        </w:drawing>
      </w:r>
    </w:p>
    <w:p w14:paraId="74010D39" w14:textId="25AC3E92" w:rsidR="00E97724" w:rsidRPr="00251B39" w:rsidRDefault="007217EE" w:rsidP="00013586">
      <w:pPr>
        <w:ind w:hanging="180"/>
      </w:pPr>
      <w:r w:rsidRPr="00CC7CF8">
        <w:rPr>
          <w:rFonts w:ascii="Verdana" w:hAnsi="Verdana"/>
          <w:noProof/>
          <w:sz w:val="18"/>
        </w:rPr>
        <mc:AlternateContent>
          <mc:Choice Requires="wps">
            <w:drawing>
              <wp:anchor distT="45720" distB="45720" distL="114300" distR="114300" simplePos="0" relativeHeight="251658341" behindDoc="0" locked="0" layoutInCell="1" allowOverlap="1" wp14:anchorId="0A46BB11" wp14:editId="206D715F">
                <wp:simplePos x="0" y="0"/>
                <wp:positionH relativeFrom="margin">
                  <wp:align>right</wp:align>
                </wp:positionH>
                <wp:positionV relativeFrom="paragraph">
                  <wp:posOffset>964869</wp:posOffset>
                </wp:positionV>
                <wp:extent cx="2388263" cy="540688"/>
                <wp:effectExtent l="19050" t="19050" r="12065" b="12065"/>
                <wp:wrapNone/>
                <wp:docPr id="1828394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63" cy="540688"/>
                        </a:xfrm>
                        <a:prstGeom prst="rect">
                          <a:avLst/>
                        </a:prstGeom>
                        <a:solidFill>
                          <a:srgbClr val="FFFFFF"/>
                        </a:solidFill>
                        <a:ln w="28575">
                          <a:solidFill>
                            <a:schemeClr val="accent1"/>
                          </a:solidFill>
                          <a:miter lim="800000"/>
                          <a:headEnd/>
                          <a:tailEnd/>
                        </a:ln>
                      </wps:spPr>
                      <wps:txbx>
                        <w:txbxContent>
                          <w:p w14:paraId="2CEEAC2C" w14:textId="1DCF80C5" w:rsidR="007217EE" w:rsidRDefault="007217EE" w:rsidP="007217EE">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5B4FD120" w14:textId="37C8893C" w:rsidR="007217EE" w:rsidRPr="007217EE" w:rsidRDefault="007217EE" w:rsidP="007217EE">
                            <w:pPr>
                              <w:jc w:val="center"/>
                              <w:rPr>
                                <w:b/>
                                <w:bCs/>
                                <w:sz w:val="12"/>
                                <w:szCs w:val="12"/>
                              </w:rPr>
                            </w:pPr>
                            <w:r w:rsidRPr="007217EE">
                              <w:rPr>
                                <w:b/>
                                <w:bCs/>
                                <w:sz w:val="12"/>
                                <w:szCs w:val="12"/>
                              </w:rPr>
                              <w:t xml:space="preserve">An identified project that addresses a pressing and long-term </w:t>
                            </w:r>
                            <w:r>
                              <w:rPr>
                                <w:b/>
                                <w:bCs/>
                                <w:sz w:val="12"/>
                                <w:szCs w:val="12"/>
                              </w:rPr>
                              <w:t xml:space="preserve">public </w:t>
                            </w:r>
                            <w:r w:rsidRPr="007217EE">
                              <w:rPr>
                                <w:b/>
                                <w:bCs/>
                                <w:sz w:val="12"/>
                                <w:szCs w:val="12"/>
                              </w:rPr>
                              <w:t>need/problem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6BB11" id="_x0000_s1049" type="#_x0000_t202" style="position:absolute;margin-left:136.85pt;margin-top:75.95pt;width:188.05pt;height:42.55pt;z-index:2516583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" strokecolor="#86bc25 [3204]" strokeweight="2.25pt">
                <v:textbox>
                  <w:txbxContent>
                    <w:p w14:paraId="2CEEAC2C" w14:textId="1DCF80C5" w:rsidR="007217EE" w:rsidRDefault="007217EE" w:rsidP="007217EE">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5B4FD120" w14:textId="37C8893C" w:rsidR="007217EE" w:rsidRPr="007217EE" w:rsidRDefault="007217EE" w:rsidP="007217EE">
                      <w:pPr>
                        <w:jc w:val="center"/>
                        <w:rPr>
                          <w:b/>
                          <w:bCs/>
                          <w:sz w:val="12"/>
                          <w:szCs w:val="12"/>
                        </w:rPr>
                      </w:pPr>
                      <w:r w:rsidRPr="007217EE">
                        <w:rPr>
                          <w:b/>
                          <w:bCs/>
                          <w:sz w:val="12"/>
                          <w:szCs w:val="12"/>
                        </w:rPr>
                        <w:t xml:space="preserve">An identified project that addresses a pressing and long-term </w:t>
                      </w:r>
                      <w:r>
                        <w:rPr>
                          <w:b/>
                          <w:bCs/>
                          <w:sz w:val="12"/>
                          <w:szCs w:val="12"/>
                        </w:rPr>
                        <w:t xml:space="preserve">public </w:t>
                      </w:r>
                      <w:r w:rsidRPr="007217EE">
                        <w:rPr>
                          <w:b/>
                          <w:bCs/>
                          <w:sz w:val="12"/>
                          <w:szCs w:val="12"/>
                        </w:rPr>
                        <w:t>need/problem</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340" behindDoc="0" locked="0" layoutInCell="1" allowOverlap="1" wp14:anchorId="364497DD" wp14:editId="64A93451">
                <wp:simplePos x="0" y="0"/>
                <wp:positionH relativeFrom="margin">
                  <wp:posOffset>39757</wp:posOffset>
                </wp:positionH>
                <wp:positionV relativeFrom="paragraph">
                  <wp:posOffset>945820</wp:posOffset>
                </wp:positionV>
                <wp:extent cx="2353586" cy="540688"/>
                <wp:effectExtent l="19050" t="19050" r="27940" b="12065"/>
                <wp:wrapNone/>
                <wp:docPr id="1666743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586" cy="540688"/>
                        </a:xfrm>
                        <a:prstGeom prst="rect">
                          <a:avLst/>
                        </a:prstGeom>
                        <a:solidFill>
                          <a:srgbClr val="FFFFFF"/>
                        </a:solidFill>
                        <a:ln w="28575">
                          <a:solidFill>
                            <a:srgbClr val="92D050"/>
                          </a:solidFill>
                          <a:miter lim="800000"/>
                          <a:headEnd/>
                          <a:tailEnd/>
                        </a:ln>
                      </wps:spPr>
                      <wps:txbx>
                        <w:txbxContent>
                          <w:p w14:paraId="1D2880DC" w14:textId="76D0F96B" w:rsidR="007217EE" w:rsidRDefault="007217EE" w:rsidP="007217EE">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1CC6517B" w14:textId="66FDAACA" w:rsidR="007217EE" w:rsidRPr="007217EE" w:rsidRDefault="007217EE" w:rsidP="007217EE">
                            <w:pPr>
                              <w:jc w:val="center"/>
                              <w:rPr>
                                <w:b/>
                                <w:bCs/>
                                <w:sz w:val="12"/>
                                <w:szCs w:val="12"/>
                              </w:rPr>
                            </w:pPr>
                            <w:r w:rsidRPr="007217EE">
                              <w:rPr>
                                <w:b/>
                                <w:bCs/>
                                <w:sz w:val="12"/>
                                <w:szCs w:val="12"/>
                              </w:rPr>
                              <w:t>Carry out needs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497DD" id="_x0000_s1050" type="#_x0000_t202" style="position:absolute;margin-left:3.15pt;margin-top:74.45pt;width:185.3pt;height:42.55pt;z-index:2516583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" strokecolor="#92d050" strokeweight="2.25pt">
                <v:textbox>
                  <w:txbxContent>
                    <w:p w14:paraId="1D2880DC" w14:textId="76D0F96B" w:rsidR="007217EE" w:rsidRDefault="007217EE" w:rsidP="007217EE">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1CC6517B" w14:textId="66FDAACA" w:rsidR="007217EE" w:rsidRPr="007217EE" w:rsidRDefault="007217EE" w:rsidP="007217EE">
                      <w:pPr>
                        <w:jc w:val="center"/>
                        <w:rPr>
                          <w:b/>
                          <w:bCs/>
                          <w:sz w:val="12"/>
                          <w:szCs w:val="12"/>
                        </w:rPr>
                      </w:pPr>
                      <w:r w:rsidRPr="007217EE">
                        <w:rPr>
                          <w:b/>
                          <w:bCs/>
                          <w:sz w:val="12"/>
                          <w:szCs w:val="12"/>
                        </w:rPr>
                        <w:t>Carry out needs assessment</w:t>
                      </w:r>
                    </w:p>
                  </w:txbxContent>
                </v:textbox>
                <w10:wrap anchorx="margin"/>
              </v:shape>
            </w:pict>
          </mc:Fallback>
        </mc:AlternateContent>
      </w:r>
      <w:r w:rsidR="00013586">
        <w:rPr>
          <w:noProof/>
        </w:rPr>
        <w:drawing>
          <wp:inline distT="0" distB="0" distL="0" distR="0" wp14:anchorId="33B00B48" wp14:editId="2DD85501">
            <wp:extent cx="6127751" cy="622300"/>
            <wp:effectExtent l="0" t="0" r="6350" b="6350"/>
            <wp:docPr id="903670656" name="Picture 90367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127751" cy="622300"/>
                    </a:xfrm>
                    <a:prstGeom prst="rect">
                      <a:avLst/>
                    </a:prstGeom>
                  </pic:spPr>
                </pic:pic>
              </a:graphicData>
            </a:graphic>
          </wp:inline>
        </w:drawing>
      </w:r>
    </w:p>
    <w:p w14:paraId="50886631" w14:textId="1DC4E5AF" w:rsidR="003F1CA8" w:rsidRPr="00251B39" w:rsidRDefault="10DB57A1" w:rsidP="10DB57A1">
      <w:pPr>
        <w:jc w:val="both"/>
        <w:rPr>
          <w:sz w:val="18"/>
          <w:szCs w:val="18"/>
        </w:rPr>
      </w:pPr>
      <w:r>
        <w:rPr>
          <w:sz w:val="18"/>
        </w:rPr>
        <w:t xml:space="preserve">In order to contribute to the overall economic growth and social progress of the State, the public partner must invest in providing and improving access to the infrastructure or services needed by the society. The public partner must therefore first prioritise the needs of the society and plan investments. Correct prioritisation of public needs avoids the public partner diverting scarce time, human and financial resources to less important infrastructure or service projects. In prioritising public needs and identifying the projects to be selected for implementation, the public partner shall take into account, inter alia, the various medium- and long-term planning documents and development strategies at national, regional, local and sectoral level. </w:t>
      </w:r>
    </w:p>
    <w:p w14:paraId="6190562E" w14:textId="492A7697" w:rsidR="00786073" w:rsidRPr="00251B39" w:rsidRDefault="135A1CBC" w:rsidP="135A1CBC">
      <w:pPr>
        <w:tabs>
          <w:tab w:val="left" w:pos="7560"/>
        </w:tabs>
        <w:jc w:val="both"/>
        <w:rPr>
          <w:sz w:val="18"/>
          <w:szCs w:val="18"/>
        </w:rPr>
      </w:pPr>
      <w:r>
        <w:rPr>
          <w:sz w:val="18"/>
        </w:rPr>
        <w:t>The need to invest in the implementation of a project is mainly justified by the following considerations:</w:t>
      </w:r>
    </w:p>
    <w:p w14:paraId="79471E57" w14:textId="029CCA05" w:rsidR="00786073" w:rsidRPr="00251B39" w:rsidRDefault="10DB57A1" w:rsidP="008B6449">
      <w:pPr>
        <w:pStyle w:val="Sarakstarindkopa"/>
        <w:numPr>
          <w:ilvl w:val="0"/>
          <w:numId w:val="4"/>
        </w:numPr>
        <w:jc w:val="both"/>
        <w:rPr>
          <w:b/>
          <w:bCs/>
          <w:sz w:val="18"/>
          <w:szCs w:val="18"/>
        </w:rPr>
      </w:pPr>
      <w:r>
        <w:rPr>
          <w:b/>
          <w:sz w:val="18"/>
        </w:rPr>
        <w:t xml:space="preserve">insufficient capacity of existing infrastructure or services </w:t>
      </w:r>
      <w:r>
        <w:rPr>
          <w:sz w:val="18"/>
        </w:rPr>
        <w:t>to meet growing public demand</w:t>
      </w:r>
    </w:p>
    <w:p w14:paraId="3863E492" w14:textId="53FEE241" w:rsidR="00786073" w:rsidRPr="00251B39" w:rsidRDefault="00786073" w:rsidP="008B6449">
      <w:pPr>
        <w:pStyle w:val="Sarakstarindkopa"/>
        <w:numPr>
          <w:ilvl w:val="0"/>
          <w:numId w:val="4"/>
        </w:numPr>
        <w:jc w:val="both"/>
        <w:rPr>
          <w:sz w:val="18"/>
          <w:szCs w:val="18"/>
        </w:rPr>
      </w:pPr>
      <w:r>
        <w:rPr>
          <w:b/>
          <w:sz w:val="18"/>
        </w:rPr>
        <w:t>technical deterioration of existing infrastructure</w:t>
      </w:r>
    </w:p>
    <w:p w14:paraId="6B447D58" w14:textId="743AB98B" w:rsidR="00786073" w:rsidRPr="00251B39" w:rsidRDefault="10DB57A1" w:rsidP="008B6449">
      <w:pPr>
        <w:pStyle w:val="Sarakstarindkopa"/>
        <w:numPr>
          <w:ilvl w:val="0"/>
          <w:numId w:val="4"/>
        </w:numPr>
        <w:jc w:val="both"/>
        <w:rPr>
          <w:rFonts w:eastAsia="Times New Roman" w:cs="Arial"/>
          <w:color w:val="000000" w:themeColor="text1"/>
          <w:sz w:val="18"/>
          <w:szCs w:val="18"/>
        </w:rPr>
      </w:pPr>
      <w:r>
        <w:rPr>
          <w:color w:val="000000" w:themeColor="text1"/>
          <w:sz w:val="18"/>
        </w:rPr>
        <w:t xml:space="preserve">existing infrastructure or services </w:t>
      </w:r>
      <w:r>
        <w:rPr>
          <w:b/>
          <w:bCs/>
          <w:color w:val="000000" w:themeColor="text1"/>
          <w:sz w:val="18"/>
        </w:rPr>
        <w:t xml:space="preserve">no </w:t>
      </w:r>
      <w:r>
        <w:rPr>
          <w:b/>
          <w:color w:val="000000" w:themeColor="text1"/>
          <w:sz w:val="18"/>
        </w:rPr>
        <w:t xml:space="preserve">longer meet regulatory or environmental standards </w:t>
      </w:r>
      <w:r>
        <w:rPr>
          <w:color w:val="000000" w:themeColor="text1"/>
          <w:sz w:val="18"/>
        </w:rPr>
        <w:t> </w:t>
      </w:r>
    </w:p>
    <w:p w14:paraId="6309FA74" w14:textId="0BED09DA" w:rsidR="00786073" w:rsidRPr="00251B39" w:rsidRDefault="094DFAEA" w:rsidP="008B6449">
      <w:pPr>
        <w:pStyle w:val="Sarakstarindkopa"/>
        <w:numPr>
          <w:ilvl w:val="0"/>
          <w:numId w:val="4"/>
        </w:numPr>
        <w:jc w:val="both"/>
        <w:rPr>
          <w:b/>
          <w:color w:val="000000" w:themeColor="text1"/>
          <w:sz w:val="18"/>
          <w:szCs w:val="18"/>
        </w:rPr>
      </w:pPr>
      <w:r>
        <w:rPr>
          <w:b/>
          <w:color w:val="000000" w:themeColor="text1"/>
          <w:sz w:val="18"/>
        </w:rPr>
        <w:t xml:space="preserve">infrastructure that has deteriorated or been damaged </w:t>
      </w:r>
      <w:r>
        <w:rPr>
          <w:color w:val="000000" w:themeColor="text1"/>
          <w:sz w:val="18"/>
        </w:rPr>
        <w:t xml:space="preserve">due to poor maintenance or force majeure needs to be replaced </w:t>
      </w:r>
    </w:p>
    <w:p w14:paraId="3D897DAC" w14:textId="1F9FA985" w:rsidR="00786073" w:rsidRPr="00251B39" w:rsidRDefault="628515A0" w:rsidP="008B6449">
      <w:pPr>
        <w:pStyle w:val="Sarakstarindkopa"/>
        <w:numPr>
          <w:ilvl w:val="0"/>
          <w:numId w:val="4"/>
        </w:numPr>
        <w:jc w:val="both"/>
        <w:rPr>
          <w:color w:val="000000" w:themeColor="text1"/>
          <w:sz w:val="18"/>
          <w:szCs w:val="18"/>
        </w:rPr>
      </w:pPr>
      <w:r>
        <w:rPr>
          <w:color w:val="000000" w:themeColor="text1"/>
          <w:sz w:val="18"/>
        </w:rPr>
        <w:t xml:space="preserve">there is a </w:t>
      </w:r>
      <w:r>
        <w:rPr>
          <w:b/>
          <w:color w:val="000000" w:themeColor="text1"/>
          <w:sz w:val="18"/>
        </w:rPr>
        <w:t xml:space="preserve">need for new infrastructure or a service </w:t>
      </w:r>
      <w:r>
        <w:rPr>
          <w:color w:val="000000" w:themeColor="text1"/>
          <w:sz w:val="18"/>
        </w:rPr>
        <w:t>that has not previously been provided or delivered</w:t>
      </w:r>
    </w:p>
    <w:p w14:paraId="3D33C671" w14:textId="4C19E5AD" w:rsidR="00C1002D" w:rsidRPr="00251B39" w:rsidRDefault="10DB57A1" w:rsidP="5318B421">
      <w:pPr>
        <w:tabs>
          <w:tab w:val="left" w:pos="7560"/>
        </w:tabs>
        <w:jc w:val="both"/>
        <w:rPr>
          <w:sz w:val="18"/>
          <w:szCs w:val="18"/>
        </w:rPr>
      </w:pPr>
      <w:r>
        <w:rPr>
          <w:sz w:val="18"/>
        </w:rPr>
        <w:t xml:space="preserve">In assessing potential projects that meet a range of public needs, the public partner shall, among other things, identify the societal and economic needs that would be met by the projects. The assessment shall be based on relevant and substantiated data available to the public partner and linked to national, regional, local and sectoral medium- or long-term planning documents and development strategies. </w:t>
      </w:r>
    </w:p>
    <w:p w14:paraId="7167DB7E" w14:textId="1EB4E6AC" w:rsidR="00C1002D" w:rsidRPr="00251B39" w:rsidRDefault="2FC4C6FB" w:rsidP="10DB57A1">
      <w:pPr>
        <w:tabs>
          <w:tab w:val="left" w:pos="7560"/>
        </w:tabs>
        <w:jc w:val="both"/>
        <w:rPr>
          <w:rFonts w:eastAsia="Times New Roman" w:cs="Arial"/>
          <w:color w:val="000000" w:themeColor="text1"/>
          <w:sz w:val="18"/>
          <w:szCs w:val="18"/>
        </w:rPr>
      </w:pPr>
      <w:r>
        <w:rPr>
          <w:sz w:val="18"/>
        </w:rPr>
        <w:t xml:space="preserve">As a result, </w:t>
      </w:r>
      <w:r>
        <w:rPr>
          <w:color w:val="000000" w:themeColor="text1"/>
          <w:sz w:val="18"/>
        </w:rPr>
        <w:t xml:space="preserve">the assessment of </w:t>
      </w:r>
      <w:r>
        <w:rPr>
          <w:sz w:val="18"/>
        </w:rPr>
        <w:t xml:space="preserve">multiple public needs </w:t>
      </w:r>
      <w:r>
        <w:rPr>
          <w:color w:val="000000" w:themeColor="text1"/>
          <w:sz w:val="18"/>
        </w:rPr>
        <w:t xml:space="preserve">shall provide an answer to the public partner as to which potential project should be objectively prioritised, resolving a significant mismatch between the public need and the public partner's ability to provide it itself.  </w:t>
      </w:r>
    </w:p>
    <w:p w14:paraId="787707D7" w14:textId="38CA1356" w:rsidR="009E541C" w:rsidRPr="00251B39" w:rsidRDefault="009E541C" w:rsidP="00EA6059">
      <w:pPr>
        <w:pStyle w:val="Virsraksts2"/>
        <w:rPr>
          <w:rFonts w:asciiTheme="minorHAnsi" w:eastAsia="Times New Roman" w:hAnsiTheme="minorHAnsi"/>
          <w:lang w:val="lv-LV"/>
        </w:rPr>
      </w:pPr>
    </w:p>
    <w:p w14:paraId="4DCE73E9" w14:textId="5CABA414" w:rsidR="000809E2" w:rsidRDefault="00447980" w:rsidP="008B6449">
      <w:pPr>
        <w:pStyle w:val="Virsraksts2"/>
        <w:numPr>
          <w:ilvl w:val="1"/>
          <w:numId w:val="16"/>
        </w:numPr>
        <w:rPr>
          <w:rFonts w:asciiTheme="minorHAnsi" w:hAnsiTheme="minorHAnsi"/>
        </w:rPr>
      </w:pPr>
      <w:bookmarkStart w:id="55" w:name="_Projekta_iespējamo_īstenošanas"/>
      <w:bookmarkStart w:id="56" w:name="_Toc3205481"/>
      <w:bookmarkStart w:id="57" w:name="_Toc3246831"/>
      <w:bookmarkStart w:id="58" w:name="_Toc3249540"/>
      <w:bookmarkStart w:id="59" w:name="_Toc3759962"/>
      <w:bookmarkStart w:id="60" w:name="_Toc3804999"/>
      <w:bookmarkStart w:id="61" w:name="_Toc178586362"/>
      <w:bookmarkEnd w:id="55"/>
      <w:r w:rsidRPr="005D3F46">
        <w:rPr>
          <w:noProof/>
          <w:sz w:val="18"/>
        </w:rPr>
        <mc:AlternateContent>
          <mc:Choice Requires="wps">
            <w:drawing>
              <wp:anchor distT="45720" distB="45720" distL="114300" distR="114300" simplePos="0" relativeHeight="251658296" behindDoc="0" locked="0" layoutInCell="1" allowOverlap="1" wp14:anchorId="272B984B" wp14:editId="18D788F7">
                <wp:simplePos x="0" y="0"/>
                <wp:positionH relativeFrom="column">
                  <wp:posOffset>2138045</wp:posOffset>
                </wp:positionH>
                <wp:positionV relativeFrom="paragraph">
                  <wp:posOffset>545465</wp:posOffset>
                </wp:positionV>
                <wp:extent cx="1534160" cy="325755"/>
                <wp:effectExtent l="0" t="0" r="8890" b="0"/>
                <wp:wrapNone/>
                <wp:docPr id="1587166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5755"/>
                        </a:xfrm>
                        <a:prstGeom prst="rect">
                          <a:avLst/>
                        </a:prstGeom>
                        <a:solidFill>
                          <a:schemeClr val="bg1"/>
                        </a:solidFill>
                        <a:ln w="9525">
                          <a:noFill/>
                          <a:miter lim="800000"/>
                          <a:headEnd/>
                          <a:tailEnd/>
                        </a:ln>
                      </wps:spPr>
                      <wps:txbx>
                        <w:txbxContent>
                          <w:p w14:paraId="270BE70C" w14:textId="77777777" w:rsidR="00447980" w:rsidRPr="00A80C38" w:rsidRDefault="00447980" w:rsidP="00447980">
                            <w:pPr>
                              <w:rPr>
                                <w:color w:val="7F7F7F" w:themeColor="text1" w:themeTint="80"/>
                                <w:sz w:val="14"/>
                                <w:szCs w:val="14"/>
                                <w:lang w:val="en-GB"/>
                              </w:rPr>
                            </w:pPr>
                            <w:r w:rsidRPr="00A80C38">
                              <w:rPr>
                                <w:color w:val="7F7F7F" w:themeColor="text1" w:themeTint="80"/>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B984B" id="_x0000_s1051" type="#_x0000_t202" style="position:absolute;left:0;text-align:left;margin-left:168.35pt;margin-top:42.95pt;width:120.8pt;height:25.6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" fillcolor="white [3212]" stroked="f">
                <v:textbox>
                  <w:txbxContent>
                    <w:p w14:paraId="270BE70C" w14:textId="77777777" w:rsidR="00447980" w:rsidRPr="00A80C38" w:rsidRDefault="00447980" w:rsidP="00447980">
                      <w:pPr>
                        <w:rPr>
                          <w:color w:val="7F7F7F" w:themeColor="text1" w:themeTint="80"/>
                          <w:sz w:val="14"/>
                          <w:szCs w:val="14"/>
                          <w:lang w:val="en-GB"/>
                        </w:rPr>
                      </w:pPr>
                      <w:r w:rsidRPr="00A80C38">
                        <w:rPr>
                          <w:color w:val="7F7F7F" w:themeColor="text1" w:themeTint="80"/>
                          <w:sz w:val="14"/>
                          <w:szCs w:val="14"/>
                          <w:lang w:val="en-GB"/>
                        </w:rPr>
                        <w:t>Assessing project implementation alternatives</w:t>
                      </w:r>
                    </w:p>
                  </w:txbxContent>
                </v:textbox>
              </v:shape>
            </w:pict>
          </mc:Fallback>
        </mc:AlternateContent>
      </w:r>
      <w:r w:rsidRPr="005D3F46">
        <w:rPr>
          <w:noProof/>
          <w:sz w:val="18"/>
        </w:rPr>
        <mc:AlternateContent>
          <mc:Choice Requires="wps">
            <w:drawing>
              <wp:anchor distT="45720" distB="45720" distL="114300" distR="114300" simplePos="0" relativeHeight="251658295" behindDoc="0" locked="0" layoutInCell="1" allowOverlap="1" wp14:anchorId="0B6D0B60" wp14:editId="52F1946A">
                <wp:simplePos x="0" y="0"/>
                <wp:positionH relativeFrom="column">
                  <wp:posOffset>4221480</wp:posOffset>
                </wp:positionH>
                <wp:positionV relativeFrom="paragraph">
                  <wp:posOffset>204470</wp:posOffset>
                </wp:positionV>
                <wp:extent cx="1311910" cy="341630"/>
                <wp:effectExtent l="0" t="0" r="2540" b="1270"/>
                <wp:wrapNone/>
                <wp:docPr id="1736055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41630"/>
                        </a:xfrm>
                        <a:prstGeom prst="rect">
                          <a:avLst/>
                        </a:prstGeom>
                        <a:solidFill>
                          <a:schemeClr val="bg1">
                            <a:lumMod val="75000"/>
                          </a:schemeClr>
                        </a:solidFill>
                        <a:ln w="9525">
                          <a:noFill/>
                          <a:miter lim="800000"/>
                          <a:headEnd/>
                          <a:tailEnd/>
                        </a:ln>
                      </wps:spPr>
                      <wps:txbx>
                        <w:txbxContent>
                          <w:p w14:paraId="022652D0" w14:textId="77777777" w:rsidR="00447980" w:rsidRPr="00B431B1" w:rsidRDefault="00447980" w:rsidP="00447980">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0B60" id="_x0000_s1052" type="#_x0000_t202" style="position:absolute;left:0;text-align:left;margin-left:332.4pt;margin-top:16.1pt;width:103.3pt;height:26.9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" fillcolor="#bfbfbf [2412]" stroked="f">
                <v:textbox>
                  <w:txbxContent>
                    <w:p w14:paraId="022652D0" w14:textId="77777777" w:rsidR="00447980" w:rsidRPr="00B431B1" w:rsidRDefault="00447980" w:rsidP="00447980">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Pr="005D3F46">
        <w:rPr>
          <w:noProof/>
          <w:sz w:val="18"/>
        </w:rPr>
        <mc:AlternateContent>
          <mc:Choice Requires="wps">
            <w:drawing>
              <wp:anchor distT="45720" distB="45720" distL="114300" distR="114300" simplePos="0" relativeHeight="251658294" behindDoc="0" locked="0" layoutInCell="1" allowOverlap="1" wp14:anchorId="2D0863BF" wp14:editId="5BDD46CA">
                <wp:simplePos x="0" y="0"/>
                <wp:positionH relativeFrom="column">
                  <wp:posOffset>2296795</wp:posOffset>
                </wp:positionH>
                <wp:positionV relativeFrom="paragraph">
                  <wp:posOffset>205105</wp:posOffset>
                </wp:positionV>
                <wp:extent cx="1208405" cy="317500"/>
                <wp:effectExtent l="0" t="0" r="0" b="6350"/>
                <wp:wrapNone/>
                <wp:docPr id="1647903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solidFill>
                          <a:schemeClr val="bg1">
                            <a:lumMod val="75000"/>
                          </a:schemeClr>
                        </a:solidFill>
                        <a:ln w="9525">
                          <a:noFill/>
                          <a:miter lim="800000"/>
                          <a:headEnd/>
                          <a:tailEnd/>
                        </a:ln>
                      </wps:spPr>
                      <wps:txbx>
                        <w:txbxContent>
                          <w:p w14:paraId="222B2F98" w14:textId="77777777" w:rsidR="00447980" w:rsidRPr="00B431B1" w:rsidRDefault="00447980" w:rsidP="00447980">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863BF" id="_x0000_s1053" type="#_x0000_t202" style="position:absolute;left:0;text-align:left;margin-left:180.85pt;margin-top:16.15pt;width:95.15pt;height: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" fillcolor="#bfbfbf [2412]" stroked="f">
                <v:textbox>
                  <w:txbxContent>
                    <w:p w14:paraId="222B2F98" w14:textId="77777777" w:rsidR="00447980" w:rsidRPr="00B431B1" w:rsidRDefault="00447980" w:rsidP="00447980">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Pr="005D3F46">
        <w:rPr>
          <w:noProof/>
          <w:sz w:val="18"/>
        </w:rPr>
        <mc:AlternateContent>
          <mc:Choice Requires="wps">
            <w:drawing>
              <wp:anchor distT="45720" distB="45720" distL="114300" distR="114300" simplePos="0" relativeHeight="251658293" behindDoc="0" locked="0" layoutInCell="1" allowOverlap="1" wp14:anchorId="5FAD4950" wp14:editId="28AEFAEE">
                <wp:simplePos x="0" y="0"/>
                <wp:positionH relativeFrom="column">
                  <wp:posOffset>71120</wp:posOffset>
                </wp:positionH>
                <wp:positionV relativeFrom="paragraph">
                  <wp:posOffset>553720</wp:posOffset>
                </wp:positionV>
                <wp:extent cx="1407160" cy="325755"/>
                <wp:effectExtent l="0" t="0" r="2540" b="0"/>
                <wp:wrapNone/>
                <wp:docPr id="202616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25755"/>
                        </a:xfrm>
                        <a:prstGeom prst="rect">
                          <a:avLst/>
                        </a:prstGeom>
                        <a:solidFill>
                          <a:schemeClr val="bg1"/>
                        </a:solidFill>
                        <a:ln w="9525">
                          <a:noFill/>
                          <a:miter lim="800000"/>
                          <a:headEnd/>
                          <a:tailEnd/>
                        </a:ln>
                      </wps:spPr>
                      <wps:txbx>
                        <w:txbxContent>
                          <w:p w14:paraId="546C9A3F" w14:textId="77777777" w:rsidR="00447980" w:rsidRPr="006D5DD2" w:rsidRDefault="00447980" w:rsidP="00447980">
                            <w:pPr>
                              <w:rPr>
                                <w:b/>
                                <w:bCs/>
                                <w:sz w:val="14"/>
                                <w:szCs w:val="14"/>
                                <w:lang w:val="en-GB"/>
                              </w:rPr>
                            </w:pPr>
                            <w:r w:rsidRPr="006D5DD2">
                              <w:rPr>
                                <w:b/>
                                <w:bCs/>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4950" id="_x0000_s1054" type="#_x0000_t202" style="position:absolute;left:0;text-align:left;margin-left:5.6pt;margin-top:43.6pt;width:110.8pt;height:25.6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" fillcolor="white [3212]" stroked="f">
                <v:textbox>
                  <w:txbxContent>
                    <w:p w14:paraId="546C9A3F" w14:textId="77777777" w:rsidR="00447980" w:rsidRPr="006D5DD2" w:rsidRDefault="00447980" w:rsidP="00447980">
                      <w:pPr>
                        <w:rPr>
                          <w:b/>
                          <w:bCs/>
                          <w:sz w:val="14"/>
                          <w:szCs w:val="14"/>
                          <w:lang w:val="en-GB"/>
                        </w:rPr>
                      </w:pPr>
                      <w:r w:rsidRPr="006D5DD2">
                        <w:rPr>
                          <w:b/>
                          <w:bCs/>
                          <w:sz w:val="14"/>
                          <w:szCs w:val="14"/>
                          <w:lang w:val="en-GB"/>
                        </w:rPr>
                        <w:t>Justification of project implementation</w:t>
                      </w:r>
                    </w:p>
                  </w:txbxContent>
                </v:textbox>
              </v:shape>
            </w:pict>
          </mc:Fallback>
        </mc:AlternateContent>
      </w:r>
      <w:r w:rsidRPr="005D3F46">
        <w:rPr>
          <w:noProof/>
          <w:sz w:val="18"/>
        </w:rPr>
        <mc:AlternateContent>
          <mc:Choice Requires="wps">
            <w:drawing>
              <wp:anchor distT="45720" distB="45720" distL="114300" distR="114300" simplePos="0" relativeHeight="251658292" behindDoc="0" locked="0" layoutInCell="1" allowOverlap="1" wp14:anchorId="7F6B82CD" wp14:editId="16E34A88">
                <wp:simplePos x="0" y="0"/>
                <wp:positionH relativeFrom="column">
                  <wp:posOffset>229235</wp:posOffset>
                </wp:positionH>
                <wp:positionV relativeFrom="paragraph">
                  <wp:posOffset>323215</wp:posOffset>
                </wp:positionV>
                <wp:extent cx="1407160" cy="198755"/>
                <wp:effectExtent l="0" t="0" r="2540" b="0"/>
                <wp:wrapNone/>
                <wp:docPr id="538121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accent1"/>
                        </a:solidFill>
                        <a:ln w="9525">
                          <a:noFill/>
                          <a:miter lim="800000"/>
                          <a:headEnd/>
                          <a:tailEnd/>
                        </a:ln>
                      </wps:spPr>
                      <wps:txbx>
                        <w:txbxContent>
                          <w:p w14:paraId="1C649C87" w14:textId="77777777" w:rsidR="00447980" w:rsidRPr="005D3F46" w:rsidRDefault="00447980" w:rsidP="00447980">
                            <w:pPr>
                              <w:jc w:val="center"/>
                              <w:rPr>
                                <w:b/>
                                <w:bCs/>
                                <w:color w:val="FFFFFF" w:themeColor="background1"/>
                                <w:sz w:val="14"/>
                                <w:szCs w:val="14"/>
                              </w:rPr>
                            </w:pPr>
                            <w:r w:rsidRPr="005D3F46">
                              <w:rPr>
                                <w:b/>
                                <w:bCs/>
                                <w:color w:val="FFFFFF" w:themeColor="background1"/>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B82CD" id="_x0000_s1055" type="#_x0000_t202" style="position:absolute;left:0;text-align:left;margin-left:18.05pt;margin-top:25.45pt;width:110.8pt;height:15.6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" fillcolor="#86bc25 [3204]" stroked="f">
                <v:textbox>
                  <w:txbxContent>
                    <w:p w14:paraId="1C649C87" w14:textId="77777777" w:rsidR="00447980" w:rsidRPr="005D3F46" w:rsidRDefault="00447980" w:rsidP="00447980">
                      <w:pPr>
                        <w:jc w:val="center"/>
                        <w:rPr>
                          <w:b/>
                          <w:bCs/>
                          <w:color w:val="FFFFFF" w:themeColor="background1"/>
                          <w:sz w:val="14"/>
                          <w:szCs w:val="14"/>
                        </w:rPr>
                      </w:pPr>
                      <w:r w:rsidRPr="005D3F46">
                        <w:rPr>
                          <w:b/>
                          <w:bCs/>
                          <w:color w:val="FFFFFF" w:themeColor="background1"/>
                          <w:sz w:val="14"/>
                          <w:szCs w:val="14"/>
                        </w:rPr>
                        <w:t>Prior to FEC preparation</w:t>
                      </w:r>
                    </w:p>
                  </w:txbxContent>
                </v:textbox>
              </v:shape>
            </w:pict>
          </mc:Fallback>
        </mc:AlternateContent>
      </w:r>
      <w:r w:rsidR="00D84C3F">
        <w:rPr>
          <w:rFonts w:asciiTheme="minorHAnsi" w:hAnsiTheme="minorHAnsi"/>
        </w:rPr>
        <w:t>Analysis of Possible Methods of Implementing the Project</w:t>
      </w:r>
      <w:bookmarkEnd w:id="56"/>
      <w:bookmarkEnd w:id="57"/>
      <w:bookmarkEnd w:id="58"/>
      <w:bookmarkEnd w:id="59"/>
      <w:bookmarkEnd w:id="60"/>
      <w:bookmarkEnd w:id="61"/>
      <w:r w:rsidR="00D84C3F">
        <w:rPr>
          <w:rFonts w:asciiTheme="minorHAnsi" w:hAnsiTheme="minorHAnsi"/>
        </w:rPr>
        <w:t xml:space="preserve"> </w:t>
      </w:r>
      <w:bookmarkStart w:id="62" w:name="_Toc2273337"/>
      <w:bookmarkStart w:id="63" w:name="_Toc2273406"/>
      <w:bookmarkStart w:id="64" w:name="_Toc2273481"/>
      <w:bookmarkStart w:id="65" w:name="_Toc2273550"/>
      <w:bookmarkEnd w:id="62"/>
      <w:bookmarkEnd w:id="63"/>
      <w:bookmarkEnd w:id="64"/>
      <w:bookmarkEnd w:id="65"/>
    </w:p>
    <w:p w14:paraId="2C52DEA1" w14:textId="1B5CAD47" w:rsidR="00BD6778" w:rsidRPr="00BD6778" w:rsidRDefault="00447980" w:rsidP="00BD6778">
      <w:r w:rsidRPr="005D3F46">
        <w:rPr>
          <w:noProof/>
          <w:sz w:val="18"/>
        </w:rPr>
        <mc:AlternateContent>
          <mc:Choice Requires="wps">
            <w:drawing>
              <wp:anchor distT="45720" distB="45720" distL="114300" distR="114300" simplePos="0" relativeHeight="251658297" behindDoc="0" locked="0" layoutInCell="1" allowOverlap="1" wp14:anchorId="5B3D383D" wp14:editId="7EBC3FAA">
                <wp:simplePos x="0" y="0"/>
                <wp:positionH relativeFrom="column">
                  <wp:posOffset>4070792</wp:posOffset>
                </wp:positionH>
                <wp:positionV relativeFrom="paragraph">
                  <wp:posOffset>312696</wp:posOffset>
                </wp:positionV>
                <wp:extent cx="1240404" cy="326004"/>
                <wp:effectExtent l="0" t="0" r="0" b="0"/>
                <wp:wrapNone/>
                <wp:docPr id="1032895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4" cy="326004"/>
                        </a:xfrm>
                        <a:prstGeom prst="rect">
                          <a:avLst/>
                        </a:prstGeom>
                        <a:solidFill>
                          <a:schemeClr val="bg1"/>
                        </a:solidFill>
                        <a:ln w="9525">
                          <a:noFill/>
                          <a:miter lim="800000"/>
                          <a:headEnd/>
                          <a:tailEnd/>
                        </a:ln>
                      </wps:spPr>
                      <wps:txbx>
                        <w:txbxContent>
                          <w:p w14:paraId="666CC904" w14:textId="77777777" w:rsidR="00447980" w:rsidRPr="00A80C38" w:rsidRDefault="00447980" w:rsidP="00447980">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D383D" id="_x0000_s1056" type="#_x0000_t202" style="position:absolute;margin-left:320.55pt;margin-top:24.6pt;width:97.65pt;height:25.6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" fillcolor="white [3212]" stroked="f">
                <v:textbox>
                  <w:txbxContent>
                    <w:p w14:paraId="666CC904" w14:textId="77777777" w:rsidR="00447980" w:rsidRPr="00A80C38" w:rsidRDefault="00447980" w:rsidP="00447980">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r w:rsidR="009E18F7">
        <w:rPr>
          <w:noProof/>
          <w:color w:val="2B579A"/>
          <w:shd w:val="clear" w:color="auto" w:fill="E6E6E6"/>
        </w:rPr>
        <mc:AlternateContent>
          <mc:Choice Requires="wps">
            <w:drawing>
              <wp:anchor distT="45720" distB="45720" distL="114300" distR="114300" simplePos="0" relativeHeight="251658242" behindDoc="0" locked="0" layoutInCell="1" allowOverlap="1" wp14:anchorId="3EE1A2EC" wp14:editId="70B21396">
                <wp:simplePos x="0" y="0"/>
                <wp:positionH relativeFrom="column">
                  <wp:posOffset>31750</wp:posOffset>
                </wp:positionH>
                <wp:positionV relativeFrom="paragraph">
                  <wp:posOffset>760730</wp:posOffset>
                </wp:positionV>
                <wp:extent cx="5842000" cy="901700"/>
                <wp:effectExtent l="0" t="0" r="2540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901700"/>
                        </a:xfrm>
                        <a:prstGeom prst="rect">
                          <a:avLst/>
                        </a:prstGeom>
                        <a:solidFill>
                          <a:srgbClr val="FFFFFF"/>
                        </a:solidFill>
                        <a:ln w="9525">
                          <a:solidFill>
                            <a:schemeClr val="tx2"/>
                          </a:solidFill>
                          <a:miter lim="800000"/>
                          <a:headEnd/>
                          <a:tailEnd/>
                        </a:ln>
                      </wps:spPr>
                      <wps:txbx>
                        <w:txbxContent>
                          <w:p w14:paraId="60D81C9D" w14:textId="41F4F2F9" w:rsidR="00EF0F26" w:rsidRPr="009E18F7" w:rsidRDefault="00746F6D" w:rsidP="009E18F7">
                            <w:pPr>
                              <w:spacing w:after="120"/>
                              <w:rPr>
                                <w:sz w:val="18"/>
                                <w:szCs w:val="18"/>
                              </w:rPr>
                            </w:pPr>
                            <w:hyperlink w:anchor="_Pielikums_B._Izmantoto" w:history="1">
                              <w:r>
                                <w:rPr>
                                  <w:rStyle w:val="Hipersaite"/>
                                  <w:sz w:val="18"/>
                                </w:rPr>
                                <w:t>Documents to be used</w:t>
                              </w:r>
                            </w:hyperlink>
                            <w:r>
                              <w:rPr>
                                <w:sz w:val="18"/>
                              </w:rPr>
                              <w:t>:</w:t>
                            </w:r>
                          </w:p>
                          <w:p w14:paraId="42DBBF95" w14:textId="7C5C67E0" w:rsidR="00EF0F26" w:rsidRPr="009E18F7" w:rsidRDefault="00746F6D" w:rsidP="008B6449">
                            <w:pPr>
                              <w:pStyle w:val="Sarakstarindkopa"/>
                              <w:numPr>
                                <w:ilvl w:val="0"/>
                                <w:numId w:val="9"/>
                              </w:numPr>
                              <w:spacing w:after="120"/>
                              <w:rPr>
                                <w:rFonts w:ascii="Verdana" w:hAnsi="Verdana"/>
                                <w:sz w:val="18"/>
                              </w:rPr>
                            </w:pPr>
                            <w:hyperlink w:anchor="_Pielikums_A._Izmantotie" w:history="1">
                              <w:r>
                                <w:rPr>
                                  <w:rStyle w:val="Hipersaite"/>
                                  <w:color w:val="auto"/>
                                  <w:sz w:val="18"/>
                                  <w:u w:val="none"/>
                                </w:rPr>
                                <w:t>A Guide to ECBA Preparation</w:t>
                              </w:r>
                            </w:hyperlink>
                            <w:r>
                              <w:rPr>
                                <w:sz w:val="18"/>
                              </w:rPr>
                              <w:t xml:space="preserve"> </w:t>
                            </w:r>
                          </w:p>
                          <w:p w14:paraId="1BEFA16B" w14:textId="0913338E" w:rsidR="00EF0F26" w:rsidRPr="009E18F7" w:rsidRDefault="00EF0F26" w:rsidP="008B6449">
                            <w:pPr>
                              <w:pStyle w:val="Sarakstarindkopa"/>
                              <w:numPr>
                                <w:ilvl w:val="0"/>
                                <w:numId w:val="9"/>
                              </w:numPr>
                              <w:rPr>
                                <w:rFonts w:ascii="Verdana" w:hAnsi="Verdana"/>
                                <w:sz w:val="18"/>
                                <w:szCs w:val="18"/>
                              </w:rPr>
                            </w:pPr>
                            <w:r>
                              <w:rPr>
                                <w:rStyle w:val="Hipersaite"/>
                                <w:color w:val="auto"/>
                                <w:sz w:val="18"/>
                                <w:u w:val="none"/>
                              </w:rPr>
                              <w:t>A Guide to Preparing a PPP Project</w:t>
                            </w:r>
                            <w:r>
                              <w:rPr>
                                <w:sz w:val="18"/>
                              </w:rPr>
                              <w:t xml:space="preserve"> </w:t>
                            </w:r>
                          </w:p>
                          <w:p w14:paraId="6E8F902E" w14:textId="6305A61F" w:rsidR="00EF0F26" w:rsidRPr="00AD5E2C" w:rsidRDefault="00EF0F26" w:rsidP="008B6449">
                            <w:pPr>
                              <w:pStyle w:val="Sarakstarindkopa"/>
                              <w:numPr>
                                <w:ilvl w:val="0"/>
                                <w:numId w:val="9"/>
                              </w:numPr>
                              <w:rPr>
                                <w:rFonts w:ascii="Verdana" w:hAnsi="Verdana"/>
                                <w:sz w:val="18"/>
                                <w:szCs w:val="18"/>
                              </w:rPr>
                            </w:pPr>
                            <w:r>
                              <w:rPr>
                                <w:sz w:val="18"/>
                              </w:rPr>
                              <w:t>PPP Law</w:t>
                            </w:r>
                          </w:p>
                          <w:p w14:paraId="5A4CCD3F" w14:textId="3576A36A" w:rsidR="00EF0F26" w:rsidRPr="0015600C" w:rsidRDefault="00EF0F26" w:rsidP="008B6449">
                            <w:pPr>
                              <w:pStyle w:val="Sarakstarindkopa"/>
                              <w:numPr>
                                <w:ilvl w:val="0"/>
                                <w:numId w:val="9"/>
                              </w:numPr>
                              <w:rPr>
                                <w:rFonts w:ascii="Verdana" w:hAnsi="Verdana"/>
                                <w:sz w:val="18"/>
                                <w:szCs w:val="18"/>
                              </w:rPr>
                            </w:pPr>
                            <w:r>
                              <w:rPr>
                                <w:rFonts w:ascii="Verdana" w:hAnsi="Verdana"/>
                                <w:sz w:val="18"/>
                              </w:rPr>
                              <w:t xml:space="preserve">CR 1152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1A2EC" id="_x0000_s1057" type="#_x0000_t202" style="position:absolute;margin-left:2.5pt;margin-top:59.9pt;width:460pt;height:7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" strokecolor="#44546a [3215]">
                <v:textbox>
                  <w:txbxContent>
                    <w:p w14:paraId="60D81C9D" w14:textId="41F4F2F9" w:rsidR="00EF0F26" w:rsidRPr="009E18F7" w:rsidRDefault="00746F6D" w:rsidP="009E18F7">
                      <w:pPr>
                        <w:spacing w:after="120"/>
                        <w:rPr>
                          <w:sz w:val="18"/>
                          <w:szCs w:val="18"/>
                        </w:rPr>
                      </w:pPr>
                      <w:hyperlink w:anchor="_Pielikums_B._Izmantoto" w:history="1">
                        <w:r>
                          <w:rPr>
                            <w:rStyle w:val="Hipersaite"/>
                            <w:sz w:val="18"/>
                          </w:rPr>
                          <w:t>Documents to be used</w:t>
                        </w:r>
                      </w:hyperlink>
                      <w:r>
                        <w:rPr>
                          <w:sz w:val="18"/>
                        </w:rPr>
                        <w:t>:</w:t>
                      </w:r>
                    </w:p>
                    <w:p w14:paraId="42DBBF95" w14:textId="7C5C67E0" w:rsidR="00EF0F26" w:rsidRPr="009E18F7" w:rsidRDefault="00746F6D" w:rsidP="008B6449">
                      <w:pPr>
                        <w:pStyle w:val="Sarakstarindkopa"/>
                        <w:numPr>
                          <w:ilvl w:val="0"/>
                          <w:numId w:val="9"/>
                        </w:numPr>
                        <w:spacing w:after="120"/>
                        <w:rPr>
                          <w:rFonts w:ascii="Verdana" w:hAnsi="Verdana"/>
                          <w:sz w:val="18"/>
                        </w:rPr>
                      </w:pPr>
                      <w:hyperlink w:anchor="_Pielikums_A._Izmantotie" w:history="1">
                        <w:r>
                          <w:rPr>
                            <w:rStyle w:val="Hipersaite"/>
                            <w:color w:val="auto"/>
                            <w:sz w:val="18"/>
                            <w:u w:val="none"/>
                          </w:rPr>
                          <w:t>A Guide to ECBA Preparation</w:t>
                        </w:r>
                      </w:hyperlink>
                      <w:r>
                        <w:rPr>
                          <w:sz w:val="18"/>
                        </w:rPr>
                        <w:t xml:space="preserve"> </w:t>
                      </w:r>
                    </w:p>
                    <w:p w14:paraId="1BEFA16B" w14:textId="0913338E" w:rsidR="00EF0F26" w:rsidRPr="009E18F7" w:rsidRDefault="00EF0F26" w:rsidP="008B6449">
                      <w:pPr>
                        <w:pStyle w:val="Sarakstarindkopa"/>
                        <w:numPr>
                          <w:ilvl w:val="0"/>
                          <w:numId w:val="9"/>
                        </w:numPr>
                        <w:rPr>
                          <w:rFonts w:ascii="Verdana" w:hAnsi="Verdana"/>
                          <w:sz w:val="18"/>
                          <w:szCs w:val="18"/>
                        </w:rPr>
                      </w:pPr>
                      <w:r>
                        <w:rPr>
                          <w:rStyle w:val="Hipersaite"/>
                          <w:color w:val="auto"/>
                          <w:sz w:val="18"/>
                          <w:u w:val="none"/>
                        </w:rPr>
                        <w:t>A Guide to Preparing a PPP Project</w:t>
                      </w:r>
                      <w:r>
                        <w:rPr>
                          <w:sz w:val="18"/>
                        </w:rPr>
                        <w:t xml:space="preserve"> </w:t>
                      </w:r>
                    </w:p>
                    <w:p w14:paraId="6E8F902E" w14:textId="6305A61F" w:rsidR="00EF0F26" w:rsidRPr="00AD5E2C" w:rsidRDefault="00EF0F26" w:rsidP="008B6449">
                      <w:pPr>
                        <w:pStyle w:val="Sarakstarindkopa"/>
                        <w:numPr>
                          <w:ilvl w:val="0"/>
                          <w:numId w:val="9"/>
                        </w:numPr>
                        <w:rPr>
                          <w:rFonts w:ascii="Verdana" w:hAnsi="Verdana"/>
                          <w:sz w:val="18"/>
                          <w:szCs w:val="18"/>
                        </w:rPr>
                      </w:pPr>
                      <w:r>
                        <w:rPr>
                          <w:sz w:val="18"/>
                        </w:rPr>
                        <w:t>PPP Law</w:t>
                      </w:r>
                    </w:p>
                    <w:p w14:paraId="5A4CCD3F" w14:textId="3576A36A" w:rsidR="00EF0F26" w:rsidRPr="0015600C" w:rsidRDefault="00EF0F26" w:rsidP="008B6449">
                      <w:pPr>
                        <w:pStyle w:val="Sarakstarindkopa"/>
                        <w:numPr>
                          <w:ilvl w:val="0"/>
                          <w:numId w:val="9"/>
                        </w:numPr>
                        <w:rPr>
                          <w:rFonts w:ascii="Verdana" w:hAnsi="Verdana"/>
                          <w:sz w:val="18"/>
                          <w:szCs w:val="18"/>
                        </w:rPr>
                      </w:pPr>
                      <w:r>
                        <w:rPr>
                          <w:rFonts w:ascii="Verdana" w:hAnsi="Verdana"/>
                          <w:sz w:val="18"/>
                        </w:rPr>
                        <w:t xml:space="preserve">CR 1152 </w:t>
                      </w:r>
                    </w:p>
                  </w:txbxContent>
                </v:textbox>
                <w10:wrap type="square"/>
              </v:shape>
            </w:pict>
          </mc:Fallback>
        </mc:AlternateContent>
      </w:r>
      <w:r w:rsidR="009E18F7">
        <w:rPr>
          <w:noProof/>
        </w:rPr>
        <w:drawing>
          <wp:inline distT="0" distB="0" distL="0" distR="0" wp14:anchorId="10ED0A55" wp14:editId="175F5F0D">
            <wp:extent cx="5943600" cy="679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679450"/>
                    </a:xfrm>
                    <a:prstGeom prst="rect">
                      <a:avLst/>
                    </a:prstGeom>
                  </pic:spPr>
                </pic:pic>
              </a:graphicData>
            </a:graphic>
          </wp:inline>
        </w:drawing>
      </w:r>
    </w:p>
    <w:p w14:paraId="271C75F6" w14:textId="0C84210C" w:rsidR="00D8275E" w:rsidRPr="00251B39" w:rsidRDefault="00DB14E0" w:rsidP="68A3781E">
      <w:pPr>
        <w:jc w:val="both"/>
        <w:rPr>
          <w:sz w:val="20"/>
          <w:szCs w:val="20"/>
        </w:rPr>
      </w:pPr>
      <w:r w:rsidRPr="00CC7CF8">
        <w:rPr>
          <w:rFonts w:ascii="Verdana" w:hAnsi="Verdana"/>
          <w:noProof/>
          <w:sz w:val="18"/>
        </w:rPr>
        <mc:AlternateContent>
          <mc:Choice Requires="wps">
            <w:drawing>
              <wp:anchor distT="45720" distB="45720" distL="114300" distR="114300" simplePos="0" relativeHeight="251658343" behindDoc="0" locked="0" layoutInCell="1" allowOverlap="1" wp14:anchorId="4FB62B2A" wp14:editId="745882CC">
                <wp:simplePos x="0" y="0"/>
                <wp:positionH relativeFrom="margin">
                  <wp:align>right</wp:align>
                </wp:positionH>
                <wp:positionV relativeFrom="paragraph">
                  <wp:posOffset>954405</wp:posOffset>
                </wp:positionV>
                <wp:extent cx="2505793" cy="540688"/>
                <wp:effectExtent l="19050" t="19050" r="27940" b="12065"/>
                <wp:wrapNone/>
                <wp:docPr id="2012612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93" cy="540688"/>
                        </a:xfrm>
                        <a:prstGeom prst="rect">
                          <a:avLst/>
                        </a:prstGeom>
                        <a:solidFill>
                          <a:srgbClr val="FFFFFF"/>
                        </a:solidFill>
                        <a:ln w="28575">
                          <a:solidFill>
                            <a:schemeClr val="accent1"/>
                          </a:solidFill>
                          <a:miter lim="800000"/>
                          <a:headEnd/>
                          <a:tailEnd/>
                        </a:ln>
                      </wps:spPr>
                      <wps:txbx>
                        <w:txbxContent>
                          <w:p w14:paraId="4D31B4F7" w14:textId="77777777" w:rsidR="00DB14E0" w:rsidRDefault="00DB14E0" w:rsidP="00DB14E0">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06F83AFB" w14:textId="45485C08" w:rsidR="00DB14E0" w:rsidRPr="007217EE" w:rsidRDefault="00DB14E0" w:rsidP="00DB14E0">
                            <w:pPr>
                              <w:jc w:val="center"/>
                              <w:rPr>
                                <w:b/>
                                <w:bCs/>
                                <w:sz w:val="12"/>
                                <w:szCs w:val="12"/>
                              </w:rPr>
                            </w:pPr>
                            <w:r>
                              <w:rPr>
                                <w:b/>
                                <w:bCs/>
                                <w:sz w:val="12"/>
                                <w:szCs w:val="12"/>
                              </w:rPr>
                              <w:t>Most suitable method of project implementation identified (e.g., where, how and when to implement)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2B2A" id="_x0000_s1058" type="#_x0000_t202" style="position:absolute;left:0;text-align:left;margin-left:146.1pt;margin-top:75.15pt;width:197.3pt;height:42.55pt;z-index:2516583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" strokecolor="#86bc25 [3204]" strokeweight="2.25pt">
                <v:textbox>
                  <w:txbxContent>
                    <w:p w14:paraId="4D31B4F7" w14:textId="77777777" w:rsidR="00DB14E0" w:rsidRDefault="00DB14E0" w:rsidP="00DB14E0">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06F83AFB" w14:textId="45485C08" w:rsidR="00DB14E0" w:rsidRPr="007217EE" w:rsidRDefault="00DB14E0" w:rsidP="00DB14E0">
                      <w:pPr>
                        <w:jc w:val="center"/>
                        <w:rPr>
                          <w:b/>
                          <w:bCs/>
                          <w:sz w:val="12"/>
                          <w:szCs w:val="12"/>
                        </w:rPr>
                      </w:pPr>
                      <w:r>
                        <w:rPr>
                          <w:b/>
                          <w:bCs/>
                          <w:sz w:val="12"/>
                          <w:szCs w:val="12"/>
                        </w:rPr>
                        <w:t>Most suitable method of project implementation identified (e.g., where, how and when to implement)</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342" behindDoc="0" locked="0" layoutInCell="1" allowOverlap="1" wp14:anchorId="2D5B01AF" wp14:editId="6A3DAA86">
                <wp:simplePos x="0" y="0"/>
                <wp:positionH relativeFrom="margin">
                  <wp:posOffset>27001</wp:posOffset>
                </wp:positionH>
                <wp:positionV relativeFrom="paragraph">
                  <wp:posOffset>938502</wp:posOffset>
                </wp:positionV>
                <wp:extent cx="2382244" cy="540688"/>
                <wp:effectExtent l="19050" t="19050" r="18415" b="12065"/>
                <wp:wrapNone/>
                <wp:docPr id="221316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244" cy="540688"/>
                        </a:xfrm>
                        <a:prstGeom prst="rect">
                          <a:avLst/>
                        </a:prstGeom>
                        <a:solidFill>
                          <a:srgbClr val="FFFFFF"/>
                        </a:solidFill>
                        <a:ln w="28575">
                          <a:solidFill>
                            <a:srgbClr val="92D050"/>
                          </a:solidFill>
                          <a:miter lim="800000"/>
                          <a:headEnd/>
                          <a:tailEnd/>
                        </a:ln>
                      </wps:spPr>
                      <wps:txbx>
                        <w:txbxContent>
                          <w:p w14:paraId="29223BE9" w14:textId="77777777" w:rsidR="00DB14E0" w:rsidRDefault="00DB14E0" w:rsidP="00DB14E0">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21612CD1" w14:textId="20AAF6B3" w:rsidR="00DB14E0" w:rsidRPr="007217EE" w:rsidRDefault="00DB14E0" w:rsidP="00DB14E0">
                            <w:pPr>
                              <w:jc w:val="center"/>
                              <w:rPr>
                                <w:b/>
                                <w:bCs/>
                                <w:sz w:val="12"/>
                                <w:szCs w:val="12"/>
                              </w:rPr>
                            </w:pPr>
                            <w:r>
                              <w:rPr>
                                <w:b/>
                                <w:bCs/>
                                <w:sz w:val="12"/>
                                <w:szCs w:val="12"/>
                              </w:rPr>
                              <w:t>Analyse potential technical, legal and financial issues of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B01AF" id="_x0000_s1059" type="#_x0000_t202" style="position:absolute;left:0;text-align:left;margin-left:2.15pt;margin-top:73.9pt;width:187.6pt;height:42.55pt;z-index:2516583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" strokecolor="#92d050" strokeweight="2.25pt">
                <v:textbox>
                  <w:txbxContent>
                    <w:p w14:paraId="29223BE9" w14:textId="77777777" w:rsidR="00DB14E0" w:rsidRDefault="00DB14E0" w:rsidP="00DB14E0">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21612CD1" w14:textId="20AAF6B3" w:rsidR="00DB14E0" w:rsidRPr="007217EE" w:rsidRDefault="00DB14E0" w:rsidP="00DB14E0">
                      <w:pPr>
                        <w:jc w:val="center"/>
                        <w:rPr>
                          <w:b/>
                          <w:bCs/>
                          <w:sz w:val="12"/>
                          <w:szCs w:val="12"/>
                        </w:rPr>
                      </w:pPr>
                      <w:r>
                        <w:rPr>
                          <w:b/>
                          <w:bCs/>
                          <w:sz w:val="12"/>
                          <w:szCs w:val="12"/>
                        </w:rPr>
                        <w:t>Analyse potential technical, legal and financial issues of the project</w:t>
                      </w:r>
                    </w:p>
                  </w:txbxContent>
                </v:textbox>
                <w10:wrap anchorx="margin"/>
              </v:shape>
            </w:pict>
          </mc:Fallback>
        </mc:AlternateContent>
      </w:r>
      <w:r w:rsidR="00556F0F">
        <w:rPr>
          <w:noProof/>
        </w:rPr>
        <w:drawing>
          <wp:inline distT="0" distB="0" distL="0" distR="0" wp14:anchorId="3883B4A5" wp14:editId="7BC23394">
            <wp:extent cx="5943600" cy="584200"/>
            <wp:effectExtent l="0" t="0" r="0" b="6350"/>
            <wp:docPr id="1267395727" name="Picture 126739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584200"/>
                    </a:xfrm>
                    <a:prstGeom prst="rect">
                      <a:avLst/>
                    </a:prstGeom>
                  </pic:spPr>
                </pic:pic>
              </a:graphicData>
            </a:graphic>
          </wp:inline>
        </w:drawing>
      </w:r>
    </w:p>
    <w:p w14:paraId="0878DED9" w14:textId="1D9C3403" w:rsidR="00B27CE9" w:rsidRPr="00251B39" w:rsidRDefault="2049D261" w:rsidP="00B27CE9">
      <w:pPr>
        <w:jc w:val="both"/>
        <w:rPr>
          <w:sz w:val="18"/>
          <w:szCs w:val="18"/>
        </w:rPr>
      </w:pPr>
      <w:r>
        <w:rPr>
          <w:sz w:val="18"/>
        </w:rPr>
        <w:t xml:space="preserve">In order to determine the most appropriate method of implementing the project identified by the needs assessment, the public partner shall assess the possible technical, legal and financial options in accordance with the following steps:   </w:t>
      </w:r>
    </w:p>
    <w:p w14:paraId="622C2D96" w14:textId="4B370512" w:rsidR="00B27CE9" w:rsidRPr="00251B39" w:rsidRDefault="2049D261" w:rsidP="008B6449">
      <w:pPr>
        <w:pStyle w:val="Sarakstarindkopa"/>
        <w:numPr>
          <w:ilvl w:val="0"/>
          <w:numId w:val="5"/>
        </w:numPr>
        <w:jc w:val="both"/>
        <w:rPr>
          <w:sz w:val="18"/>
          <w:szCs w:val="18"/>
        </w:rPr>
      </w:pPr>
      <w:r>
        <w:rPr>
          <w:sz w:val="18"/>
        </w:rPr>
        <w:t>identifying possible methods of implementing the project. (N.B. "Not investing" may be one of the methods to be included in the assessment)</w:t>
      </w:r>
    </w:p>
    <w:p w14:paraId="53DDCC33" w14:textId="18CA4E65" w:rsidR="00B27CE9" w:rsidRPr="00251B39" w:rsidRDefault="00B27CE9" w:rsidP="008B6449">
      <w:pPr>
        <w:pStyle w:val="Sarakstarindkopa"/>
        <w:numPr>
          <w:ilvl w:val="0"/>
          <w:numId w:val="5"/>
        </w:numPr>
        <w:jc w:val="both"/>
        <w:rPr>
          <w:sz w:val="18"/>
          <w:szCs w:val="18"/>
        </w:rPr>
      </w:pPr>
      <w:r>
        <w:rPr>
          <w:sz w:val="18"/>
        </w:rPr>
        <w:t>assessing the estimated financial impact of each of the implementation methods identified</w:t>
      </w:r>
    </w:p>
    <w:p w14:paraId="7EEFB244" w14:textId="242E3DC7" w:rsidR="00B27CE9" w:rsidRPr="00766718" w:rsidRDefault="73497F8C" w:rsidP="008B6449">
      <w:pPr>
        <w:pStyle w:val="Sarakstarindkopa"/>
        <w:numPr>
          <w:ilvl w:val="0"/>
          <w:numId w:val="5"/>
        </w:numPr>
        <w:jc w:val="both"/>
        <w:rPr>
          <w:sz w:val="18"/>
          <w:szCs w:val="18"/>
        </w:rPr>
      </w:pPr>
      <w:r>
        <w:rPr>
          <w:sz w:val="18"/>
        </w:rPr>
        <w:t>preliminary ECBA for each method of implementation identified (see reference to documents to be used: A Guide to ECBA Preparation)</w:t>
      </w:r>
    </w:p>
    <w:p w14:paraId="10ABA94E" w14:textId="1D04C0E7" w:rsidR="00BC45D2" w:rsidRPr="00251B39" w:rsidRDefault="00B27CE9" w:rsidP="064C8007">
      <w:pPr>
        <w:pStyle w:val="Sarakstarindkopa"/>
        <w:numPr>
          <w:ilvl w:val="0"/>
          <w:numId w:val="5"/>
        </w:numPr>
        <w:jc w:val="both"/>
        <w:rPr>
          <w:sz w:val="18"/>
          <w:szCs w:val="18"/>
        </w:rPr>
      </w:pPr>
      <w:r>
        <w:rPr>
          <w:sz w:val="18"/>
        </w:rPr>
        <w:t xml:space="preserve">preliminary affordability analysis for each of the identified implementation methods (see </w:t>
      </w:r>
      <w:r>
        <w:rPr>
          <w:rStyle w:val="Hipersaite"/>
          <w:color w:val="auto"/>
          <w:sz w:val="18"/>
          <w:u w:val="none"/>
        </w:rPr>
        <w:t>Chapter 3.2</w:t>
      </w:r>
      <w:r>
        <w:rPr>
          <w:sz w:val="18"/>
        </w:rPr>
        <w:t>)</w:t>
      </w:r>
      <w:bookmarkStart w:id="66" w:name="_Toc2273343"/>
      <w:bookmarkStart w:id="67" w:name="_Toc2273412"/>
      <w:bookmarkStart w:id="68" w:name="_Toc2273487"/>
      <w:bookmarkStart w:id="69" w:name="_Toc2273556"/>
      <w:bookmarkEnd w:id="66"/>
      <w:bookmarkEnd w:id="67"/>
      <w:bookmarkEnd w:id="68"/>
      <w:bookmarkEnd w:id="69"/>
    </w:p>
    <w:p w14:paraId="35C5BBF9" w14:textId="0FEF0F39" w:rsidR="00733FD1" w:rsidRPr="00251B39" w:rsidRDefault="09F14E32" w:rsidP="00733FD1">
      <w:pPr>
        <w:jc w:val="both"/>
        <w:rPr>
          <w:sz w:val="18"/>
          <w:szCs w:val="18"/>
        </w:rPr>
      </w:pPr>
      <w:bookmarkStart w:id="70" w:name="_Toc2273344"/>
      <w:bookmarkStart w:id="71" w:name="_Toc2273413"/>
      <w:bookmarkStart w:id="72" w:name="_Toc2273488"/>
      <w:bookmarkStart w:id="73" w:name="_Toc2273557"/>
      <w:bookmarkStart w:id="74" w:name="_Toc2273346"/>
      <w:bookmarkStart w:id="75" w:name="_Toc2273415"/>
      <w:bookmarkStart w:id="76" w:name="_Toc2273490"/>
      <w:bookmarkStart w:id="77" w:name="_Toc2273559"/>
      <w:bookmarkStart w:id="78" w:name="_Toc2273348"/>
      <w:bookmarkStart w:id="79" w:name="_Toc2273417"/>
      <w:bookmarkStart w:id="80" w:name="_Toc2273492"/>
      <w:bookmarkStart w:id="81" w:name="_Toc2273561"/>
      <w:bookmarkStart w:id="82" w:name="_Toc2273349"/>
      <w:bookmarkStart w:id="83" w:name="_Toc2273418"/>
      <w:bookmarkStart w:id="84" w:name="_Toc2273493"/>
      <w:bookmarkStart w:id="85" w:name="_Toc2273562"/>
      <w:bookmarkStart w:id="86" w:name="_Toc2273350"/>
      <w:bookmarkStart w:id="87" w:name="_Toc2273419"/>
      <w:bookmarkStart w:id="88" w:name="_Toc2273494"/>
      <w:bookmarkStart w:id="89" w:name="_Toc2273563"/>
      <w:bookmarkStart w:id="90" w:name="_Toc2273351"/>
      <w:bookmarkStart w:id="91" w:name="_Toc2273420"/>
      <w:bookmarkStart w:id="92" w:name="_Toc2273495"/>
      <w:bookmarkStart w:id="93" w:name="_Toc227356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sz w:val="18"/>
        </w:rPr>
        <w:t>The quality and affordability of future infrastructure to be created or services to be provided shall be prioritised in a cross-comparison of the identified implementation methods. At the same time, it should be kept in mind that the cost of the project will vary under each of the identified implementation methods, as in each case the public needs may be met to a different extent and quality. Therefore, the conclusion on the preferred method of implementing the project will be influenced not only by financial calculations but also by non-financial and strategic considerations.</w:t>
      </w:r>
    </w:p>
    <w:p w14:paraId="15253988" w14:textId="036BE9D3" w:rsidR="00733FD1" w:rsidRPr="00251B39" w:rsidRDefault="008E1A3D" w:rsidP="68A3781E">
      <w:pPr>
        <w:jc w:val="both"/>
        <w:rPr>
          <w:sz w:val="18"/>
          <w:szCs w:val="18"/>
        </w:rPr>
      </w:pPr>
      <w:r>
        <w:rPr>
          <w:sz w:val="18"/>
        </w:rPr>
        <w:t xml:space="preserve">Within the ECBA it shall be assessed whether the public benefits of the project will exceed or at least justify the total costs of the project. </w:t>
      </w:r>
      <w:bookmarkStart w:id="94" w:name="_Toc2273353"/>
      <w:bookmarkStart w:id="95" w:name="_Toc2273422"/>
      <w:bookmarkStart w:id="96" w:name="_Toc2273497"/>
      <w:bookmarkStart w:id="97" w:name="_Toc2273566"/>
      <w:bookmarkEnd w:id="94"/>
      <w:bookmarkEnd w:id="95"/>
      <w:bookmarkEnd w:id="96"/>
      <w:bookmarkEnd w:id="97"/>
      <w:r>
        <w:rPr>
          <w:sz w:val="18"/>
        </w:rPr>
        <w:t>Therefore, the ECBA shall identify the financial costs of the project, project its potential revenues, and analyse its quantifiable social, economic, environmental and other benefits and losses, such as:</w:t>
      </w:r>
    </w:p>
    <w:p w14:paraId="0F73AD34" w14:textId="1A6E4B17" w:rsidR="00733FD1" w:rsidRPr="00251B39" w:rsidRDefault="4F0EA752" w:rsidP="008B6449">
      <w:pPr>
        <w:pStyle w:val="Sarakstarindkopa"/>
        <w:numPr>
          <w:ilvl w:val="0"/>
          <w:numId w:val="31"/>
        </w:numPr>
        <w:jc w:val="both"/>
        <w:rPr>
          <w:sz w:val="18"/>
          <w:szCs w:val="18"/>
        </w:rPr>
      </w:pPr>
      <w:r>
        <w:rPr>
          <w:sz w:val="18"/>
        </w:rPr>
        <w:t>reduced time spent on the road by road users,</w:t>
      </w:r>
    </w:p>
    <w:p w14:paraId="26ADE9A0" w14:textId="78ACCE49" w:rsidR="00733FD1" w:rsidRPr="00251B39" w:rsidRDefault="4F0EA752" w:rsidP="008B6449">
      <w:pPr>
        <w:pStyle w:val="Sarakstarindkopa"/>
        <w:numPr>
          <w:ilvl w:val="0"/>
          <w:numId w:val="31"/>
        </w:numPr>
        <w:jc w:val="both"/>
        <w:rPr>
          <w:sz w:val="18"/>
          <w:szCs w:val="18"/>
        </w:rPr>
      </w:pPr>
      <w:r>
        <w:rPr>
          <w:sz w:val="18"/>
        </w:rPr>
        <w:t>reduced number of road accidents,</w:t>
      </w:r>
    </w:p>
    <w:p w14:paraId="5C113D39" w14:textId="4816A6CB" w:rsidR="00733FD1" w:rsidRPr="00251B39" w:rsidRDefault="68A3781E" w:rsidP="008B6449">
      <w:pPr>
        <w:pStyle w:val="Sarakstarindkopa"/>
        <w:numPr>
          <w:ilvl w:val="0"/>
          <w:numId w:val="31"/>
        </w:numPr>
        <w:jc w:val="both"/>
        <w:rPr>
          <w:sz w:val="18"/>
          <w:szCs w:val="18"/>
        </w:rPr>
      </w:pPr>
      <w:r>
        <w:rPr>
          <w:sz w:val="18"/>
        </w:rPr>
        <w:t>reduced fuel consumption or vehicle depreciation,</w:t>
      </w:r>
    </w:p>
    <w:p w14:paraId="313008E2" w14:textId="27D096B3" w:rsidR="00733FD1" w:rsidRPr="00251B39" w:rsidRDefault="2FC4C6FB" w:rsidP="008B6449">
      <w:pPr>
        <w:pStyle w:val="Sarakstarindkopa"/>
        <w:numPr>
          <w:ilvl w:val="0"/>
          <w:numId w:val="31"/>
        </w:numPr>
        <w:jc w:val="both"/>
        <w:rPr>
          <w:sz w:val="18"/>
          <w:szCs w:val="18"/>
        </w:rPr>
      </w:pPr>
      <w:r>
        <w:rPr>
          <w:sz w:val="18"/>
        </w:rPr>
        <w:t>reduced CO</w:t>
      </w:r>
      <w:r>
        <w:rPr>
          <w:sz w:val="18"/>
          <w:vertAlign w:val="subscript"/>
        </w:rPr>
        <w:t>2</w:t>
      </w:r>
      <w:r>
        <w:rPr>
          <w:sz w:val="18"/>
        </w:rPr>
        <w:t xml:space="preserve"> emissions, </w:t>
      </w:r>
    </w:p>
    <w:p w14:paraId="295519AA" w14:textId="3C16229E" w:rsidR="00733FD1" w:rsidRDefault="2FC4C6FB" w:rsidP="008B6449">
      <w:pPr>
        <w:pStyle w:val="Sarakstarindkopa"/>
        <w:numPr>
          <w:ilvl w:val="0"/>
          <w:numId w:val="31"/>
        </w:numPr>
        <w:jc w:val="both"/>
        <w:rPr>
          <w:sz w:val="18"/>
          <w:szCs w:val="18"/>
        </w:rPr>
      </w:pPr>
      <w:r>
        <w:rPr>
          <w:sz w:val="18"/>
        </w:rPr>
        <w:t xml:space="preserve">improved energy efficiency or functionality, </w:t>
      </w:r>
    </w:p>
    <w:p w14:paraId="31FEBD9E" w14:textId="37C5E201" w:rsidR="00E262B1" w:rsidRPr="00251B39" w:rsidRDefault="00E262B1" w:rsidP="008B6449">
      <w:pPr>
        <w:pStyle w:val="Sarakstarindkopa"/>
        <w:numPr>
          <w:ilvl w:val="0"/>
          <w:numId w:val="31"/>
        </w:numPr>
        <w:jc w:val="both"/>
        <w:rPr>
          <w:sz w:val="18"/>
          <w:szCs w:val="18"/>
        </w:rPr>
      </w:pPr>
      <w:r>
        <w:rPr>
          <w:sz w:val="18"/>
        </w:rPr>
        <w:t xml:space="preserve">reduced response times for emergency services, </w:t>
      </w:r>
    </w:p>
    <w:p w14:paraId="262CF22C" w14:textId="02EF5704" w:rsidR="00733FD1" w:rsidRPr="00E262B1" w:rsidRDefault="00556F0F" w:rsidP="7DB09CA3">
      <w:pPr>
        <w:pStyle w:val="Sarakstarindkopa"/>
        <w:numPr>
          <w:ilvl w:val="0"/>
          <w:numId w:val="31"/>
        </w:numPr>
        <w:jc w:val="both"/>
        <w:rPr>
          <w:sz w:val="18"/>
          <w:szCs w:val="18"/>
        </w:rPr>
      </w:pPr>
      <w:r>
        <w:rPr>
          <w:noProof/>
          <w:sz w:val="18"/>
        </w:rPr>
        <mc:AlternateContent>
          <mc:Choice Requires="wps">
            <w:drawing>
              <wp:anchor distT="118745" distB="118745" distL="114300" distR="114300" simplePos="0" relativeHeight="251658269" behindDoc="0" locked="0" layoutInCell="0" allowOverlap="1" wp14:anchorId="7E5E39F5" wp14:editId="020ED388">
                <wp:simplePos x="0" y="0"/>
                <wp:positionH relativeFrom="column">
                  <wp:posOffset>4152900</wp:posOffset>
                </wp:positionH>
                <wp:positionV relativeFrom="paragraph">
                  <wp:posOffset>255905</wp:posOffset>
                </wp:positionV>
                <wp:extent cx="1898650" cy="4762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476250"/>
                        </a:xfrm>
                        <a:prstGeom prst="rect">
                          <a:avLst/>
                        </a:prstGeom>
                        <a:noFill/>
                        <a:extLst>
                          <a:ext uri="{53640926-AAD7-44D8-BBD7-CCE9431645EC}">
                            <a14:shadowObscured xmlns:a14="http://schemas.microsoft.com/office/drawing/2010/main" val="1"/>
                          </a:ext>
                        </a:extLst>
                      </wps:spPr>
                      <wps:txbx>
                        <w:txbxContent>
                          <w:p w14:paraId="3C451935" w14:textId="6DAE131D" w:rsidR="00EF0F26" w:rsidRPr="00244282" w:rsidRDefault="00EF0F26" w:rsidP="00556F0F">
                            <w:pPr>
                              <w:pBdr>
                                <w:left w:val="single" w:sz="12" w:space="9" w:color="86BC25" w:themeColor="accent1"/>
                              </w:pBdr>
                              <w:spacing w:after="0"/>
                              <w:rPr>
                                <w:color w:val="767171" w:themeColor="background2" w:themeShade="80"/>
                                <w:sz w:val="16"/>
                                <w:szCs w:val="16"/>
                              </w:rPr>
                            </w:pPr>
                            <w:r>
                              <w:rPr>
                                <w:i/>
                                <w:color w:val="767171" w:themeColor="background2" w:themeShade="80"/>
                                <w:sz w:val="16"/>
                              </w:rPr>
                              <w:t>The discount rate to be used for the ECBA is specified in Chapter 4.2, key assumption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E5E39F5" id="_x0000_s1060" type="#_x0000_t202" style="position:absolute;left:0;text-align:left;margin-left:327pt;margin-top:20.15pt;width:149.5pt;height:37.5pt;z-index:251658269;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" o:allowincell="f" filled="f" stroked="f">
                <v:textbox>
                  <w:txbxContent>
                    <w:p w14:paraId="3C451935" w14:textId="6DAE131D" w:rsidR="00EF0F26" w:rsidRPr="00244282" w:rsidRDefault="00EF0F26" w:rsidP="00556F0F">
                      <w:pPr>
                        <w:pBdr>
                          <w:left w:val="single" w:sz="12" w:space="9" w:color="86BC25" w:themeColor="accent1"/>
                        </w:pBdr>
                        <w:spacing w:after="0"/>
                        <w:rPr>
                          <w:color w:val="767171" w:themeColor="background2" w:themeShade="80"/>
                          <w:sz w:val="16"/>
                          <w:szCs w:val="16"/>
                        </w:rPr>
                      </w:pPr>
                      <w:r>
                        <w:rPr>
                          <w:i/>
                          <w:color w:val="767171" w:themeColor="background2" w:themeShade="80"/>
                          <w:sz w:val="16"/>
                        </w:rPr>
                        <w:t>The discount rate to be used for the ECBA is specified in Chapter 4.2, key assumption 3.</w:t>
                      </w:r>
                    </w:p>
                  </w:txbxContent>
                </v:textbox>
                <w10:wrap type="square"/>
              </v:shape>
            </w:pict>
          </mc:Fallback>
        </mc:AlternateContent>
      </w:r>
      <w:r>
        <w:rPr>
          <w:sz w:val="18"/>
        </w:rPr>
        <w:t xml:space="preserve">increased speed of delivery of various services, etc.  </w:t>
      </w:r>
    </w:p>
    <w:p w14:paraId="30ACB709" w14:textId="424E478B" w:rsidR="00FD04D7" w:rsidRPr="00556F0F" w:rsidRDefault="68A3781E" w:rsidP="00556F0F">
      <w:pPr>
        <w:spacing w:before="240" w:after="0"/>
        <w:jc w:val="both"/>
        <w:rPr>
          <w:sz w:val="18"/>
          <w:szCs w:val="18"/>
        </w:rPr>
      </w:pPr>
      <w:r>
        <w:rPr>
          <w:sz w:val="18"/>
        </w:rPr>
        <w:t xml:space="preserve">The ECBA results in an economic NPV of the investment, expressed as the difference between the total net revenues and the costs of the project over its lifetime, which is discounted using an appropriate discount rate. </w:t>
      </w:r>
    </w:p>
    <w:p w14:paraId="41E4DAB3" w14:textId="58C1A575" w:rsidR="00556F0F" w:rsidRDefault="00556F0F" w:rsidP="00556F0F">
      <w:pPr>
        <w:spacing w:before="240"/>
        <w:jc w:val="both"/>
        <w:rPr>
          <w:sz w:val="18"/>
          <w:szCs w:val="18"/>
        </w:rPr>
      </w:pPr>
      <w:r>
        <w:rPr>
          <w:sz w:val="18"/>
        </w:rPr>
        <w:lastRenderedPageBreak/>
        <w:t>The positive and negative financial, social, economic, environmental and other effects of the project on national, regional, local and sectoral development, which cannot be quantified, shall be included in the descriptive section of the FEC. Examples of such effects include:</w:t>
      </w:r>
    </w:p>
    <w:p w14:paraId="03A6D3B5" w14:textId="1268544A" w:rsidR="00556F0F" w:rsidRPr="00E262B1" w:rsidRDefault="00556F0F" w:rsidP="008B6449">
      <w:pPr>
        <w:pStyle w:val="Sarakstarindkopa"/>
        <w:numPr>
          <w:ilvl w:val="0"/>
          <w:numId w:val="31"/>
        </w:numPr>
        <w:jc w:val="both"/>
        <w:rPr>
          <w:sz w:val="18"/>
          <w:szCs w:val="18"/>
        </w:rPr>
      </w:pPr>
      <w:r>
        <w:rPr>
          <w:sz w:val="18"/>
        </w:rPr>
        <w:t>improving working conditions for public administration staff,</w:t>
      </w:r>
    </w:p>
    <w:p w14:paraId="32146F97" w14:textId="77777777" w:rsidR="00556F0F" w:rsidRDefault="00556F0F" w:rsidP="008B6449">
      <w:pPr>
        <w:pStyle w:val="Sarakstarindkopa"/>
        <w:numPr>
          <w:ilvl w:val="0"/>
          <w:numId w:val="31"/>
        </w:numPr>
        <w:jc w:val="both"/>
        <w:rPr>
          <w:sz w:val="18"/>
          <w:szCs w:val="18"/>
        </w:rPr>
      </w:pPr>
      <w:r>
        <w:rPr>
          <w:sz w:val="18"/>
        </w:rPr>
        <w:t>more efficient performance of public functions,</w:t>
      </w:r>
    </w:p>
    <w:p w14:paraId="743760CD" w14:textId="03A509E8" w:rsidR="00C67986" w:rsidRDefault="00556F0F" w:rsidP="008B6449">
      <w:pPr>
        <w:pStyle w:val="Sarakstarindkopa"/>
        <w:numPr>
          <w:ilvl w:val="0"/>
          <w:numId w:val="31"/>
        </w:numPr>
        <w:jc w:val="both"/>
        <w:rPr>
          <w:sz w:val="18"/>
          <w:szCs w:val="18"/>
        </w:rPr>
      </w:pPr>
      <w:r>
        <w:rPr>
          <w:sz w:val="18"/>
        </w:rPr>
        <w:t>residents' frustration with increased traffic volumes,</w:t>
      </w:r>
    </w:p>
    <w:p w14:paraId="4C922C6B" w14:textId="1FC2189F" w:rsidR="70C922BD" w:rsidRPr="00C67986" w:rsidRDefault="00556F0F" w:rsidP="008B6449">
      <w:pPr>
        <w:pStyle w:val="Sarakstarindkopa"/>
        <w:numPr>
          <w:ilvl w:val="0"/>
          <w:numId w:val="31"/>
        </w:numPr>
        <w:jc w:val="both"/>
        <w:rPr>
          <w:sz w:val="18"/>
          <w:szCs w:val="18"/>
        </w:rPr>
      </w:pPr>
      <w:r>
        <w:rPr>
          <w:sz w:val="18"/>
        </w:rPr>
        <w:t>traffic problems in the surrounding streets.</w:t>
      </w:r>
    </w:p>
    <w:p w14:paraId="3FB28F46" w14:textId="0CF849BB" w:rsidR="00FC3838" w:rsidRPr="00251B39" w:rsidRDefault="00447980" w:rsidP="008B6449">
      <w:pPr>
        <w:pStyle w:val="Virsraksts2"/>
        <w:numPr>
          <w:ilvl w:val="1"/>
          <w:numId w:val="16"/>
        </w:numPr>
        <w:rPr>
          <w:rFonts w:asciiTheme="minorHAnsi" w:hAnsiTheme="minorHAnsi"/>
        </w:rPr>
      </w:pPr>
      <w:bookmarkStart w:id="98" w:name="_Projekta_iespējamības_novērtējums"/>
      <w:bookmarkStart w:id="99" w:name="_Toc3205482"/>
      <w:bookmarkStart w:id="100" w:name="_Toc3246832"/>
      <w:bookmarkStart w:id="101" w:name="_Toc3249541"/>
      <w:bookmarkStart w:id="102" w:name="_Toc3759963"/>
      <w:bookmarkStart w:id="103" w:name="_Toc3805000"/>
      <w:bookmarkStart w:id="104" w:name="_Toc178586363"/>
      <w:bookmarkEnd w:id="98"/>
      <w:r w:rsidRPr="005D3F46">
        <w:rPr>
          <w:noProof/>
          <w:sz w:val="18"/>
        </w:rPr>
        <mc:AlternateContent>
          <mc:Choice Requires="wps">
            <w:drawing>
              <wp:anchor distT="45720" distB="45720" distL="114300" distR="114300" simplePos="0" relativeHeight="251658303" behindDoc="0" locked="0" layoutInCell="1" allowOverlap="1" wp14:anchorId="75CEBC66" wp14:editId="76DA8724">
                <wp:simplePos x="0" y="0"/>
                <wp:positionH relativeFrom="column">
                  <wp:posOffset>4110355</wp:posOffset>
                </wp:positionH>
                <wp:positionV relativeFrom="paragraph">
                  <wp:posOffset>529590</wp:posOffset>
                </wp:positionV>
                <wp:extent cx="1240155" cy="325755"/>
                <wp:effectExtent l="0" t="0" r="0" b="0"/>
                <wp:wrapNone/>
                <wp:docPr id="1798906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5755"/>
                        </a:xfrm>
                        <a:prstGeom prst="rect">
                          <a:avLst/>
                        </a:prstGeom>
                        <a:solidFill>
                          <a:schemeClr val="bg1"/>
                        </a:solidFill>
                        <a:ln w="9525">
                          <a:noFill/>
                          <a:miter lim="800000"/>
                          <a:headEnd/>
                          <a:tailEnd/>
                        </a:ln>
                      </wps:spPr>
                      <wps:txbx>
                        <w:txbxContent>
                          <w:p w14:paraId="5A3C36FE" w14:textId="77777777" w:rsidR="00447980" w:rsidRPr="00A80C38" w:rsidRDefault="00447980" w:rsidP="00447980">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EBC66" id="_x0000_s1061" type="#_x0000_t202" style="position:absolute;left:0;text-align:left;margin-left:323.65pt;margin-top:41.7pt;width:97.65pt;height:25.6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" fillcolor="white [3212]" stroked="f">
                <v:textbox>
                  <w:txbxContent>
                    <w:p w14:paraId="5A3C36FE" w14:textId="77777777" w:rsidR="00447980" w:rsidRPr="00A80C38" w:rsidRDefault="00447980" w:rsidP="00447980">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r w:rsidRPr="005D3F46">
        <w:rPr>
          <w:noProof/>
          <w:sz w:val="18"/>
        </w:rPr>
        <mc:AlternateContent>
          <mc:Choice Requires="wps">
            <w:drawing>
              <wp:anchor distT="45720" distB="45720" distL="114300" distR="114300" simplePos="0" relativeHeight="251658301" behindDoc="0" locked="0" layoutInCell="1" allowOverlap="1" wp14:anchorId="32706BBD" wp14:editId="13BBA381">
                <wp:simplePos x="0" y="0"/>
                <wp:positionH relativeFrom="column">
                  <wp:posOffset>4261485</wp:posOffset>
                </wp:positionH>
                <wp:positionV relativeFrom="paragraph">
                  <wp:posOffset>179705</wp:posOffset>
                </wp:positionV>
                <wp:extent cx="1311910" cy="341630"/>
                <wp:effectExtent l="0" t="0" r="2540" b="1270"/>
                <wp:wrapNone/>
                <wp:docPr id="83229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41630"/>
                        </a:xfrm>
                        <a:prstGeom prst="rect">
                          <a:avLst/>
                        </a:prstGeom>
                        <a:solidFill>
                          <a:schemeClr val="bg1">
                            <a:lumMod val="75000"/>
                          </a:schemeClr>
                        </a:solidFill>
                        <a:ln w="9525">
                          <a:noFill/>
                          <a:miter lim="800000"/>
                          <a:headEnd/>
                          <a:tailEnd/>
                        </a:ln>
                      </wps:spPr>
                      <wps:txbx>
                        <w:txbxContent>
                          <w:p w14:paraId="0D102A25" w14:textId="77777777" w:rsidR="00447980" w:rsidRPr="00B431B1" w:rsidRDefault="00447980" w:rsidP="00447980">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6BBD" id="_x0000_s1062" type="#_x0000_t202" style="position:absolute;left:0;text-align:left;margin-left:335.55pt;margin-top:14.15pt;width:103.3pt;height:26.9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" fillcolor="#bfbfbf [2412]" stroked="f">
                <v:textbox>
                  <w:txbxContent>
                    <w:p w14:paraId="0D102A25" w14:textId="77777777" w:rsidR="00447980" w:rsidRPr="00B431B1" w:rsidRDefault="00447980" w:rsidP="00447980">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Pr="005D3F46">
        <w:rPr>
          <w:noProof/>
          <w:sz w:val="18"/>
        </w:rPr>
        <mc:AlternateContent>
          <mc:Choice Requires="wps">
            <w:drawing>
              <wp:anchor distT="45720" distB="45720" distL="114300" distR="114300" simplePos="0" relativeHeight="251658300" behindDoc="0" locked="0" layoutInCell="1" allowOverlap="1" wp14:anchorId="16D89DAD" wp14:editId="1326CC0E">
                <wp:simplePos x="0" y="0"/>
                <wp:positionH relativeFrom="column">
                  <wp:posOffset>2336800</wp:posOffset>
                </wp:positionH>
                <wp:positionV relativeFrom="paragraph">
                  <wp:posOffset>180340</wp:posOffset>
                </wp:positionV>
                <wp:extent cx="1208405" cy="317500"/>
                <wp:effectExtent l="0" t="0" r="0" b="6350"/>
                <wp:wrapNone/>
                <wp:docPr id="21093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solidFill>
                          <a:schemeClr val="accent1"/>
                        </a:solidFill>
                        <a:ln w="9525">
                          <a:noFill/>
                          <a:miter lim="800000"/>
                          <a:headEnd/>
                          <a:tailEnd/>
                        </a:ln>
                      </wps:spPr>
                      <wps:txbx>
                        <w:txbxContent>
                          <w:p w14:paraId="7A901182" w14:textId="77777777" w:rsidR="00447980" w:rsidRPr="00447980" w:rsidRDefault="00447980" w:rsidP="00447980">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89DAD" id="_x0000_s1063" type="#_x0000_t202" style="position:absolute;left:0;text-align:left;margin-left:184pt;margin-top:14.2pt;width:95.15pt;height:2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" fillcolor="#86bc25 [3204]" stroked="f">
                <v:textbox>
                  <w:txbxContent>
                    <w:p w14:paraId="7A901182" w14:textId="77777777" w:rsidR="00447980" w:rsidRPr="00447980" w:rsidRDefault="00447980" w:rsidP="00447980">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Pr="005D3F46">
        <w:rPr>
          <w:noProof/>
          <w:sz w:val="18"/>
        </w:rPr>
        <mc:AlternateContent>
          <mc:Choice Requires="wps">
            <w:drawing>
              <wp:anchor distT="45720" distB="45720" distL="114300" distR="114300" simplePos="0" relativeHeight="251658299" behindDoc="0" locked="0" layoutInCell="1" allowOverlap="1" wp14:anchorId="689FA775" wp14:editId="5CE23AD8">
                <wp:simplePos x="0" y="0"/>
                <wp:positionH relativeFrom="column">
                  <wp:posOffset>111125</wp:posOffset>
                </wp:positionH>
                <wp:positionV relativeFrom="paragraph">
                  <wp:posOffset>528955</wp:posOffset>
                </wp:positionV>
                <wp:extent cx="1407160" cy="325755"/>
                <wp:effectExtent l="0" t="0" r="2540" b="0"/>
                <wp:wrapNone/>
                <wp:docPr id="34264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25755"/>
                        </a:xfrm>
                        <a:prstGeom prst="rect">
                          <a:avLst/>
                        </a:prstGeom>
                        <a:solidFill>
                          <a:schemeClr val="bg1"/>
                        </a:solidFill>
                        <a:ln w="9525">
                          <a:noFill/>
                          <a:miter lim="800000"/>
                          <a:headEnd/>
                          <a:tailEnd/>
                        </a:ln>
                      </wps:spPr>
                      <wps:txbx>
                        <w:txbxContent>
                          <w:p w14:paraId="1F4B4CA9" w14:textId="77777777" w:rsidR="00447980" w:rsidRPr="00447980" w:rsidRDefault="00447980" w:rsidP="00447980">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FA775" id="_x0000_s1064" type="#_x0000_t202" style="position:absolute;left:0;text-align:left;margin-left:8.75pt;margin-top:41.65pt;width:110.8pt;height:25.6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" fillcolor="white [3212]" stroked="f">
                <v:textbox>
                  <w:txbxContent>
                    <w:p w14:paraId="1F4B4CA9" w14:textId="77777777" w:rsidR="00447980" w:rsidRPr="00447980" w:rsidRDefault="00447980" w:rsidP="00447980">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v:textbox>
              </v:shape>
            </w:pict>
          </mc:Fallback>
        </mc:AlternateContent>
      </w:r>
      <w:r w:rsidRPr="005D3F46">
        <w:rPr>
          <w:noProof/>
          <w:sz w:val="18"/>
        </w:rPr>
        <mc:AlternateContent>
          <mc:Choice Requires="wps">
            <w:drawing>
              <wp:anchor distT="45720" distB="45720" distL="114300" distR="114300" simplePos="0" relativeHeight="251658298" behindDoc="0" locked="0" layoutInCell="1" allowOverlap="1" wp14:anchorId="40055A78" wp14:editId="30A645E2">
                <wp:simplePos x="0" y="0"/>
                <wp:positionH relativeFrom="column">
                  <wp:posOffset>269240</wp:posOffset>
                </wp:positionH>
                <wp:positionV relativeFrom="paragraph">
                  <wp:posOffset>298450</wp:posOffset>
                </wp:positionV>
                <wp:extent cx="1407160" cy="198755"/>
                <wp:effectExtent l="0" t="0" r="2540" b="0"/>
                <wp:wrapNone/>
                <wp:docPr id="987797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bg1">
                            <a:lumMod val="75000"/>
                          </a:schemeClr>
                        </a:solidFill>
                        <a:ln w="9525">
                          <a:noFill/>
                          <a:miter lim="800000"/>
                          <a:headEnd/>
                          <a:tailEnd/>
                        </a:ln>
                      </wps:spPr>
                      <wps:txbx>
                        <w:txbxContent>
                          <w:p w14:paraId="1FAE3922" w14:textId="77777777" w:rsidR="00447980" w:rsidRPr="00447980" w:rsidRDefault="00447980" w:rsidP="00447980">
                            <w:pPr>
                              <w:jc w:val="center"/>
                              <w:rPr>
                                <w:b/>
                                <w:bCs/>
                                <w:color w:val="595959" w:themeColor="text1" w:themeTint="A6"/>
                                <w:sz w:val="14"/>
                                <w:szCs w:val="14"/>
                              </w:rPr>
                            </w:pPr>
                            <w:r w:rsidRPr="00447980">
                              <w:rPr>
                                <w:b/>
                                <w:bCs/>
                                <w:color w:val="595959" w:themeColor="text1" w:themeTint="A6"/>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55A78" id="_x0000_s1065" type="#_x0000_t202" style="position:absolute;left:0;text-align:left;margin-left:21.2pt;margin-top:23.5pt;width:110.8pt;height:15.6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" fillcolor="#bfbfbf [2412]" stroked="f">
                <v:textbox>
                  <w:txbxContent>
                    <w:p w14:paraId="1FAE3922" w14:textId="77777777" w:rsidR="00447980" w:rsidRPr="00447980" w:rsidRDefault="00447980" w:rsidP="00447980">
                      <w:pPr>
                        <w:jc w:val="center"/>
                        <w:rPr>
                          <w:b/>
                          <w:bCs/>
                          <w:color w:val="595959" w:themeColor="text1" w:themeTint="A6"/>
                          <w:sz w:val="14"/>
                          <w:szCs w:val="14"/>
                        </w:rPr>
                      </w:pPr>
                      <w:r w:rsidRPr="00447980">
                        <w:rPr>
                          <w:b/>
                          <w:bCs/>
                          <w:color w:val="595959" w:themeColor="text1" w:themeTint="A6"/>
                          <w:sz w:val="14"/>
                          <w:szCs w:val="14"/>
                        </w:rPr>
                        <w:t>Prior to FEC preparation</w:t>
                      </w:r>
                    </w:p>
                  </w:txbxContent>
                </v:textbox>
              </v:shape>
            </w:pict>
          </mc:Fallback>
        </mc:AlternateContent>
      </w:r>
      <w:r w:rsidR="68A3781E">
        <w:rPr>
          <w:rFonts w:asciiTheme="minorHAnsi" w:hAnsiTheme="minorHAnsi"/>
        </w:rPr>
        <w:t>Project Feasibility Assessment</w:t>
      </w:r>
      <w:bookmarkEnd w:id="99"/>
      <w:bookmarkEnd w:id="100"/>
      <w:bookmarkEnd w:id="101"/>
      <w:bookmarkEnd w:id="102"/>
      <w:bookmarkEnd w:id="103"/>
      <w:bookmarkEnd w:id="104"/>
      <w:r w:rsidR="68A3781E">
        <w:rPr>
          <w:rFonts w:asciiTheme="minorHAnsi" w:hAnsiTheme="minorHAnsi"/>
        </w:rPr>
        <w:t xml:space="preserve"> </w:t>
      </w:r>
      <w:bookmarkStart w:id="105" w:name="_Toc2273357"/>
      <w:bookmarkStart w:id="106" w:name="_Toc2273426"/>
      <w:bookmarkStart w:id="107" w:name="_Toc2273501"/>
      <w:bookmarkStart w:id="108" w:name="_Toc2273570"/>
      <w:bookmarkEnd w:id="105"/>
      <w:bookmarkEnd w:id="106"/>
      <w:bookmarkEnd w:id="107"/>
      <w:bookmarkEnd w:id="108"/>
    </w:p>
    <w:p w14:paraId="325328F0" w14:textId="18968D25" w:rsidR="00EA6059" w:rsidRPr="00251B39" w:rsidRDefault="003428F1" w:rsidP="68A3781E">
      <w:r w:rsidRPr="005D3F46">
        <w:rPr>
          <w:noProof/>
          <w:sz w:val="18"/>
        </w:rPr>
        <mc:AlternateContent>
          <mc:Choice Requires="wps">
            <w:drawing>
              <wp:anchor distT="45720" distB="45720" distL="114300" distR="114300" simplePos="0" relativeHeight="251658302" behindDoc="0" locked="0" layoutInCell="1" allowOverlap="1" wp14:anchorId="04477A85" wp14:editId="4E99F54D">
                <wp:simplePos x="0" y="0"/>
                <wp:positionH relativeFrom="column">
                  <wp:posOffset>2129790</wp:posOffset>
                </wp:positionH>
                <wp:positionV relativeFrom="paragraph">
                  <wp:posOffset>278765</wp:posOffset>
                </wp:positionV>
                <wp:extent cx="1630018" cy="325755"/>
                <wp:effectExtent l="0" t="0" r="8890" b="0"/>
                <wp:wrapNone/>
                <wp:docPr id="1117546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325755"/>
                        </a:xfrm>
                        <a:prstGeom prst="rect">
                          <a:avLst/>
                        </a:prstGeom>
                        <a:solidFill>
                          <a:schemeClr val="bg1"/>
                        </a:solidFill>
                        <a:ln w="9525">
                          <a:noFill/>
                          <a:miter lim="800000"/>
                          <a:headEnd/>
                          <a:tailEnd/>
                        </a:ln>
                      </wps:spPr>
                      <wps:txbx>
                        <w:txbxContent>
                          <w:p w14:paraId="2D895F9B" w14:textId="77777777" w:rsidR="00447980" w:rsidRPr="00447980" w:rsidRDefault="00447980" w:rsidP="00447980">
                            <w:pPr>
                              <w:rPr>
                                <w:b/>
                                <w:bCs/>
                                <w:sz w:val="14"/>
                                <w:szCs w:val="14"/>
                                <w:lang w:val="en-GB"/>
                              </w:rPr>
                            </w:pPr>
                            <w:r w:rsidRPr="00447980">
                              <w:rPr>
                                <w:b/>
                                <w:bCs/>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77A85" id="_x0000_s1066" type="#_x0000_t202" style="position:absolute;margin-left:167.7pt;margin-top:21.95pt;width:128.35pt;height:25.6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" fillcolor="white [3212]" stroked="f">
                <v:textbox>
                  <w:txbxContent>
                    <w:p w14:paraId="2D895F9B" w14:textId="77777777" w:rsidR="00447980" w:rsidRPr="00447980" w:rsidRDefault="00447980" w:rsidP="00447980">
                      <w:pPr>
                        <w:rPr>
                          <w:b/>
                          <w:bCs/>
                          <w:sz w:val="14"/>
                          <w:szCs w:val="14"/>
                          <w:lang w:val="en-GB"/>
                        </w:rPr>
                      </w:pPr>
                      <w:r w:rsidRPr="00447980">
                        <w:rPr>
                          <w:b/>
                          <w:bCs/>
                          <w:sz w:val="14"/>
                          <w:szCs w:val="14"/>
                          <w:lang w:val="en-GB"/>
                        </w:rPr>
                        <w:t>Assessing project implementation alternatives</w:t>
                      </w:r>
                    </w:p>
                  </w:txbxContent>
                </v:textbox>
              </v:shape>
            </w:pict>
          </mc:Fallback>
        </mc:AlternateContent>
      </w:r>
      <w:r w:rsidR="009C280C">
        <w:rPr>
          <w:noProof/>
          <w:color w:val="2B579A"/>
          <w:shd w:val="clear" w:color="auto" w:fill="E6E6E6"/>
        </w:rPr>
        <mc:AlternateContent>
          <mc:Choice Requires="wps">
            <w:drawing>
              <wp:anchor distT="45720" distB="45720" distL="114300" distR="114300" simplePos="0" relativeHeight="251658243" behindDoc="0" locked="0" layoutInCell="1" allowOverlap="1" wp14:anchorId="182EAA6E" wp14:editId="7CBDB2A5">
                <wp:simplePos x="0" y="0"/>
                <wp:positionH relativeFrom="column">
                  <wp:posOffset>28575</wp:posOffset>
                </wp:positionH>
                <wp:positionV relativeFrom="paragraph">
                  <wp:posOffset>781685</wp:posOffset>
                </wp:positionV>
                <wp:extent cx="5865495" cy="1243965"/>
                <wp:effectExtent l="0" t="0" r="20955" b="1333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243965"/>
                        </a:xfrm>
                        <a:prstGeom prst="rect">
                          <a:avLst/>
                        </a:prstGeom>
                        <a:solidFill>
                          <a:srgbClr val="FFFFFF"/>
                        </a:solidFill>
                        <a:ln w="9525">
                          <a:solidFill>
                            <a:schemeClr val="tx2"/>
                          </a:solidFill>
                          <a:miter lim="800000"/>
                          <a:headEnd/>
                          <a:tailEnd/>
                        </a:ln>
                      </wps:spPr>
                      <wps:txbx>
                        <w:txbxContent>
                          <w:p w14:paraId="251CEC6C" w14:textId="246C9241" w:rsidR="00EF0F26" w:rsidRPr="0015600C" w:rsidRDefault="00746F6D" w:rsidP="009C280C">
                            <w:pPr>
                              <w:spacing w:after="120"/>
                              <w:rPr>
                                <w:sz w:val="20"/>
                              </w:rPr>
                            </w:pPr>
                            <w:hyperlink w:anchor="_Pielikums_B._Izmantoto" w:history="1">
                              <w:r>
                                <w:rPr>
                                  <w:rStyle w:val="Hipersaite"/>
                                  <w:sz w:val="18"/>
                                </w:rPr>
                                <w:t>Documents to be used</w:t>
                              </w:r>
                            </w:hyperlink>
                            <w:r>
                              <w:rPr>
                                <w:sz w:val="20"/>
                              </w:rPr>
                              <w:t>:</w:t>
                            </w:r>
                          </w:p>
                          <w:p w14:paraId="61A6A0A8" w14:textId="06906FE9" w:rsidR="00EF0F26" w:rsidRPr="009C280C" w:rsidRDefault="00EF0F26" w:rsidP="008B6449">
                            <w:pPr>
                              <w:pStyle w:val="Sarakstarindkopa"/>
                              <w:numPr>
                                <w:ilvl w:val="0"/>
                                <w:numId w:val="20"/>
                              </w:numPr>
                              <w:rPr>
                                <w:rFonts w:ascii="Verdana" w:hAnsi="Verdana"/>
                                <w:sz w:val="18"/>
                                <w:szCs w:val="18"/>
                              </w:rPr>
                            </w:pPr>
                            <w:r>
                              <w:rPr>
                                <w:rStyle w:val="Hipersaite"/>
                                <w:color w:val="auto"/>
                                <w:sz w:val="18"/>
                                <w:u w:val="none"/>
                              </w:rPr>
                              <w:t>A Guide to Preparing a PPP Project</w:t>
                            </w:r>
                            <w:r>
                              <w:rPr>
                                <w:sz w:val="18"/>
                              </w:rPr>
                              <w:t xml:space="preserve"> </w:t>
                            </w:r>
                            <w:r>
                              <w:rPr>
                                <w:sz w:val="18"/>
                              </w:rPr>
                              <w:tab/>
                            </w:r>
                            <w:r>
                              <w:rPr>
                                <w:sz w:val="18"/>
                              </w:rPr>
                              <w:tab/>
                              <w:t>7. Aid Law</w:t>
                            </w:r>
                          </w:p>
                          <w:p w14:paraId="70354ED8" w14:textId="4DE3DAC2" w:rsidR="00EF0F26" w:rsidRPr="00CA58FA" w:rsidRDefault="00EF0F26" w:rsidP="008B6449">
                            <w:pPr>
                              <w:pStyle w:val="Sarakstarindkopa"/>
                              <w:numPr>
                                <w:ilvl w:val="0"/>
                                <w:numId w:val="20"/>
                              </w:numPr>
                              <w:rPr>
                                <w:rFonts w:ascii="Verdana" w:hAnsi="Verdana"/>
                                <w:sz w:val="18"/>
                                <w:szCs w:val="18"/>
                              </w:rPr>
                            </w:pPr>
                            <w:r>
                              <w:rPr>
                                <w:rFonts w:ascii="Verdana" w:hAnsi="Verdana"/>
                                <w:sz w:val="18"/>
                              </w:rPr>
                              <w:t>A Guide to ECBA Preparation</w:t>
                            </w:r>
                            <w:r>
                              <w:rPr>
                                <w:rFonts w:ascii="Verdana" w:hAnsi="Verdana"/>
                                <w:sz w:val="18"/>
                              </w:rPr>
                              <w:tab/>
                            </w:r>
                            <w:r>
                              <w:rPr>
                                <w:rFonts w:ascii="Verdana" w:hAnsi="Verdana"/>
                                <w:sz w:val="18"/>
                              </w:rPr>
                              <w:tab/>
                            </w:r>
                            <w:r>
                              <w:rPr>
                                <w:rFonts w:ascii="Verdana" w:hAnsi="Verdana"/>
                                <w:sz w:val="18"/>
                              </w:rPr>
                              <w:tab/>
                            </w:r>
                            <w:r w:rsidR="005D2212">
                              <w:rPr>
                                <w:rFonts w:ascii="Verdana" w:hAnsi="Verdana"/>
                                <w:sz w:val="18"/>
                              </w:rPr>
                              <w:tab/>
                            </w:r>
                            <w:r w:rsidR="005D2212">
                              <w:rPr>
                                <w:rFonts w:ascii="Verdana" w:hAnsi="Verdana"/>
                                <w:sz w:val="18"/>
                              </w:rPr>
                              <w:tab/>
                            </w:r>
                            <w:r w:rsidR="005D2212">
                              <w:rPr>
                                <w:rFonts w:ascii="Verdana" w:hAnsi="Verdana"/>
                                <w:sz w:val="18"/>
                              </w:rPr>
                              <w:tab/>
                            </w:r>
                            <w:r>
                              <w:rPr>
                                <w:rFonts w:ascii="Verdana" w:hAnsi="Verdana"/>
                                <w:sz w:val="18"/>
                              </w:rPr>
                              <w:t xml:space="preserve">8. </w:t>
                            </w:r>
                            <w:r>
                              <w:rPr>
                                <w:sz w:val="18"/>
                              </w:rPr>
                              <w:t>CcL</w:t>
                            </w:r>
                          </w:p>
                          <w:p w14:paraId="2EC84585" w14:textId="7C34B960" w:rsidR="00EF0F26" w:rsidRPr="00482E04" w:rsidRDefault="00EF0F26" w:rsidP="008B6449">
                            <w:pPr>
                              <w:pStyle w:val="Sarakstarindkopa"/>
                              <w:numPr>
                                <w:ilvl w:val="0"/>
                                <w:numId w:val="20"/>
                              </w:numPr>
                              <w:rPr>
                                <w:rFonts w:ascii="Verdana" w:hAnsi="Verdana"/>
                                <w:sz w:val="18"/>
                                <w:szCs w:val="18"/>
                              </w:rPr>
                            </w:pPr>
                            <w:r>
                              <w:rPr>
                                <w:sz w:val="18"/>
                              </w:rPr>
                              <w:t>PPP Law</w:t>
                            </w:r>
                            <w:r>
                              <w:rPr>
                                <w:sz w:val="18"/>
                              </w:rPr>
                              <w:tab/>
                            </w:r>
                            <w:r>
                              <w:rPr>
                                <w:sz w:val="18"/>
                              </w:rPr>
                              <w:tab/>
                            </w:r>
                            <w:r>
                              <w:rPr>
                                <w:sz w:val="18"/>
                              </w:rPr>
                              <w:tab/>
                            </w:r>
                            <w:r>
                              <w:rPr>
                                <w:sz w:val="18"/>
                              </w:rPr>
                              <w:tab/>
                            </w:r>
                            <w:r>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Pr>
                                <w:sz w:val="18"/>
                              </w:rPr>
                              <w:t>9. Governance Law</w:t>
                            </w:r>
                          </w:p>
                          <w:p w14:paraId="370C3D6D" w14:textId="7E146BCB" w:rsidR="00EF0F26" w:rsidRPr="004D2DB0" w:rsidRDefault="00EF0F26" w:rsidP="008B6449">
                            <w:pPr>
                              <w:pStyle w:val="Sarakstarindkopa"/>
                              <w:numPr>
                                <w:ilvl w:val="0"/>
                                <w:numId w:val="20"/>
                              </w:numPr>
                              <w:rPr>
                                <w:rFonts w:ascii="Verdana" w:hAnsi="Verdana"/>
                                <w:sz w:val="18"/>
                                <w:szCs w:val="18"/>
                              </w:rPr>
                            </w:pPr>
                            <w:r>
                              <w:rPr>
                                <w:sz w:val="18"/>
                              </w:rPr>
                              <w:t>SASL</w:t>
                            </w:r>
                            <w:r>
                              <w:rPr>
                                <w:sz w:val="18"/>
                              </w:rPr>
                              <w:tab/>
                            </w:r>
                            <w:r>
                              <w:rPr>
                                <w:sz w:val="18"/>
                              </w:rPr>
                              <w:tab/>
                            </w:r>
                            <w:r>
                              <w:rPr>
                                <w:sz w:val="18"/>
                              </w:rPr>
                              <w:tab/>
                            </w:r>
                            <w:r>
                              <w:rPr>
                                <w:sz w:val="18"/>
                              </w:rPr>
                              <w:tab/>
                            </w:r>
                            <w:r>
                              <w:rPr>
                                <w:sz w:val="18"/>
                              </w:rPr>
                              <w:tab/>
                            </w:r>
                            <w:r>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Pr>
                                <w:sz w:val="18"/>
                              </w:rPr>
                              <w:t>10. PPL</w:t>
                            </w:r>
                          </w:p>
                          <w:p w14:paraId="24D2B95B" w14:textId="70785403" w:rsidR="00EF0F26" w:rsidRPr="004D2DB0" w:rsidRDefault="00EF0F26" w:rsidP="008B6449">
                            <w:pPr>
                              <w:pStyle w:val="Sarakstarindkopa"/>
                              <w:numPr>
                                <w:ilvl w:val="0"/>
                                <w:numId w:val="20"/>
                              </w:numPr>
                              <w:rPr>
                                <w:rFonts w:ascii="Verdana" w:hAnsi="Verdana"/>
                                <w:sz w:val="18"/>
                                <w:szCs w:val="18"/>
                              </w:rPr>
                            </w:pPr>
                            <w:r>
                              <w:rPr>
                                <w:sz w:val="18"/>
                              </w:rPr>
                              <w:t>Law on Prevention of Squandering</w:t>
                            </w:r>
                            <w:r>
                              <w:rPr>
                                <w:sz w:val="18"/>
                              </w:rPr>
                              <w:tab/>
                            </w:r>
                            <w:r>
                              <w:rPr>
                                <w:sz w:val="18"/>
                              </w:rPr>
                              <w:tab/>
                            </w:r>
                            <w:r w:rsidR="005D2212">
                              <w:rPr>
                                <w:sz w:val="18"/>
                              </w:rPr>
                              <w:tab/>
                            </w:r>
                            <w:r>
                              <w:rPr>
                                <w:sz w:val="18"/>
                              </w:rPr>
                              <w:t>11. LPPSP</w:t>
                            </w:r>
                          </w:p>
                          <w:p w14:paraId="76C0EB61" w14:textId="15B4CE62" w:rsidR="00EF0F26" w:rsidRPr="009C280C" w:rsidRDefault="00EF0F26" w:rsidP="008B6449">
                            <w:pPr>
                              <w:pStyle w:val="Sarakstarindkopa"/>
                              <w:numPr>
                                <w:ilvl w:val="0"/>
                                <w:numId w:val="20"/>
                              </w:numPr>
                              <w:rPr>
                                <w:rFonts w:ascii="Verdana" w:hAnsi="Verdana"/>
                                <w:sz w:val="18"/>
                                <w:szCs w:val="18"/>
                              </w:rPr>
                            </w:pPr>
                            <w:r>
                              <w:rPr>
                                <w:sz w:val="18"/>
                              </w:rPr>
                              <w:t>CtL</w:t>
                            </w:r>
                            <w:r>
                              <w:rPr>
                                <w:sz w:val="18"/>
                              </w:rPr>
                              <w:tab/>
                            </w:r>
                            <w:r>
                              <w:rPr>
                                <w:sz w:val="18"/>
                              </w:rPr>
                              <w:tab/>
                            </w:r>
                            <w:r>
                              <w:rPr>
                                <w:sz w:val="18"/>
                              </w:rPr>
                              <w:tab/>
                            </w:r>
                            <w:r>
                              <w:rPr>
                                <w:sz w:val="18"/>
                              </w:rPr>
                              <w:tab/>
                            </w:r>
                            <w:r>
                              <w:rPr>
                                <w:sz w:val="18"/>
                              </w:rPr>
                              <w:tab/>
                            </w:r>
                            <w:r>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Pr>
                                <w:sz w:val="18"/>
                              </w:rPr>
                              <w:t>12. LPFDS</w:t>
                            </w:r>
                          </w:p>
                          <w:p w14:paraId="4EC5DC32" w14:textId="661111E5" w:rsidR="00EF0F26" w:rsidRPr="004D2DB0" w:rsidRDefault="00EF0F26" w:rsidP="00CA58FA">
                            <w:pPr>
                              <w:pStyle w:val="Sarakstarindkopa"/>
                              <w:rPr>
                                <w:rFonts w:ascii="Verdana" w:hAnsi="Verdana"/>
                                <w:sz w:val="18"/>
                                <w:szCs w:val="18"/>
                              </w:rPr>
                            </w:pPr>
                            <w:r>
                              <w:rPr>
                                <w:sz w:val="18"/>
                              </w:rPr>
                              <w:tab/>
                            </w:r>
                            <w:r>
                              <w:rPr>
                                <w:sz w:val="18"/>
                              </w:rPr>
                              <w:tab/>
                            </w:r>
                            <w:r>
                              <w:rPr>
                                <w:sz w:val="18"/>
                              </w:rPr>
                              <w:tab/>
                            </w:r>
                            <w:r>
                              <w:rPr>
                                <w:sz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AA6E" id="_x0000_s1067" type="#_x0000_t202" style="position:absolute;margin-left:2.25pt;margin-top:61.55pt;width:461.85pt;height:97.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" strokecolor="#44546a [3215]">
                <v:textbox>
                  <w:txbxContent>
                    <w:p w14:paraId="251CEC6C" w14:textId="246C9241" w:rsidR="00EF0F26" w:rsidRPr="0015600C" w:rsidRDefault="00746F6D" w:rsidP="009C280C">
                      <w:pPr>
                        <w:spacing w:after="120"/>
                        <w:rPr>
                          <w:sz w:val="20"/>
                        </w:rPr>
                      </w:pPr>
                      <w:hyperlink w:anchor="_Pielikums_B._Izmantoto" w:history="1">
                        <w:r>
                          <w:rPr>
                            <w:rStyle w:val="Hipersaite"/>
                            <w:sz w:val="18"/>
                          </w:rPr>
                          <w:t>Documents to be used</w:t>
                        </w:r>
                      </w:hyperlink>
                      <w:r>
                        <w:rPr>
                          <w:sz w:val="20"/>
                        </w:rPr>
                        <w:t>:</w:t>
                      </w:r>
                    </w:p>
                    <w:p w14:paraId="61A6A0A8" w14:textId="06906FE9" w:rsidR="00EF0F26" w:rsidRPr="009C280C" w:rsidRDefault="00EF0F26" w:rsidP="008B6449">
                      <w:pPr>
                        <w:pStyle w:val="Sarakstarindkopa"/>
                        <w:numPr>
                          <w:ilvl w:val="0"/>
                          <w:numId w:val="20"/>
                        </w:numPr>
                        <w:rPr>
                          <w:rFonts w:ascii="Verdana" w:hAnsi="Verdana"/>
                          <w:sz w:val="18"/>
                          <w:szCs w:val="18"/>
                        </w:rPr>
                      </w:pPr>
                      <w:r>
                        <w:rPr>
                          <w:rStyle w:val="Hipersaite"/>
                          <w:color w:val="auto"/>
                          <w:sz w:val="18"/>
                          <w:u w:val="none"/>
                        </w:rPr>
                        <w:t>A Guide to Preparing a PPP Project</w:t>
                      </w:r>
                      <w:r>
                        <w:rPr>
                          <w:sz w:val="18"/>
                        </w:rPr>
                        <w:t xml:space="preserve"> </w:t>
                      </w:r>
                      <w:r>
                        <w:rPr>
                          <w:sz w:val="18"/>
                        </w:rPr>
                        <w:tab/>
                      </w:r>
                      <w:r>
                        <w:rPr>
                          <w:sz w:val="18"/>
                        </w:rPr>
                        <w:tab/>
                        <w:t>7. Aid Law</w:t>
                      </w:r>
                    </w:p>
                    <w:p w14:paraId="70354ED8" w14:textId="4DE3DAC2" w:rsidR="00EF0F26" w:rsidRPr="00CA58FA" w:rsidRDefault="00EF0F26" w:rsidP="008B6449">
                      <w:pPr>
                        <w:pStyle w:val="Sarakstarindkopa"/>
                        <w:numPr>
                          <w:ilvl w:val="0"/>
                          <w:numId w:val="20"/>
                        </w:numPr>
                        <w:rPr>
                          <w:rFonts w:ascii="Verdana" w:hAnsi="Verdana"/>
                          <w:sz w:val="18"/>
                          <w:szCs w:val="18"/>
                        </w:rPr>
                      </w:pPr>
                      <w:r>
                        <w:rPr>
                          <w:rFonts w:ascii="Verdana" w:hAnsi="Verdana"/>
                          <w:sz w:val="18"/>
                        </w:rPr>
                        <w:t>A Guide to ECBA Preparation</w:t>
                      </w:r>
                      <w:r>
                        <w:rPr>
                          <w:rFonts w:ascii="Verdana" w:hAnsi="Verdana"/>
                          <w:sz w:val="18"/>
                        </w:rPr>
                        <w:tab/>
                      </w:r>
                      <w:r>
                        <w:rPr>
                          <w:rFonts w:ascii="Verdana" w:hAnsi="Verdana"/>
                          <w:sz w:val="18"/>
                        </w:rPr>
                        <w:tab/>
                      </w:r>
                      <w:r>
                        <w:rPr>
                          <w:rFonts w:ascii="Verdana" w:hAnsi="Verdana"/>
                          <w:sz w:val="18"/>
                        </w:rPr>
                        <w:tab/>
                      </w:r>
                      <w:r w:rsidR="005D2212">
                        <w:rPr>
                          <w:rFonts w:ascii="Verdana" w:hAnsi="Verdana"/>
                          <w:sz w:val="18"/>
                        </w:rPr>
                        <w:tab/>
                      </w:r>
                      <w:r w:rsidR="005D2212">
                        <w:rPr>
                          <w:rFonts w:ascii="Verdana" w:hAnsi="Verdana"/>
                          <w:sz w:val="18"/>
                        </w:rPr>
                        <w:tab/>
                      </w:r>
                      <w:r w:rsidR="005D2212">
                        <w:rPr>
                          <w:rFonts w:ascii="Verdana" w:hAnsi="Verdana"/>
                          <w:sz w:val="18"/>
                        </w:rPr>
                        <w:tab/>
                      </w:r>
                      <w:r>
                        <w:rPr>
                          <w:rFonts w:ascii="Verdana" w:hAnsi="Verdana"/>
                          <w:sz w:val="18"/>
                        </w:rPr>
                        <w:t xml:space="preserve">8. </w:t>
                      </w:r>
                      <w:r>
                        <w:rPr>
                          <w:sz w:val="18"/>
                        </w:rPr>
                        <w:t>CcL</w:t>
                      </w:r>
                    </w:p>
                    <w:p w14:paraId="2EC84585" w14:textId="7C34B960" w:rsidR="00EF0F26" w:rsidRPr="00482E04" w:rsidRDefault="00EF0F26" w:rsidP="008B6449">
                      <w:pPr>
                        <w:pStyle w:val="Sarakstarindkopa"/>
                        <w:numPr>
                          <w:ilvl w:val="0"/>
                          <w:numId w:val="20"/>
                        </w:numPr>
                        <w:rPr>
                          <w:rFonts w:ascii="Verdana" w:hAnsi="Verdana"/>
                          <w:sz w:val="18"/>
                          <w:szCs w:val="18"/>
                        </w:rPr>
                      </w:pPr>
                      <w:r>
                        <w:rPr>
                          <w:sz w:val="18"/>
                        </w:rPr>
                        <w:t>PPP Law</w:t>
                      </w:r>
                      <w:r>
                        <w:rPr>
                          <w:sz w:val="18"/>
                        </w:rPr>
                        <w:tab/>
                      </w:r>
                      <w:r>
                        <w:rPr>
                          <w:sz w:val="18"/>
                        </w:rPr>
                        <w:tab/>
                      </w:r>
                      <w:r>
                        <w:rPr>
                          <w:sz w:val="18"/>
                        </w:rPr>
                        <w:tab/>
                      </w:r>
                      <w:r>
                        <w:rPr>
                          <w:sz w:val="18"/>
                        </w:rPr>
                        <w:tab/>
                      </w:r>
                      <w:r>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Pr>
                          <w:sz w:val="18"/>
                        </w:rPr>
                        <w:t>9. Governance Law</w:t>
                      </w:r>
                    </w:p>
                    <w:p w14:paraId="370C3D6D" w14:textId="7E146BCB" w:rsidR="00EF0F26" w:rsidRPr="004D2DB0" w:rsidRDefault="00EF0F26" w:rsidP="008B6449">
                      <w:pPr>
                        <w:pStyle w:val="Sarakstarindkopa"/>
                        <w:numPr>
                          <w:ilvl w:val="0"/>
                          <w:numId w:val="20"/>
                        </w:numPr>
                        <w:rPr>
                          <w:rFonts w:ascii="Verdana" w:hAnsi="Verdana"/>
                          <w:sz w:val="18"/>
                          <w:szCs w:val="18"/>
                        </w:rPr>
                      </w:pPr>
                      <w:r>
                        <w:rPr>
                          <w:sz w:val="18"/>
                        </w:rPr>
                        <w:t>SASL</w:t>
                      </w:r>
                      <w:r>
                        <w:rPr>
                          <w:sz w:val="18"/>
                        </w:rPr>
                        <w:tab/>
                      </w:r>
                      <w:r>
                        <w:rPr>
                          <w:sz w:val="18"/>
                        </w:rPr>
                        <w:tab/>
                      </w:r>
                      <w:r>
                        <w:rPr>
                          <w:sz w:val="18"/>
                        </w:rPr>
                        <w:tab/>
                      </w:r>
                      <w:r>
                        <w:rPr>
                          <w:sz w:val="18"/>
                        </w:rPr>
                        <w:tab/>
                      </w:r>
                      <w:r>
                        <w:rPr>
                          <w:sz w:val="18"/>
                        </w:rPr>
                        <w:tab/>
                      </w:r>
                      <w:r>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Pr>
                          <w:sz w:val="18"/>
                        </w:rPr>
                        <w:t>10. PPL</w:t>
                      </w:r>
                    </w:p>
                    <w:p w14:paraId="24D2B95B" w14:textId="70785403" w:rsidR="00EF0F26" w:rsidRPr="004D2DB0" w:rsidRDefault="00EF0F26" w:rsidP="008B6449">
                      <w:pPr>
                        <w:pStyle w:val="Sarakstarindkopa"/>
                        <w:numPr>
                          <w:ilvl w:val="0"/>
                          <w:numId w:val="20"/>
                        </w:numPr>
                        <w:rPr>
                          <w:rFonts w:ascii="Verdana" w:hAnsi="Verdana"/>
                          <w:sz w:val="18"/>
                          <w:szCs w:val="18"/>
                        </w:rPr>
                      </w:pPr>
                      <w:r>
                        <w:rPr>
                          <w:sz w:val="18"/>
                        </w:rPr>
                        <w:t>Law on Prevention of Squandering</w:t>
                      </w:r>
                      <w:r>
                        <w:rPr>
                          <w:sz w:val="18"/>
                        </w:rPr>
                        <w:tab/>
                      </w:r>
                      <w:r>
                        <w:rPr>
                          <w:sz w:val="18"/>
                        </w:rPr>
                        <w:tab/>
                      </w:r>
                      <w:r w:rsidR="005D2212">
                        <w:rPr>
                          <w:sz w:val="18"/>
                        </w:rPr>
                        <w:tab/>
                      </w:r>
                      <w:r>
                        <w:rPr>
                          <w:sz w:val="18"/>
                        </w:rPr>
                        <w:t>11. LPPSP</w:t>
                      </w:r>
                    </w:p>
                    <w:p w14:paraId="76C0EB61" w14:textId="15B4CE62" w:rsidR="00EF0F26" w:rsidRPr="009C280C" w:rsidRDefault="00EF0F26" w:rsidP="008B6449">
                      <w:pPr>
                        <w:pStyle w:val="Sarakstarindkopa"/>
                        <w:numPr>
                          <w:ilvl w:val="0"/>
                          <w:numId w:val="20"/>
                        </w:numPr>
                        <w:rPr>
                          <w:rFonts w:ascii="Verdana" w:hAnsi="Verdana"/>
                          <w:sz w:val="18"/>
                          <w:szCs w:val="18"/>
                        </w:rPr>
                      </w:pPr>
                      <w:r>
                        <w:rPr>
                          <w:sz w:val="18"/>
                        </w:rPr>
                        <w:t>CtL</w:t>
                      </w:r>
                      <w:r>
                        <w:rPr>
                          <w:sz w:val="18"/>
                        </w:rPr>
                        <w:tab/>
                      </w:r>
                      <w:r>
                        <w:rPr>
                          <w:sz w:val="18"/>
                        </w:rPr>
                        <w:tab/>
                      </w:r>
                      <w:r>
                        <w:rPr>
                          <w:sz w:val="18"/>
                        </w:rPr>
                        <w:tab/>
                      </w:r>
                      <w:r>
                        <w:rPr>
                          <w:sz w:val="18"/>
                        </w:rPr>
                        <w:tab/>
                      </w:r>
                      <w:r>
                        <w:rPr>
                          <w:sz w:val="18"/>
                        </w:rPr>
                        <w:tab/>
                      </w:r>
                      <w:r>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sidR="005D2212">
                        <w:rPr>
                          <w:sz w:val="18"/>
                        </w:rPr>
                        <w:tab/>
                      </w:r>
                      <w:r>
                        <w:rPr>
                          <w:sz w:val="18"/>
                        </w:rPr>
                        <w:t>12. LPFDS</w:t>
                      </w:r>
                    </w:p>
                    <w:p w14:paraId="4EC5DC32" w14:textId="661111E5" w:rsidR="00EF0F26" w:rsidRPr="004D2DB0" w:rsidRDefault="00EF0F26" w:rsidP="00CA58FA">
                      <w:pPr>
                        <w:pStyle w:val="Sarakstarindkopa"/>
                        <w:rPr>
                          <w:rFonts w:ascii="Verdana" w:hAnsi="Verdana"/>
                          <w:sz w:val="18"/>
                          <w:szCs w:val="18"/>
                        </w:rPr>
                      </w:pPr>
                      <w:r>
                        <w:rPr>
                          <w:sz w:val="18"/>
                        </w:rPr>
                        <w:tab/>
                      </w:r>
                      <w:r>
                        <w:rPr>
                          <w:sz w:val="18"/>
                        </w:rPr>
                        <w:tab/>
                      </w:r>
                      <w:r>
                        <w:rPr>
                          <w:sz w:val="18"/>
                        </w:rPr>
                        <w:tab/>
                      </w:r>
                      <w:r>
                        <w:rPr>
                          <w:sz w:val="18"/>
                        </w:rPr>
                        <w:tab/>
                      </w:r>
                    </w:p>
                  </w:txbxContent>
                </v:textbox>
                <w10:wrap type="topAndBottom"/>
              </v:shape>
            </w:pict>
          </mc:Fallback>
        </mc:AlternateContent>
      </w:r>
      <w:r w:rsidR="009C280C">
        <w:rPr>
          <w:noProof/>
        </w:rPr>
        <w:drawing>
          <wp:inline distT="0" distB="0" distL="0" distR="0" wp14:anchorId="37A29E5A" wp14:editId="2B682148">
            <wp:extent cx="5943600" cy="653415"/>
            <wp:effectExtent l="0" t="0" r="0" b="0"/>
            <wp:docPr id="803084709" name="Picture 80308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653415"/>
                    </a:xfrm>
                    <a:prstGeom prst="rect">
                      <a:avLst/>
                    </a:prstGeom>
                  </pic:spPr>
                </pic:pic>
              </a:graphicData>
            </a:graphic>
          </wp:inline>
        </w:drawing>
      </w:r>
    </w:p>
    <w:p w14:paraId="5C9D99AA" w14:textId="0D926F1A" w:rsidR="008D0518" w:rsidRPr="00251B39" w:rsidRDefault="004754E9" w:rsidP="009C280C">
      <w:pPr>
        <w:ind w:hanging="90"/>
        <w:rPr>
          <w:color w:val="002060"/>
          <w:sz w:val="24"/>
          <w:szCs w:val="24"/>
        </w:rPr>
      </w:pPr>
      <w:r w:rsidRPr="00CC7CF8">
        <w:rPr>
          <w:rFonts w:ascii="Verdana" w:hAnsi="Verdana"/>
          <w:noProof/>
          <w:sz w:val="18"/>
        </w:rPr>
        <mc:AlternateContent>
          <mc:Choice Requires="wps">
            <w:drawing>
              <wp:anchor distT="45720" distB="45720" distL="114300" distR="114300" simplePos="0" relativeHeight="251658345" behindDoc="0" locked="0" layoutInCell="1" allowOverlap="1" wp14:anchorId="79846E42" wp14:editId="027D64D2">
                <wp:simplePos x="0" y="0"/>
                <wp:positionH relativeFrom="margin">
                  <wp:posOffset>3446062</wp:posOffset>
                </wp:positionH>
                <wp:positionV relativeFrom="paragraph">
                  <wp:posOffset>1343494</wp:posOffset>
                </wp:positionV>
                <wp:extent cx="2439035" cy="632957"/>
                <wp:effectExtent l="19050" t="19050" r="18415" b="15240"/>
                <wp:wrapNone/>
                <wp:docPr id="1974212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632957"/>
                        </a:xfrm>
                        <a:prstGeom prst="rect">
                          <a:avLst/>
                        </a:prstGeom>
                        <a:solidFill>
                          <a:srgbClr val="FFFFFF"/>
                        </a:solidFill>
                        <a:ln w="28575">
                          <a:solidFill>
                            <a:schemeClr val="accent1"/>
                          </a:solidFill>
                          <a:miter lim="800000"/>
                          <a:headEnd/>
                          <a:tailEnd/>
                        </a:ln>
                      </wps:spPr>
                      <wps:txbx>
                        <w:txbxContent>
                          <w:p w14:paraId="1B2C6362" w14:textId="77777777" w:rsidR="004754E9" w:rsidRDefault="004754E9" w:rsidP="004754E9">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10ED7115" w14:textId="53A96A13" w:rsidR="004754E9" w:rsidRPr="007217EE" w:rsidRDefault="004754E9" w:rsidP="004754E9">
                            <w:pPr>
                              <w:jc w:val="center"/>
                              <w:rPr>
                                <w:b/>
                                <w:bCs/>
                                <w:sz w:val="12"/>
                                <w:szCs w:val="12"/>
                              </w:rPr>
                            </w:pPr>
                            <w:r>
                              <w:rPr>
                                <w:b/>
                                <w:bCs/>
                                <w:sz w:val="12"/>
                                <w:szCs w:val="12"/>
                              </w:rPr>
                              <w:t>The technical, legal, financial and social feasibility of the project described (included in the FEC documentation)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46E42" id="_x0000_s1068" type="#_x0000_t202" style="position:absolute;margin-left:271.35pt;margin-top:105.8pt;width:192.05pt;height:49.85pt;z-index:251658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" strokecolor="#86bc25 [3204]" strokeweight="2.25pt">
                <v:textbox>
                  <w:txbxContent>
                    <w:p w14:paraId="1B2C6362" w14:textId="77777777" w:rsidR="004754E9" w:rsidRDefault="004754E9" w:rsidP="004754E9">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10ED7115" w14:textId="53A96A13" w:rsidR="004754E9" w:rsidRPr="007217EE" w:rsidRDefault="004754E9" w:rsidP="004754E9">
                      <w:pPr>
                        <w:jc w:val="center"/>
                        <w:rPr>
                          <w:b/>
                          <w:bCs/>
                          <w:sz w:val="12"/>
                          <w:szCs w:val="12"/>
                        </w:rPr>
                      </w:pPr>
                      <w:r>
                        <w:rPr>
                          <w:b/>
                          <w:bCs/>
                          <w:sz w:val="12"/>
                          <w:szCs w:val="12"/>
                        </w:rPr>
                        <w:t>The technical, legal, financial and social feasibility of the project described (included in the FEC documentation)</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344" behindDoc="0" locked="0" layoutInCell="1" allowOverlap="1" wp14:anchorId="3C2FCC3E" wp14:editId="43752F8A">
                <wp:simplePos x="0" y="0"/>
                <wp:positionH relativeFrom="margin">
                  <wp:align>left</wp:align>
                </wp:positionH>
                <wp:positionV relativeFrom="paragraph">
                  <wp:posOffset>1333749</wp:posOffset>
                </wp:positionV>
                <wp:extent cx="2381885" cy="540385"/>
                <wp:effectExtent l="19050" t="19050" r="18415" b="12065"/>
                <wp:wrapNone/>
                <wp:docPr id="1881210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540385"/>
                        </a:xfrm>
                        <a:prstGeom prst="rect">
                          <a:avLst/>
                        </a:prstGeom>
                        <a:solidFill>
                          <a:srgbClr val="FFFFFF"/>
                        </a:solidFill>
                        <a:ln w="28575">
                          <a:solidFill>
                            <a:srgbClr val="92D050"/>
                          </a:solidFill>
                          <a:miter lim="800000"/>
                          <a:headEnd/>
                          <a:tailEnd/>
                        </a:ln>
                      </wps:spPr>
                      <wps:txbx>
                        <w:txbxContent>
                          <w:p w14:paraId="37BFCC1F" w14:textId="77777777" w:rsidR="004754E9" w:rsidRDefault="004754E9" w:rsidP="004754E9">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54069A5A" w14:textId="2C3DC50F" w:rsidR="004754E9" w:rsidRPr="007217EE" w:rsidRDefault="004754E9" w:rsidP="004754E9">
                            <w:pPr>
                              <w:jc w:val="center"/>
                              <w:rPr>
                                <w:b/>
                                <w:bCs/>
                                <w:sz w:val="12"/>
                                <w:szCs w:val="12"/>
                              </w:rPr>
                            </w:pPr>
                            <w:r>
                              <w:rPr>
                                <w:b/>
                                <w:bCs/>
                                <w:sz w:val="12"/>
                                <w:szCs w:val="12"/>
                              </w:rPr>
                              <w:t>Assess whether the project is technically, legally, financially and socially feasible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FCC3E" id="_x0000_s1069" type="#_x0000_t202" style="position:absolute;margin-left:0;margin-top:105pt;width:187.55pt;height:42.55pt;z-index:251658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" strokecolor="#92d050" strokeweight="2.25pt">
                <v:textbox>
                  <w:txbxContent>
                    <w:p w14:paraId="37BFCC1F" w14:textId="77777777" w:rsidR="004754E9" w:rsidRDefault="004754E9" w:rsidP="004754E9">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54069A5A" w14:textId="2C3DC50F" w:rsidR="004754E9" w:rsidRPr="007217EE" w:rsidRDefault="004754E9" w:rsidP="004754E9">
                      <w:pPr>
                        <w:jc w:val="center"/>
                        <w:rPr>
                          <w:b/>
                          <w:bCs/>
                          <w:sz w:val="12"/>
                          <w:szCs w:val="12"/>
                        </w:rPr>
                      </w:pPr>
                      <w:r>
                        <w:rPr>
                          <w:b/>
                          <w:bCs/>
                          <w:sz w:val="12"/>
                          <w:szCs w:val="12"/>
                        </w:rPr>
                        <w:t>Assess whether the project is technically, legally, financially and socially feasible</w:t>
                      </w:r>
                    </w:p>
                  </w:txbxContent>
                </v:textbox>
                <w10:wrap anchorx="margin"/>
              </v:shape>
            </w:pict>
          </mc:Fallback>
        </mc:AlternateContent>
      </w:r>
      <w:r w:rsidR="009C280C">
        <w:rPr>
          <w:noProof/>
        </w:rPr>
        <w:drawing>
          <wp:inline distT="0" distB="0" distL="0" distR="0" wp14:anchorId="47310CDA" wp14:editId="112E6932">
            <wp:extent cx="6007100" cy="603885"/>
            <wp:effectExtent l="0" t="0" r="0" b="5715"/>
            <wp:docPr id="259175958" name="Picture 25917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007100" cy="603885"/>
                    </a:xfrm>
                    <a:prstGeom prst="rect">
                      <a:avLst/>
                    </a:prstGeom>
                  </pic:spPr>
                </pic:pic>
              </a:graphicData>
            </a:graphic>
          </wp:inline>
        </w:drawing>
      </w:r>
    </w:p>
    <w:p w14:paraId="023CF1C2" w14:textId="04B61F76" w:rsidR="001662CE" w:rsidRPr="009C280C" w:rsidRDefault="628515A0" w:rsidP="009C280C">
      <w:pPr>
        <w:jc w:val="both"/>
        <w:rPr>
          <w:sz w:val="20"/>
          <w:szCs w:val="20"/>
        </w:rPr>
      </w:pPr>
      <w:bookmarkStart w:id="109" w:name="_Toc2273371"/>
      <w:bookmarkStart w:id="110" w:name="_Toc2273440"/>
      <w:bookmarkStart w:id="111" w:name="_Toc2273515"/>
      <w:bookmarkStart w:id="112" w:name="_Toc2273584"/>
      <w:bookmarkEnd w:id="109"/>
      <w:bookmarkEnd w:id="110"/>
      <w:bookmarkEnd w:id="111"/>
      <w:bookmarkEnd w:id="112"/>
      <w:r>
        <w:rPr>
          <w:sz w:val="18"/>
        </w:rPr>
        <w:t xml:space="preserve">Once the most appropriate method of implementing the project has been identified, the public partner must analyse its main principles, i.e. assess the feasibility of the project. </w:t>
      </w:r>
    </w:p>
    <w:p w14:paraId="157A4EDB" w14:textId="79780CDD" w:rsidR="001662CE" w:rsidRPr="00251B39" w:rsidRDefault="628515A0" w:rsidP="628515A0">
      <w:pPr>
        <w:jc w:val="both"/>
        <w:rPr>
          <w:sz w:val="18"/>
          <w:szCs w:val="18"/>
        </w:rPr>
      </w:pPr>
      <w:r>
        <w:rPr>
          <w:sz w:val="18"/>
        </w:rPr>
        <w:t>The feasibility assessment shall first include the key considerations and conclusions identified in the assessment of the public need to be met and in the preparation of the ECBA (see Chapters 2.1 and 2.2). This is followed by an evaluation of the following four aspects:</w:t>
      </w:r>
    </w:p>
    <w:p w14:paraId="73EE0456" w14:textId="4F8B5057" w:rsidR="001662CE" w:rsidRPr="00251B39" w:rsidRDefault="628515A0" w:rsidP="008B6449">
      <w:pPr>
        <w:pStyle w:val="Sarakstarindkopa"/>
        <w:numPr>
          <w:ilvl w:val="0"/>
          <w:numId w:val="10"/>
        </w:numPr>
        <w:ind w:left="810"/>
        <w:jc w:val="both"/>
        <w:rPr>
          <w:sz w:val="18"/>
          <w:szCs w:val="18"/>
        </w:rPr>
      </w:pPr>
      <w:r>
        <w:rPr>
          <w:b/>
          <w:sz w:val="18"/>
        </w:rPr>
        <w:t>Technical feasibility of the project.</w:t>
      </w:r>
      <w:r>
        <w:rPr>
          <w:sz w:val="18"/>
        </w:rPr>
        <w:t xml:space="preserve"> This section should indicate the project objectives to be achieved and include descriptions such as: </w:t>
      </w:r>
    </w:p>
    <w:p w14:paraId="4304A33E" w14:textId="5A692DF1" w:rsidR="00997DE8" w:rsidRPr="00251B39" w:rsidRDefault="628515A0" w:rsidP="008B6449">
      <w:pPr>
        <w:pStyle w:val="Sarakstarindkopa"/>
        <w:numPr>
          <w:ilvl w:val="0"/>
          <w:numId w:val="5"/>
        </w:numPr>
        <w:ind w:left="1890" w:hanging="180"/>
        <w:rPr>
          <w:sz w:val="18"/>
          <w:szCs w:val="18"/>
        </w:rPr>
      </w:pPr>
      <w:r>
        <w:rPr>
          <w:sz w:val="18"/>
        </w:rPr>
        <w:t xml:space="preserve">the technical description of the project </w:t>
      </w:r>
    </w:p>
    <w:p w14:paraId="23F754EC" w14:textId="10145018" w:rsidR="00997DE8" w:rsidRPr="00251B39" w:rsidRDefault="4FE76783" w:rsidP="064C8007">
      <w:pPr>
        <w:pStyle w:val="Sarakstarindkopa"/>
        <w:numPr>
          <w:ilvl w:val="0"/>
          <w:numId w:val="5"/>
        </w:numPr>
        <w:ind w:left="1890" w:hanging="180"/>
        <w:rPr>
          <w:sz w:val="18"/>
          <w:szCs w:val="18"/>
        </w:rPr>
      </w:pPr>
      <w:r>
        <w:rPr>
          <w:sz w:val="18"/>
        </w:rPr>
        <w:t xml:space="preserve">the quality requirements of the project (e.g. compliance of the works with building codes or other standards, compliance of the service with technical or functional quality standards, compliance of the works or service with the quality requirements set out in the technical specifications) </w:t>
      </w:r>
    </w:p>
    <w:p w14:paraId="62819B94" w14:textId="76515E84" w:rsidR="00997DE8" w:rsidRPr="00251B39" w:rsidRDefault="628515A0" w:rsidP="008B6449">
      <w:pPr>
        <w:pStyle w:val="Sarakstarindkopa"/>
        <w:numPr>
          <w:ilvl w:val="0"/>
          <w:numId w:val="5"/>
        </w:numPr>
        <w:ind w:left="1890" w:hanging="180"/>
        <w:rPr>
          <w:sz w:val="18"/>
          <w:szCs w:val="18"/>
        </w:rPr>
      </w:pPr>
      <w:r>
        <w:rPr>
          <w:sz w:val="18"/>
        </w:rPr>
        <w:t xml:space="preserve">the duration of the project, indicating, if applicable, the possible stages and their sequence </w:t>
      </w:r>
    </w:p>
    <w:p w14:paraId="01B92DEF" w14:textId="2AA3D7D4" w:rsidR="007D0CF3" w:rsidRPr="00251B39" w:rsidRDefault="00B74EB3" w:rsidP="008B6449">
      <w:pPr>
        <w:pStyle w:val="Sarakstarindkopa"/>
        <w:numPr>
          <w:ilvl w:val="0"/>
          <w:numId w:val="5"/>
        </w:numPr>
        <w:ind w:left="1890" w:hanging="180"/>
        <w:rPr>
          <w:sz w:val="18"/>
          <w:szCs w:val="18"/>
        </w:rPr>
      </w:pPr>
      <w:r>
        <w:rPr>
          <w:sz w:val="18"/>
        </w:rPr>
        <w:t>the methods and resources to be used in the execution of the works or provision of the services envisaged in the project (e.g. outsourcing, use of public partner resources, setting of resource charges in accordance with the Law on Prevention of Squandering if such are envisaged in the PPP project, etc.)</w:t>
      </w:r>
    </w:p>
    <w:p w14:paraId="2DD15826" w14:textId="6A9BACD1" w:rsidR="000A29C0" w:rsidRPr="00251B39" w:rsidRDefault="628515A0" w:rsidP="008B6449">
      <w:pPr>
        <w:pStyle w:val="Sarakstarindkopa"/>
        <w:numPr>
          <w:ilvl w:val="0"/>
          <w:numId w:val="5"/>
        </w:numPr>
        <w:ind w:left="1890" w:hanging="180"/>
        <w:rPr>
          <w:sz w:val="18"/>
          <w:szCs w:val="18"/>
        </w:rPr>
      </w:pPr>
      <w:r>
        <w:rPr>
          <w:sz w:val="18"/>
        </w:rPr>
        <w:t>the main technical and operational risks of the project (see Chapter 3.5)</w:t>
      </w:r>
    </w:p>
    <w:p w14:paraId="7A3D632D" w14:textId="77777777" w:rsidR="000A29C0" w:rsidRPr="00251B39" w:rsidRDefault="000A29C0" w:rsidP="000A29C0">
      <w:pPr>
        <w:pStyle w:val="Sarakstarindkopa"/>
        <w:ind w:left="1890"/>
        <w:rPr>
          <w:sz w:val="18"/>
          <w:szCs w:val="20"/>
          <w:lang w:val="lv-LV"/>
        </w:rPr>
      </w:pPr>
    </w:p>
    <w:p w14:paraId="695553B8" w14:textId="3F72EC7B" w:rsidR="00542C66" w:rsidRPr="00251B39" w:rsidRDefault="628515A0" w:rsidP="008B6449">
      <w:pPr>
        <w:pStyle w:val="Sarakstarindkopa"/>
        <w:numPr>
          <w:ilvl w:val="0"/>
          <w:numId w:val="10"/>
        </w:numPr>
        <w:ind w:left="900" w:hanging="450"/>
        <w:jc w:val="both"/>
        <w:rPr>
          <w:b/>
          <w:bCs/>
          <w:sz w:val="18"/>
          <w:szCs w:val="18"/>
        </w:rPr>
      </w:pPr>
      <w:r>
        <w:rPr>
          <w:b/>
          <w:sz w:val="18"/>
        </w:rPr>
        <w:t xml:space="preserve">Legal feasibility of the project. </w:t>
      </w:r>
      <w:r>
        <w:rPr>
          <w:sz w:val="18"/>
        </w:rPr>
        <w:t>This section shall include at least the following:</w:t>
      </w:r>
    </w:p>
    <w:p w14:paraId="1896583C" w14:textId="7141AEBB" w:rsidR="00F81B21" w:rsidRPr="00251B39" w:rsidRDefault="628515A0" w:rsidP="008B6449">
      <w:pPr>
        <w:pStyle w:val="Sarakstarindkopa"/>
        <w:numPr>
          <w:ilvl w:val="0"/>
          <w:numId w:val="5"/>
        </w:numPr>
        <w:ind w:left="1890" w:hanging="180"/>
        <w:jc w:val="both"/>
        <w:rPr>
          <w:sz w:val="18"/>
          <w:szCs w:val="18"/>
        </w:rPr>
      </w:pPr>
      <w:r>
        <w:rPr>
          <w:sz w:val="18"/>
        </w:rPr>
        <w:t xml:space="preserve">the public partner's right to tender and implement the potential project </w:t>
      </w:r>
    </w:p>
    <w:p w14:paraId="0DFAA316" w14:textId="7FD92FD8" w:rsidR="00542C66" w:rsidRPr="00251B39" w:rsidRDefault="628515A0" w:rsidP="008B6449">
      <w:pPr>
        <w:pStyle w:val="Sarakstarindkopa"/>
        <w:numPr>
          <w:ilvl w:val="0"/>
          <w:numId w:val="5"/>
        </w:numPr>
        <w:ind w:left="1890" w:hanging="180"/>
        <w:jc w:val="both"/>
        <w:rPr>
          <w:sz w:val="18"/>
          <w:szCs w:val="18"/>
        </w:rPr>
      </w:pPr>
      <w:r>
        <w:rPr>
          <w:sz w:val="18"/>
        </w:rPr>
        <w:t>a list of the authorisations, consents and approvals required for the public partner, indicating the entities issuing them</w:t>
      </w:r>
    </w:p>
    <w:p w14:paraId="2C01CB07" w14:textId="4A0D71AC" w:rsidR="00542C66" w:rsidRPr="00251B39" w:rsidRDefault="628515A0" w:rsidP="008B6449">
      <w:pPr>
        <w:pStyle w:val="Sarakstarindkopa"/>
        <w:numPr>
          <w:ilvl w:val="0"/>
          <w:numId w:val="5"/>
        </w:numPr>
        <w:ind w:left="1890" w:hanging="180"/>
        <w:jc w:val="both"/>
        <w:rPr>
          <w:sz w:val="18"/>
          <w:szCs w:val="18"/>
        </w:rPr>
      </w:pPr>
      <w:r>
        <w:rPr>
          <w:sz w:val="18"/>
        </w:rPr>
        <w:lastRenderedPageBreak/>
        <w:t xml:space="preserve">the obstacles or constraints to the implementation of the potential project identified by the public partner in the legal framework and the envisaged solution, including the timeframe </w:t>
      </w:r>
    </w:p>
    <w:p w14:paraId="34ECB97C" w14:textId="77777777" w:rsidR="000A29C0" w:rsidRPr="00251B39" w:rsidRDefault="000A29C0" w:rsidP="628515A0">
      <w:pPr>
        <w:pStyle w:val="Sarakstarindkopa"/>
        <w:ind w:left="1890"/>
        <w:jc w:val="both"/>
        <w:rPr>
          <w:sz w:val="18"/>
          <w:szCs w:val="18"/>
          <w:lang w:val="lv-LV"/>
        </w:rPr>
      </w:pPr>
    </w:p>
    <w:p w14:paraId="6C99B3B4" w14:textId="4418D42F" w:rsidR="00542C66" w:rsidRPr="00251B39" w:rsidRDefault="628515A0" w:rsidP="008B6449">
      <w:pPr>
        <w:pStyle w:val="Sarakstarindkopa"/>
        <w:numPr>
          <w:ilvl w:val="0"/>
          <w:numId w:val="10"/>
        </w:numPr>
        <w:jc w:val="both"/>
        <w:rPr>
          <w:b/>
          <w:bCs/>
          <w:sz w:val="18"/>
          <w:szCs w:val="18"/>
        </w:rPr>
      </w:pPr>
      <w:r>
        <w:rPr>
          <w:b/>
          <w:sz w:val="18"/>
        </w:rPr>
        <w:t xml:space="preserve">Financial feasibility of the project. </w:t>
      </w:r>
      <w:r>
        <w:rPr>
          <w:sz w:val="18"/>
        </w:rPr>
        <w:t>This section shall consider at least the following:</w:t>
      </w:r>
    </w:p>
    <w:p w14:paraId="349076FD" w14:textId="00CEA53C" w:rsidR="007D0CF3" w:rsidRPr="00251B39" w:rsidRDefault="628515A0" w:rsidP="008B6449">
      <w:pPr>
        <w:pStyle w:val="Sarakstarindkopa"/>
        <w:numPr>
          <w:ilvl w:val="0"/>
          <w:numId w:val="5"/>
        </w:numPr>
        <w:ind w:left="1890" w:hanging="180"/>
        <w:jc w:val="both"/>
        <w:rPr>
          <w:sz w:val="18"/>
          <w:szCs w:val="18"/>
        </w:rPr>
      </w:pPr>
      <w:r>
        <w:rPr>
          <w:sz w:val="18"/>
        </w:rPr>
        <w:t>the main cost components of the potential project (see Chapter 4.2, key assumption 7)</w:t>
      </w:r>
    </w:p>
    <w:p w14:paraId="03510027" w14:textId="12A5A8CB" w:rsidR="3F1A2FCC" w:rsidRPr="00251B39" w:rsidRDefault="628515A0" w:rsidP="008B6449">
      <w:pPr>
        <w:pStyle w:val="Sarakstarindkopa"/>
        <w:numPr>
          <w:ilvl w:val="0"/>
          <w:numId w:val="5"/>
        </w:numPr>
        <w:ind w:left="1890" w:hanging="180"/>
        <w:jc w:val="both"/>
        <w:rPr>
          <w:sz w:val="18"/>
          <w:szCs w:val="18"/>
        </w:rPr>
      </w:pPr>
      <w:r>
        <w:rPr>
          <w:sz w:val="18"/>
        </w:rPr>
        <w:t xml:space="preserve">the main financial and commercial risks (see </w:t>
      </w:r>
      <w:r>
        <w:rPr>
          <w:rStyle w:val="Hipersaite"/>
          <w:color w:val="auto"/>
          <w:sz w:val="18"/>
          <w:u w:val="none"/>
        </w:rPr>
        <w:t>Chapter 3.5</w:t>
      </w:r>
      <w:r>
        <w:rPr>
          <w:sz w:val="18"/>
        </w:rPr>
        <w:t>)</w:t>
      </w:r>
    </w:p>
    <w:p w14:paraId="615323BE" w14:textId="78493DD9" w:rsidR="007D0CF3" w:rsidRPr="00251B39" w:rsidRDefault="628515A0" w:rsidP="008B6449">
      <w:pPr>
        <w:pStyle w:val="Sarakstarindkopa"/>
        <w:numPr>
          <w:ilvl w:val="0"/>
          <w:numId w:val="5"/>
        </w:numPr>
        <w:ind w:left="1890" w:hanging="180"/>
        <w:jc w:val="both"/>
        <w:rPr>
          <w:sz w:val="18"/>
          <w:szCs w:val="18"/>
        </w:rPr>
      </w:pPr>
      <w:r>
        <w:rPr>
          <w:sz w:val="18"/>
        </w:rPr>
        <w:t>the results of market sounding (demand, supply, trends, etc.)</w:t>
      </w:r>
    </w:p>
    <w:p w14:paraId="60B8A55B" w14:textId="2CD6ABD3" w:rsidR="007D0CF3" w:rsidRPr="00251B39" w:rsidRDefault="628515A0" w:rsidP="008B6449">
      <w:pPr>
        <w:pStyle w:val="Sarakstarindkopa"/>
        <w:numPr>
          <w:ilvl w:val="0"/>
          <w:numId w:val="5"/>
        </w:numPr>
        <w:ind w:left="1890" w:hanging="180"/>
        <w:jc w:val="both"/>
        <w:rPr>
          <w:sz w:val="18"/>
          <w:szCs w:val="18"/>
        </w:rPr>
      </w:pPr>
      <w:r>
        <w:rPr>
          <w:sz w:val="18"/>
        </w:rPr>
        <w:t>assumptions about the cost or price of using the infrastructure or service</w:t>
      </w:r>
    </w:p>
    <w:p w14:paraId="3C2CD237" w14:textId="428A94CB" w:rsidR="000A29C0" w:rsidRPr="00251B39" w:rsidRDefault="628515A0" w:rsidP="064C8007">
      <w:pPr>
        <w:pStyle w:val="Sarakstarindkopa"/>
        <w:numPr>
          <w:ilvl w:val="0"/>
          <w:numId w:val="5"/>
        </w:numPr>
        <w:ind w:left="1890" w:hanging="180"/>
        <w:jc w:val="both"/>
        <w:rPr>
          <w:sz w:val="18"/>
          <w:szCs w:val="18"/>
        </w:rPr>
      </w:pPr>
      <w:r>
        <w:rPr>
          <w:sz w:val="18"/>
        </w:rPr>
        <w:t xml:space="preserve">analysis of project affordability (see </w:t>
      </w:r>
      <w:r>
        <w:rPr>
          <w:rStyle w:val="Hipersaite"/>
          <w:color w:val="auto"/>
          <w:sz w:val="18"/>
          <w:u w:val="none"/>
        </w:rPr>
        <w:t>Chapter 3.2</w:t>
      </w:r>
      <w:r>
        <w:rPr>
          <w:sz w:val="18"/>
        </w:rPr>
        <w:t>)</w:t>
      </w:r>
    </w:p>
    <w:p w14:paraId="219D18E3" w14:textId="77777777" w:rsidR="000A29C0" w:rsidRPr="00251B39" w:rsidRDefault="000A29C0" w:rsidP="000A29C0">
      <w:pPr>
        <w:pStyle w:val="Sarakstarindkopa"/>
        <w:ind w:left="1890"/>
        <w:rPr>
          <w:sz w:val="18"/>
          <w:szCs w:val="20"/>
          <w:lang w:val="lv-LV"/>
        </w:rPr>
      </w:pPr>
    </w:p>
    <w:p w14:paraId="1815BFFB" w14:textId="5C3DB97A" w:rsidR="000A29C0" w:rsidRPr="00251B39" w:rsidRDefault="628515A0" w:rsidP="008B6449">
      <w:pPr>
        <w:pStyle w:val="Sarakstarindkopa"/>
        <w:numPr>
          <w:ilvl w:val="0"/>
          <w:numId w:val="10"/>
        </w:numPr>
        <w:rPr>
          <w:sz w:val="18"/>
          <w:szCs w:val="18"/>
        </w:rPr>
      </w:pPr>
      <w:r>
        <w:rPr>
          <w:b/>
          <w:sz w:val="18"/>
        </w:rPr>
        <w:t xml:space="preserve">Social and environmental feasibility of the project. </w:t>
      </w:r>
      <w:r>
        <w:rPr>
          <w:sz w:val="18"/>
        </w:rPr>
        <w:t>This section shall consider at least the following:</w:t>
      </w:r>
    </w:p>
    <w:p w14:paraId="5BBFE9E4" w14:textId="597B131A" w:rsidR="000A29C0" w:rsidRPr="00251B39" w:rsidRDefault="628515A0" w:rsidP="008B6449">
      <w:pPr>
        <w:pStyle w:val="Sarakstarindkopa"/>
        <w:numPr>
          <w:ilvl w:val="0"/>
          <w:numId w:val="5"/>
        </w:numPr>
        <w:ind w:left="1890" w:hanging="180"/>
        <w:rPr>
          <w:sz w:val="18"/>
          <w:szCs w:val="18"/>
        </w:rPr>
      </w:pPr>
      <w:r>
        <w:rPr>
          <w:sz w:val="18"/>
        </w:rPr>
        <w:t>the expected social impact of the project</w:t>
      </w:r>
    </w:p>
    <w:p w14:paraId="26DE11A1" w14:textId="6198A0BD" w:rsidR="000A29C0" w:rsidRPr="00251B39" w:rsidRDefault="628515A0" w:rsidP="008B6449">
      <w:pPr>
        <w:pStyle w:val="Sarakstarindkopa"/>
        <w:numPr>
          <w:ilvl w:val="0"/>
          <w:numId w:val="5"/>
        </w:numPr>
        <w:ind w:left="1890" w:hanging="180"/>
        <w:rPr>
          <w:sz w:val="18"/>
          <w:szCs w:val="18"/>
        </w:rPr>
      </w:pPr>
      <w:r>
        <w:rPr>
          <w:sz w:val="18"/>
        </w:rPr>
        <w:t>the expected environmental impact of the project</w:t>
      </w:r>
    </w:p>
    <w:p w14:paraId="726F74B8" w14:textId="375B59C3" w:rsidR="000A29C0" w:rsidRPr="00251B39" w:rsidRDefault="507FC237" w:rsidP="008B6449">
      <w:pPr>
        <w:pStyle w:val="Sarakstarindkopa"/>
        <w:numPr>
          <w:ilvl w:val="0"/>
          <w:numId w:val="5"/>
        </w:numPr>
        <w:ind w:left="1890" w:hanging="180"/>
        <w:rPr>
          <w:sz w:val="18"/>
          <w:szCs w:val="18"/>
        </w:rPr>
      </w:pPr>
      <w:r>
        <w:rPr>
          <w:sz w:val="18"/>
        </w:rPr>
        <w:t>where negative social and/or environmental impacts have been identified, solutions to avoid or mitigate them</w:t>
      </w:r>
    </w:p>
    <w:p w14:paraId="439B3E80" w14:textId="4A5B0B2B" w:rsidR="00831B3C" w:rsidRDefault="628515A0" w:rsidP="008B6449">
      <w:pPr>
        <w:pStyle w:val="Virsraksts1"/>
        <w:numPr>
          <w:ilvl w:val="0"/>
          <w:numId w:val="16"/>
        </w:numPr>
        <w:spacing w:line="240" w:lineRule="auto"/>
        <w:rPr>
          <w:rFonts w:asciiTheme="minorHAnsi" w:hAnsiTheme="minorHAnsi"/>
        </w:rPr>
      </w:pPr>
      <w:bookmarkStart w:id="113" w:name="_Toc3205483"/>
      <w:bookmarkStart w:id="114" w:name="_Toc3246833"/>
      <w:bookmarkStart w:id="115" w:name="_Toc3249542"/>
      <w:bookmarkStart w:id="116" w:name="_Toc3759964"/>
      <w:bookmarkStart w:id="117" w:name="_Toc3805001"/>
      <w:bookmarkStart w:id="118" w:name="_Toc178586364"/>
      <w:r>
        <w:rPr>
          <w:rFonts w:asciiTheme="minorHAnsi" w:hAnsiTheme="minorHAnsi"/>
        </w:rPr>
        <w:t>Assessment of Alternatives to Project Implementation</w:t>
      </w:r>
      <w:bookmarkEnd w:id="113"/>
      <w:bookmarkEnd w:id="114"/>
      <w:bookmarkEnd w:id="115"/>
      <w:bookmarkEnd w:id="116"/>
      <w:bookmarkEnd w:id="117"/>
      <w:bookmarkEnd w:id="118"/>
    </w:p>
    <w:p w14:paraId="21C84BF6" w14:textId="77777777" w:rsidR="00172A7C" w:rsidRPr="00172A7C" w:rsidRDefault="00172A7C" w:rsidP="00172A7C">
      <w:pPr>
        <w:spacing w:after="0"/>
        <w:rPr>
          <w:lang w:val="lv-LV"/>
        </w:rPr>
      </w:pPr>
    </w:p>
    <w:p w14:paraId="638EF70B" w14:textId="33F7BD55" w:rsidR="0015552F" w:rsidRPr="00251B39" w:rsidRDefault="00106DC3" w:rsidP="008B6449">
      <w:pPr>
        <w:pStyle w:val="Virsraksts2"/>
        <w:numPr>
          <w:ilvl w:val="1"/>
          <w:numId w:val="16"/>
        </w:numPr>
        <w:rPr>
          <w:rFonts w:asciiTheme="minorHAnsi" w:hAnsiTheme="minorHAnsi"/>
        </w:rPr>
      </w:pPr>
      <w:bookmarkStart w:id="119" w:name="_PPP_risinājuma_piemērotības"/>
      <w:bookmarkStart w:id="120" w:name="_Toc3205484"/>
      <w:bookmarkStart w:id="121" w:name="_Toc3246834"/>
      <w:bookmarkStart w:id="122" w:name="_Toc3249543"/>
      <w:bookmarkStart w:id="123" w:name="_Toc3759965"/>
      <w:bookmarkStart w:id="124" w:name="_Toc3805002"/>
      <w:bookmarkStart w:id="125" w:name="_Toc178586365"/>
      <w:bookmarkEnd w:id="119"/>
      <w:r w:rsidRPr="005D3F46">
        <w:rPr>
          <w:noProof/>
          <w:sz w:val="18"/>
        </w:rPr>
        <mc:AlternateContent>
          <mc:Choice Requires="wps">
            <w:drawing>
              <wp:anchor distT="45720" distB="45720" distL="114300" distR="114300" simplePos="0" relativeHeight="251658306" behindDoc="0" locked="0" layoutInCell="1" allowOverlap="1" wp14:anchorId="6D27F140" wp14:editId="0B5DB2EA">
                <wp:simplePos x="0" y="0"/>
                <wp:positionH relativeFrom="column">
                  <wp:posOffset>2297927</wp:posOffset>
                </wp:positionH>
                <wp:positionV relativeFrom="paragraph">
                  <wp:posOffset>233432</wp:posOffset>
                </wp:positionV>
                <wp:extent cx="1271905" cy="341906"/>
                <wp:effectExtent l="0" t="0" r="4445" b="1270"/>
                <wp:wrapNone/>
                <wp:docPr id="1889490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341906"/>
                        </a:xfrm>
                        <a:prstGeom prst="rect">
                          <a:avLst/>
                        </a:prstGeom>
                        <a:solidFill>
                          <a:schemeClr val="accent1"/>
                        </a:solidFill>
                        <a:ln w="9525">
                          <a:noFill/>
                          <a:miter lim="800000"/>
                          <a:headEnd/>
                          <a:tailEnd/>
                        </a:ln>
                      </wps:spPr>
                      <wps:txbx>
                        <w:txbxContent>
                          <w:p w14:paraId="2D781E5D" w14:textId="77777777" w:rsidR="00106DC3" w:rsidRPr="00447980" w:rsidRDefault="00106DC3" w:rsidP="00106DC3">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7F140" id="_x0000_s1070" type="#_x0000_t202" style="position:absolute;left:0;text-align:left;margin-left:180.95pt;margin-top:18.4pt;width:100.15pt;height:26.9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" fillcolor="#86bc25 [3204]" stroked="f">
                <v:textbox>
                  <w:txbxContent>
                    <w:p w14:paraId="2D781E5D" w14:textId="77777777" w:rsidR="00106DC3" w:rsidRPr="00447980" w:rsidRDefault="00106DC3" w:rsidP="00106DC3">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Pr="005D3F46">
        <w:rPr>
          <w:noProof/>
          <w:sz w:val="18"/>
        </w:rPr>
        <mc:AlternateContent>
          <mc:Choice Requires="wps">
            <w:drawing>
              <wp:anchor distT="45720" distB="45720" distL="114300" distR="114300" simplePos="0" relativeHeight="251658304" behindDoc="0" locked="0" layoutInCell="1" allowOverlap="1" wp14:anchorId="7EF315FC" wp14:editId="3387B82E">
                <wp:simplePos x="0" y="0"/>
                <wp:positionH relativeFrom="column">
                  <wp:posOffset>229235</wp:posOffset>
                </wp:positionH>
                <wp:positionV relativeFrom="paragraph">
                  <wp:posOffset>298450</wp:posOffset>
                </wp:positionV>
                <wp:extent cx="1407160" cy="198755"/>
                <wp:effectExtent l="0" t="0" r="2540" b="0"/>
                <wp:wrapNone/>
                <wp:docPr id="643650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bg1">
                            <a:lumMod val="75000"/>
                          </a:schemeClr>
                        </a:solidFill>
                        <a:ln w="9525">
                          <a:noFill/>
                          <a:miter lim="800000"/>
                          <a:headEnd/>
                          <a:tailEnd/>
                        </a:ln>
                      </wps:spPr>
                      <wps:txbx>
                        <w:txbxContent>
                          <w:p w14:paraId="559196CE" w14:textId="77777777" w:rsidR="00106DC3" w:rsidRPr="00447980" w:rsidRDefault="00106DC3" w:rsidP="00106DC3">
                            <w:pPr>
                              <w:jc w:val="center"/>
                              <w:rPr>
                                <w:b/>
                                <w:bCs/>
                                <w:color w:val="595959" w:themeColor="text1" w:themeTint="A6"/>
                                <w:sz w:val="14"/>
                                <w:szCs w:val="14"/>
                              </w:rPr>
                            </w:pPr>
                            <w:r w:rsidRPr="00447980">
                              <w:rPr>
                                <w:b/>
                                <w:bCs/>
                                <w:color w:val="595959" w:themeColor="text1" w:themeTint="A6"/>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315FC" id="_x0000_s1071" type="#_x0000_t202" style="position:absolute;left:0;text-align:left;margin-left:18.05pt;margin-top:23.5pt;width:110.8pt;height:15.6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" fillcolor="#bfbfbf [2412]" stroked="f">
                <v:textbox>
                  <w:txbxContent>
                    <w:p w14:paraId="559196CE" w14:textId="77777777" w:rsidR="00106DC3" w:rsidRPr="00447980" w:rsidRDefault="00106DC3" w:rsidP="00106DC3">
                      <w:pPr>
                        <w:jc w:val="center"/>
                        <w:rPr>
                          <w:b/>
                          <w:bCs/>
                          <w:color w:val="595959" w:themeColor="text1" w:themeTint="A6"/>
                          <w:sz w:val="14"/>
                          <w:szCs w:val="14"/>
                        </w:rPr>
                      </w:pPr>
                      <w:r w:rsidRPr="00447980">
                        <w:rPr>
                          <w:b/>
                          <w:bCs/>
                          <w:color w:val="595959" w:themeColor="text1" w:themeTint="A6"/>
                          <w:sz w:val="14"/>
                          <w:szCs w:val="14"/>
                        </w:rPr>
                        <w:t>Prior to FEC preparation</w:t>
                      </w:r>
                    </w:p>
                  </w:txbxContent>
                </v:textbox>
              </v:shape>
            </w:pict>
          </mc:Fallback>
        </mc:AlternateContent>
      </w:r>
      <w:r w:rsidR="628515A0">
        <w:rPr>
          <w:rFonts w:asciiTheme="minorHAnsi" w:hAnsiTheme="minorHAnsi"/>
        </w:rPr>
        <w:t>Analysis of the Suitability of the PPP Arrangement</w:t>
      </w:r>
      <w:bookmarkEnd w:id="120"/>
      <w:bookmarkEnd w:id="121"/>
      <w:bookmarkEnd w:id="122"/>
      <w:bookmarkEnd w:id="123"/>
      <w:bookmarkEnd w:id="124"/>
      <w:bookmarkEnd w:id="125"/>
    </w:p>
    <w:p w14:paraId="18D17F4D" w14:textId="7935F92B" w:rsidR="00224952" w:rsidRPr="00172A7C" w:rsidRDefault="00106DC3" w:rsidP="00172A7C">
      <w:pPr>
        <w:jc w:val="center"/>
      </w:pPr>
      <w:r w:rsidRPr="005D3F46">
        <w:rPr>
          <w:noProof/>
          <w:sz w:val="18"/>
        </w:rPr>
        <mc:AlternateContent>
          <mc:Choice Requires="wps">
            <w:drawing>
              <wp:anchor distT="45720" distB="45720" distL="114300" distR="114300" simplePos="0" relativeHeight="251658309" behindDoc="0" locked="0" layoutInCell="1" allowOverlap="1" wp14:anchorId="7AD8283B" wp14:editId="18ADEDAE">
                <wp:simplePos x="0" y="0"/>
                <wp:positionH relativeFrom="column">
                  <wp:posOffset>4079019</wp:posOffset>
                </wp:positionH>
                <wp:positionV relativeFrom="paragraph">
                  <wp:posOffset>309549</wp:posOffset>
                </wp:positionV>
                <wp:extent cx="1287780" cy="389365"/>
                <wp:effectExtent l="0" t="0" r="7620" b="0"/>
                <wp:wrapNone/>
                <wp:docPr id="631463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89365"/>
                        </a:xfrm>
                        <a:prstGeom prst="rect">
                          <a:avLst/>
                        </a:prstGeom>
                        <a:solidFill>
                          <a:schemeClr val="bg1"/>
                        </a:solidFill>
                        <a:ln w="9525">
                          <a:noFill/>
                          <a:miter lim="800000"/>
                          <a:headEnd/>
                          <a:tailEnd/>
                        </a:ln>
                      </wps:spPr>
                      <wps:txbx>
                        <w:txbxContent>
                          <w:p w14:paraId="5FAD19E4" w14:textId="77777777" w:rsidR="00106DC3" w:rsidRPr="00A80C38" w:rsidRDefault="00106DC3" w:rsidP="00106DC3">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8283B" id="_x0000_s1072" type="#_x0000_t202" style="position:absolute;left:0;text-align:left;margin-left:321.2pt;margin-top:24.35pt;width:101.4pt;height:30.65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" fillcolor="white [3212]" stroked="f">
                <v:textbox>
                  <w:txbxContent>
                    <w:p w14:paraId="5FAD19E4" w14:textId="77777777" w:rsidR="00106DC3" w:rsidRPr="00A80C38" w:rsidRDefault="00106DC3" w:rsidP="00106DC3">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r w:rsidRPr="005D3F46">
        <w:rPr>
          <w:noProof/>
          <w:sz w:val="18"/>
        </w:rPr>
        <mc:AlternateContent>
          <mc:Choice Requires="wps">
            <w:drawing>
              <wp:anchor distT="45720" distB="45720" distL="114300" distR="114300" simplePos="0" relativeHeight="251658307" behindDoc="0" locked="0" layoutInCell="1" allowOverlap="1" wp14:anchorId="49155535" wp14:editId="1B28CA8A">
                <wp:simplePos x="0" y="0"/>
                <wp:positionH relativeFrom="column">
                  <wp:posOffset>4222143</wp:posOffset>
                </wp:positionH>
                <wp:positionV relativeFrom="paragraph">
                  <wp:posOffset>7399</wp:posOffset>
                </wp:positionV>
                <wp:extent cx="1383030" cy="333955"/>
                <wp:effectExtent l="0" t="0" r="7620" b="9525"/>
                <wp:wrapNone/>
                <wp:docPr id="577439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33955"/>
                        </a:xfrm>
                        <a:prstGeom prst="rect">
                          <a:avLst/>
                        </a:prstGeom>
                        <a:solidFill>
                          <a:schemeClr val="bg1">
                            <a:lumMod val="75000"/>
                          </a:schemeClr>
                        </a:solidFill>
                        <a:ln w="9525">
                          <a:noFill/>
                          <a:miter lim="800000"/>
                          <a:headEnd/>
                          <a:tailEnd/>
                        </a:ln>
                      </wps:spPr>
                      <wps:txbx>
                        <w:txbxContent>
                          <w:p w14:paraId="2F2E95B0" w14:textId="77777777" w:rsidR="00106DC3" w:rsidRPr="00B431B1" w:rsidRDefault="00106DC3" w:rsidP="00106DC3">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55535" id="_x0000_s1073" type="#_x0000_t202" style="position:absolute;left:0;text-align:left;margin-left:332.45pt;margin-top:.6pt;width:108.9pt;height:26.3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" fillcolor="#bfbfbf [2412]" stroked="f">
                <v:textbox>
                  <w:txbxContent>
                    <w:p w14:paraId="2F2E95B0" w14:textId="77777777" w:rsidR="00106DC3" w:rsidRPr="00B431B1" w:rsidRDefault="00106DC3" w:rsidP="00106DC3">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Pr="005D3F46">
        <w:rPr>
          <w:noProof/>
          <w:sz w:val="18"/>
        </w:rPr>
        <mc:AlternateContent>
          <mc:Choice Requires="wps">
            <w:drawing>
              <wp:anchor distT="45720" distB="45720" distL="114300" distR="114300" simplePos="0" relativeHeight="251658308" behindDoc="0" locked="0" layoutInCell="1" allowOverlap="1" wp14:anchorId="127D9AB3" wp14:editId="6F4CAD0A">
                <wp:simplePos x="0" y="0"/>
                <wp:positionH relativeFrom="column">
                  <wp:posOffset>2113639</wp:posOffset>
                </wp:positionH>
                <wp:positionV relativeFrom="paragraph">
                  <wp:posOffset>309024</wp:posOffset>
                </wp:positionV>
                <wp:extent cx="1629410" cy="325755"/>
                <wp:effectExtent l="0" t="0" r="8890" b="0"/>
                <wp:wrapNone/>
                <wp:docPr id="961904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25755"/>
                        </a:xfrm>
                        <a:prstGeom prst="rect">
                          <a:avLst/>
                        </a:prstGeom>
                        <a:solidFill>
                          <a:schemeClr val="bg1"/>
                        </a:solidFill>
                        <a:ln w="9525">
                          <a:noFill/>
                          <a:miter lim="800000"/>
                          <a:headEnd/>
                          <a:tailEnd/>
                        </a:ln>
                      </wps:spPr>
                      <wps:txbx>
                        <w:txbxContent>
                          <w:p w14:paraId="657A15B4" w14:textId="77777777" w:rsidR="00106DC3" w:rsidRPr="00447980" w:rsidRDefault="00106DC3" w:rsidP="00106DC3">
                            <w:pPr>
                              <w:rPr>
                                <w:b/>
                                <w:bCs/>
                                <w:sz w:val="14"/>
                                <w:szCs w:val="14"/>
                                <w:lang w:val="en-GB"/>
                              </w:rPr>
                            </w:pPr>
                            <w:r w:rsidRPr="00447980">
                              <w:rPr>
                                <w:b/>
                                <w:bCs/>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D9AB3" id="_x0000_s1074" type="#_x0000_t202" style="position:absolute;left:0;text-align:left;margin-left:166.45pt;margin-top:24.35pt;width:128.3pt;height:25.6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" fillcolor="white [3212]" stroked="f">
                <v:textbox>
                  <w:txbxContent>
                    <w:p w14:paraId="657A15B4" w14:textId="77777777" w:rsidR="00106DC3" w:rsidRPr="00447980" w:rsidRDefault="00106DC3" w:rsidP="00106DC3">
                      <w:pPr>
                        <w:rPr>
                          <w:b/>
                          <w:bCs/>
                          <w:sz w:val="14"/>
                          <w:szCs w:val="14"/>
                          <w:lang w:val="en-GB"/>
                        </w:rPr>
                      </w:pPr>
                      <w:r w:rsidRPr="00447980">
                        <w:rPr>
                          <w:b/>
                          <w:bCs/>
                          <w:sz w:val="14"/>
                          <w:szCs w:val="14"/>
                          <w:lang w:val="en-GB"/>
                        </w:rPr>
                        <w:t>Assessing project implementation alternatives</w:t>
                      </w:r>
                    </w:p>
                  </w:txbxContent>
                </v:textbox>
              </v:shape>
            </w:pict>
          </mc:Fallback>
        </mc:AlternateContent>
      </w:r>
      <w:r w:rsidRPr="005D3F46">
        <w:rPr>
          <w:noProof/>
          <w:sz w:val="18"/>
        </w:rPr>
        <mc:AlternateContent>
          <mc:Choice Requires="wps">
            <w:drawing>
              <wp:anchor distT="45720" distB="45720" distL="114300" distR="114300" simplePos="0" relativeHeight="251658305" behindDoc="0" locked="0" layoutInCell="1" allowOverlap="1" wp14:anchorId="53958F52" wp14:editId="6FA3F667">
                <wp:simplePos x="0" y="0"/>
                <wp:positionH relativeFrom="column">
                  <wp:posOffset>71562</wp:posOffset>
                </wp:positionH>
                <wp:positionV relativeFrom="paragraph">
                  <wp:posOffset>285695</wp:posOffset>
                </wp:positionV>
                <wp:extent cx="1598212" cy="325755"/>
                <wp:effectExtent l="0" t="0" r="2540" b="0"/>
                <wp:wrapNone/>
                <wp:docPr id="212324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325755"/>
                        </a:xfrm>
                        <a:prstGeom prst="rect">
                          <a:avLst/>
                        </a:prstGeom>
                        <a:solidFill>
                          <a:schemeClr val="bg1"/>
                        </a:solidFill>
                        <a:ln w="9525">
                          <a:noFill/>
                          <a:miter lim="800000"/>
                          <a:headEnd/>
                          <a:tailEnd/>
                        </a:ln>
                      </wps:spPr>
                      <wps:txbx>
                        <w:txbxContent>
                          <w:p w14:paraId="0F92D7EC" w14:textId="77777777" w:rsidR="00106DC3" w:rsidRPr="00447980" w:rsidRDefault="00106DC3" w:rsidP="00106DC3">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58F52" id="_x0000_s1075" type="#_x0000_t202" style="position:absolute;left:0;text-align:left;margin-left:5.65pt;margin-top:22.5pt;width:125.85pt;height:25.6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" fillcolor="white [3212]" stroked="f">
                <v:textbox>
                  <w:txbxContent>
                    <w:p w14:paraId="0F92D7EC" w14:textId="77777777" w:rsidR="00106DC3" w:rsidRPr="00447980" w:rsidRDefault="00106DC3" w:rsidP="00106DC3">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v:textbox>
              </v:shape>
            </w:pict>
          </mc:Fallback>
        </mc:AlternateContent>
      </w:r>
      <w:r w:rsidR="00172A7C">
        <w:rPr>
          <w:noProof/>
          <w:color w:val="002060"/>
          <w:sz w:val="24"/>
          <w:shd w:val="clear" w:color="auto" w:fill="E6E6E6"/>
        </w:rPr>
        <mc:AlternateContent>
          <mc:Choice Requires="wps">
            <w:drawing>
              <wp:anchor distT="45720" distB="45720" distL="114300" distR="114300" simplePos="0" relativeHeight="251658241" behindDoc="0" locked="0" layoutInCell="1" allowOverlap="1" wp14:anchorId="703D3BB5" wp14:editId="3E9A415A">
                <wp:simplePos x="0" y="0"/>
                <wp:positionH relativeFrom="column">
                  <wp:posOffset>31750</wp:posOffset>
                </wp:positionH>
                <wp:positionV relativeFrom="paragraph">
                  <wp:posOffset>680720</wp:posOffset>
                </wp:positionV>
                <wp:extent cx="5947410" cy="1365250"/>
                <wp:effectExtent l="0" t="0" r="1524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365250"/>
                        </a:xfrm>
                        <a:prstGeom prst="rect">
                          <a:avLst/>
                        </a:prstGeom>
                        <a:solidFill>
                          <a:srgbClr val="FFFFFF"/>
                        </a:solidFill>
                        <a:ln w="9525">
                          <a:solidFill>
                            <a:schemeClr val="tx2"/>
                          </a:solidFill>
                          <a:miter lim="800000"/>
                          <a:headEnd/>
                          <a:tailEnd/>
                        </a:ln>
                      </wps:spPr>
                      <wps:txbx>
                        <w:txbxContent>
                          <w:p w14:paraId="66890F01" w14:textId="76B063F1" w:rsidR="00EF0F26" w:rsidRPr="00172A7C" w:rsidRDefault="00746F6D" w:rsidP="00172A7C">
                            <w:pPr>
                              <w:spacing w:after="120"/>
                              <w:rPr>
                                <w:sz w:val="18"/>
                                <w:szCs w:val="18"/>
                              </w:rPr>
                            </w:pPr>
                            <w:hyperlink w:anchor="_Pielikums_B._Izmantoto" w:history="1">
                              <w:r>
                                <w:rPr>
                                  <w:rStyle w:val="Hipersaite"/>
                                  <w:sz w:val="18"/>
                                </w:rPr>
                                <w:t>Documents to be used</w:t>
                              </w:r>
                            </w:hyperlink>
                            <w:r>
                              <w:rPr>
                                <w:sz w:val="18"/>
                              </w:rPr>
                              <w:t>:</w:t>
                            </w:r>
                          </w:p>
                          <w:p w14:paraId="4B7DA8E4" w14:textId="1C297DDF" w:rsidR="00EF0F26" w:rsidRPr="00172A7C" w:rsidRDefault="00EF0F26" w:rsidP="008B6449">
                            <w:pPr>
                              <w:pStyle w:val="Sarakstarindkopa"/>
                              <w:numPr>
                                <w:ilvl w:val="0"/>
                                <w:numId w:val="8"/>
                              </w:numPr>
                              <w:spacing w:after="120"/>
                              <w:rPr>
                                <w:rFonts w:ascii="Verdana" w:hAnsi="Verdana"/>
                                <w:sz w:val="18"/>
                                <w:szCs w:val="18"/>
                              </w:rPr>
                            </w:pPr>
                            <w:r>
                              <w:rPr>
                                <w:rStyle w:val="Hipersaite"/>
                                <w:color w:val="auto"/>
                                <w:sz w:val="18"/>
                                <w:u w:val="none"/>
                              </w:rPr>
                              <w:t>A Guide to Preparing a PPP Project</w:t>
                            </w:r>
                            <w:r>
                              <w:rPr>
                                <w:sz w:val="18"/>
                              </w:rPr>
                              <w:t xml:space="preserve"> </w:t>
                            </w:r>
                            <w:r>
                              <w:rPr>
                                <w:sz w:val="18"/>
                              </w:rPr>
                              <w:tab/>
                            </w:r>
                            <w:r>
                              <w:rPr>
                                <w:sz w:val="18"/>
                              </w:rPr>
                              <w:tab/>
                              <w:t>8. CcL</w:t>
                            </w:r>
                          </w:p>
                          <w:p w14:paraId="331195AC" w14:textId="43DEEF82" w:rsidR="00EF0F26" w:rsidRPr="00172A7C" w:rsidRDefault="00EF0F26" w:rsidP="008B6449">
                            <w:pPr>
                              <w:pStyle w:val="Sarakstarindkopa"/>
                              <w:numPr>
                                <w:ilvl w:val="0"/>
                                <w:numId w:val="8"/>
                              </w:numPr>
                              <w:rPr>
                                <w:rFonts w:ascii="Verdana" w:hAnsi="Verdana"/>
                                <w:sz w:val="18"/>
                                <w:szCs w:val="20"/>
                              </w:rPr>
                            </w:pPr>
                            <w:r>
                              <w:rPr>
                                <w:rStyle w:val="Hipersaite"/>
                                <w:color w:val="auto"/>
                                <w:sz w:val="18"/>
                                <w:u w:val="none"/>
                              </w:rPr>
                              <w:t>A Guide to the of VFM</w:t>
                            </w:r>
                            <w:r>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Pr>
                                <w:rStyle w:val="Hipersaite"/>
                                <w:color w:val="auto"/>
                                <w:sz w:val="18"/>
                                <w:u w:val="none"/>
                              </w:rPr>
                              <w:t>9. Governance Law</w:t>
                            </w:r>
                          </w:p>
                          <w:p w14:paraId="4C644BE4" w14:textId="2D3A0EAA" w:rsidR="00EF0F26" w:rsidRPr="00482E04" w:rsidRDefault="00EF0F26" w:rsidP="008B6449">
                            <w:pPr>
                              <w:pStyle w:val="Sarakstarindkopa"/>
                              <w:numPr>
                                <w:ilvl w:val="0"/>
                                <w:numId w:val="8"/>
                              </w:numPr>
                              <w:rPr>
                                <w:rFonts w:ascii="Verdana" w:hAnsi="Verdana"/>
                                <w:sz w:val="18"/>
                                <w:szCs w:val="18"/>
                              </w:rPr>
                            </w:pPr>
                            <w:r>
                              <w:rPr>
                                <w:sz w:val="18"/>
                              </w:rPr>
                              <w:t>PPP Law</w:t>
                            </w:r>
                            <w:r>
                              <w:rPr>
                                <w:sz w:val="18"/>
                              </w:rPr>
                              <w:tab/>
                            </w:r>
                            <w:r>
                              <w:rPr>
                                <w:sz w:val="18"/>
                              </w:rPr>
                              <w:tab/>
                            </w:r>
                            <w:r>
                              <w:rPr>
                                <w:sz w:val="18"/>
                              </w:rPr>
                              <w:tab/>
                            </w:r>
                            <w:r>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Pr>
                                <w:sz w:val="18"/>
                              </w:rPr>
                              <w:tab/>
                              <w:t>10. PPL</w:t>
                            </w:r>
                          </w:p>
                          <w:p w14:paraId="3EC03EB9" w14:textId="3E40005A" w:rsidR="00EF0F26" w:rsidRPr="004D2DB0" w:rsidRDefault="00EF0F26" w:rsidP="008B6449">
                            <w:pPr>
                              <w:pStyle w:val="Sarakstarindkopa"/>
                              <w:numPr>
                                <w:ilvl w:val="0"/>
                                <w:numId w:val="8"/>
                              </w:numPr>
                              <w:rPr>
                                <w:rFonts w:ascii="Verdana" w:hAnsi="Verdana"/>
                                <w:sz w:val="18"/>
                                <w:szCs w:val="18"/>
                              </w:rPr>
                            </w:pPr>
                            <w:r>
                              <w:rPr>
                                <w:sz w:val="18"/>
                              </w:rPr>
                              <w:t>SASL</w:t>
                            </w:r>
                            <w:r>
                              <w:rPr>
                                <w:sz w:val="18"/>
                              </w:rPr>
                              <w:tab/>
                            </w:r>
                            <w:r>
                              <w:rPr>
                                <w:sz w:val="18"/>
                              </w:rPr>
                              <w:tab/>
                            </w:r>
                            <w:r>
                              <w:rPr>
                                <w:sz w:val="18"/>
                              </w:rPr>
                              <w:tab/>
                            </w:r>
                            <w:r>
                              <w:rPr>
                                <w:sz w:val="18"/>
                              </w:rPr>
                              <w:tab/>
                            </w:r>
                            <w:r>
                              <w:rPr>
                                <w:sz w:val="18"/>
                              </w:rPr>
                              <w:tab/>
                            </w:r>
                            <w:r>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Pr>
                                <w:sz w:val="18"/>
                              </w:rPr>
                              <w:t>11. LPPSP</w:t>
                            </w:r>
                          </w:p>
                          <w:p w14:paraId="70331153" w14:textId="385A55A3" w:rsidR="00EF0F26" w:rsidRPr="004D2DB0" w:rsidRDefault="00EF0F26" w:rsidP="008B6449">
                            <w:pPr>
                              <w:pStyle w:val="Sarakstarindkopa"/>
                              <w:numPr>
                                <w:ilvl w:val="0"/>
                                <w:numId w:val="8"/>
                              </w:numPr>
                              <w:rPr>
                                <w:rFonts w:ascii="Verdana" w:hAnsi="Verdana"/>
                                <w:sz w:val="18"/>
                                <w:szCs w:val="18"/>
                              </w:rPr>
                            </w:pPr>
                            <w:r>
                              <w:rPr>
                                <w:sz w:val="18"/>
                              </w:rPr>
                              <w:t>Law on Prevention of Squandering</w:t>
                            </w:r>
                            <w:r>
                              <w:rPr>
                                <w:sz w:val="18"/>
                              </w:rPr>
                              <w:tab/>
                            </w:r>
                            <w:r>
                              <w:rPr>
                                <w:sz w:val="18"/>
                              </w:rPr>
                              <w:tab/>
                            </w:r>
                            <w:r w:rsidR="00C50550">
                              <w:rPr>
                                <w:sz w:val="18"/>
                              </w:rPr>
                              <w:tab/>
                            </w:r>
                            <w:r>
                              <w:rPr>
                                <w:sz w:val="18"/>
                              </w:rPr>
                              <w:t>12. LPFDS</w:t>
                            </w:r>
                          </w:p>
                          <w:p w14:paraId="705CDD7D" w14:textId="0AE66F1A" w:rsidR="00F01CE8" w:rsidRPr="00F01CE8" w:rsidRDefault="00EF0F26" w:rsidP="008B6449">
                            <w:pPr>
                              <w:pStyle w:val="Sarakstarindkopa"/>
                              <w:numPr>
                                <w:ilvl w:val="0"/>
                                <w:numId w:val="8"/>
                              </w:numPr>
                              <w:rPr>
                                <w:rFonts w:ascii="Verdana" w:hAnsi="Verdana"/>
                                <w:sz w:val="18"/>
                                <w:szCs w:val="20"/>
                              </w:rPr>
                            </w:pPr>
                            <w:r>
                              <w:rPr>
                                <w:sz w:val="18"/>
                              </w:rPr>
                              <w:t>CtL</w:t>
                            </w:r>
                            <w:r>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t>13. Laws and regulations governing commercial</w:t>
                            </w:r>
                          </w:p>
                          <w:p w14:paraId="722CA059" w14:textId="7CECFBA8" w:rsidR="00EF0F26" w:rsidRPr="00F01CE8" w:rsidRDefault="00F01CE8" w:rsidP="00F01CE8">
                            <w:pPr>
                              <w:pStyle w:val="Sarakstarindkopa"/>
                              <w:numPr>
                                <w:ilvl w:val="0"/>
                                <w:numId w:val="8"/>
                              </w:numPr>
                              <w:rPr>
                                <w:rFonts w:ascii="Verdana" w:hAnsi="Verdana"/>
                                <w:sz w:val="18"/>
                                <w:szCs w:val="20"/>
                              </w:rPr>
                            </w:pPr>
                            <w:r>
                              <w:rPr>
                                <w:sz w:val="18"/>
                              </w:rPr>
                              <w:t>Aid Law</w:t>
                            </w:r>
                            <w:r w:rsidR="00EF0F26">
                              <w:rPr>
                                <w:sz w:val="18"/>
                              </w:rPr>
                              <w:tab/>
                            </w:r>
                            <w:r w:rsidR="00EF0F26">
                              <w:rPr>
                                <w:sz w:val="18"/>
                              </w:rPr>
                              <w:tab/>
                            </w:r>
                            <w:r w:rsidR="00EF0F26">
                              <w:rPr>
                                <w:sz w:val="18"/>
                              </w:rPr>
                              <w:tab/>
                            </w:r>
                            <w:r w:rsidR="00EF0F26">
                              <w:rPr>
                                <w:sz w:val="18"/>
                              </w:rPr>
                              <w:tab/>
                            </w:r>
                            <w:r w:rsidR="00EF0F26">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Pr>
                                <w:sz w:val="18"/>
                              </w:rPr>
                              <w:tab/>
                            </w:r>
                            <w:r>
                              <w:rPr>
                                <w:sz w:val="18"/>
                              </w:rPr>
                              <w:tab/>
                            </w:r>
                            <w:r>
                              <w:rPr>
                                <w:sz w:val="18"/>
                              </w:rPr>
                              <w:tab/>
                            </w:r>
                            <w:r>
                              <w:rPr>
                                <w:sz w:val="18"/>
                              </w:rPr>
                              <w:tab/>
                            </w:r>
                            <w:r>
                              <w:rPr>
                                <w:sz w:val="18"/>
                              </w:rPr>
                              <w:tab/>
                            </w:r>
                            <w:r>
                              <w:rPr>
                                <w:sz w:val="18"/>
                              </w:rPr>
                              <w:tab/>
                            </w:r>
                            <w:r>
                              <w:rPr>
                                <w:sz w:val="18"/>
                              </w:rPr>
                              <w:tab/>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D3BB5" id="_x0000_s1076" type="#_x0000_t202" style="position:absolute;left:0;text-align:left;margin-left:2.5pt;margin-top:53.6pt;width:468.3pt;height:10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" strokecolor="#44546a [3215]">
                <v:textbox>
                  <w:txbxContent>
                    <w:p w14:paraId="66890F01" w14:textId="76B063F1" w:rsidR="00EF0F26" w:rsidRPr="00172A7C" w:rsidRDefault="00746F6D" w:rsidP="00172A7C">
                      <w:pPr>
                        <w:spacing w:after="120"/>
                        <w:rPr>
                          <w:sz w:val="18"/>
                          <w:szCs w:val="18"/>
                        </w:rPr>
                      </w:pPr>
                      <w:hyperlink w:anchor="_Pielikums_B._Izmantoto" w:history="1">
                        <w:r>
                          <w:rPr>
                            <w:rStyle w:val="Hipersaite"/>
                            <w:sz w:val="18"/>
                          </w:rPr>
                          <w:t>Documents to be used</w:t>
                        </w:r>
                      </w:hyperlink>
                      <w:r>
                        <w:rPr>
                          <w:sz w:val="18"/>
                        </w:rPr>
                        <w:t>:</w:t>
                      </w:r>
                    </w:p>
                    <w:p w14:paraId="4B7DA8E4" w14:textId="1C297DDF" w:rsidR="00EF0F26" w:rsidRPr="00172A7C" w:rsidRDefault="00EF0F26" w:rsidP="008B6449">
                      <w:pPr>
                        <w:pStyle w:val="Sarakstarindkopa"/>
                        <w:numPr>
                          <w:ilvl w:val="0"/>
                          <w:numId w:val="8"/>
                        </w:numPr>
                        <w:spacing w:after="120"/>
                        <w:rPr>
                          <w:rFonts w:ascii="Verdana" w:hAnsi="Verdana"/>
                          <w:sz w:val="18"/>
                          <w:szCs w:val="18"/>
                        </w:rPr>
                      </w:pPr>
                      <w:r>
                        <w:rPr>
                          <w:rStyle w:val="Hipersaite"/>
                          <w:color w:val="auto"/>
                          <w:sz w:val="18"/>
                          <w:u w:val="none"/>
                        </w:rPr>
                        <w:t>A Guide to Preparing a PPP Project</w:t>
                      </w:r>
                      <w:r>
                        <w:rPr>
                          <w:sz w:val="18"/>
                        </w:rPr>
                        <w:t xml:space="preserve"> </w:t>
                      </w:r>
                      <w:r>
                        <w:rPr>
                          <w:sz w:val="18"/>
                        </w:rPr>
                        <w:tab/>
                      </w:r>
                      <w:r>
                        <w:rPr>
                          <w:sz w:val="18"/>
                        </w:rPr>
                        <w:tab/>
                        <w:t>8. CcL</w:t>
                      </w:r>
                    </w:p>
                    <w:p w14:paraId="331195AC" w14:textId="43DEEF82" w:rsidR="00EF0F26" w:rsidRPr="00172A7C" w:rsidRDefault="00EF0F26" w:rsidP="008B6449">
                      <w:pPr>
                        <w:pStyle w:val="Sarakstarindkopa"/>
                        <w:numPr>
                          <w:ilvl w:val="0"/>
                          <w:numId w:val="8"/>
                        </w:numPr>
                        <w:rPr>
                          <w:rFonts w:ascii="Verdana" w:hAnsi="Verdana"/>
                          <w:sz w:val="18"/>
                          <w:szCs w:val="20"/>
                        </w:rPr>
                      </w:pPr>
                      <w:r>
                        <w:rPr>
                          <w:rStyle w:val="Hipersaite"/>
                          <w:color w:val="auto"/>
                          <w:sz w:val="18"/>
                          <w:u w:val="none"/>
                        </w:rPr>
                        <w:t>A Guide to the of VFM</w:t>
                      </w:r>
                      <w:r>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sidR="00C50550">
                        <w:rPr>
                          <w:rStyle w:val="Hipersaite"/>
                          <w:color w:val="auto"/>
                          <w:sz w:val="18"/>
                          <w:u w:val="none"/>
                        </w:rPr>
                        <w:tab/>
                      </w:r>
                      <w:r>
                        <w:rPr>
                          <w:rStyle w:val="Hipersaite"/>
                          <w:color w:val="auto"/>
                          <w:sz w:val="18"/>
                          <w:u w:val="none"/>
                        </w:rPr>
                        <w:t>9. Governance Law</w:t>
                      </w:r>
                    </w:p>
                    <w:p w14:paraId="4C644BE4" w14:textId="2D3A0EAA" w:rsidR="00EF0F26" w:rsidRPr="00482E04" w:rsidRDefault="00EF0F26" w:rsidP="008B6449">
                      <w:pPr>
                        <w:pStyle w:val="Sarakstarindkopa"/>
                        <w:numPr>
                          <w:ilvl w:val="0"/>
                          <w:numId w:val="8"/>
                        </w:numPr>
                        <w:rPr>
                          <w:rFonts w:ascii="Verdana" w:hAnsi="Verdana"/>
                          <w:sz w:val="18"/>
                          <w:szCs w:val="18"/>
                        </w:rPr>
                      </w:pPr>
                      <w:r>
                        <w:rPr>
                          <w:sz w:val="18"/>
                        </w:rPr>
                        <w:t>PPP Law</w:t>
                      </w:r>
                      <w:r>
                        <w:rPr>
                          <w:sz w:val="18"/>
                        </w:rPr>
                        <w:tab/>
                      </w:r>
                      <w:r>
                        <w:rPr>
                          <w:sz w:val="18"/>
                        </w:rPr>
                        <w:tab/>
                      </w:r>
                      <w:r>
                        <w:rPr>
                          <w:sz w:val="18"/>
                        </w:rPr>
                        <w:tab/>
                      </w:r>
                      <w:r>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Pr>
                          <w:sz w:val="18"/>
                        </w:rPr>
                        <w:tab/>
                        <w:t>10. PPL</w:t>
                      </w:r>
                    </w:p>
                    <w:p w14:paraId="3EC03EB9" w14:textId="3E40005A" w:rsidR="00EF0F26" w:rsidRPr="004D2DB0" w:rsidRDefault="00EF0F26" w:rsidP="008B6449">
                      <w:pPr>
                        <w:pStyle w:val="Sarakstarindkopa"/>
                        <w:numPr>
                          <w:ilvl w:val="0"/>
                          <w:numId w:val="8"/>
                        </w:numPr>
                        <w:rPr>
                          <w:rFonts w:ascii="Verdana" w:hAnsi="Verdana"/>
                          <w:sz w:val="18"/>
                          <w:szCs w:val="18"/>
                        </w:rPr>
                      </w:pPr>
                      <w:r>
                        <w:rPr>
                          <w:sz w:val="18"/>
                        </w:rPr>
                        <w:t>SASL</w:t>
                      </w:r>
                      <w:r>
                        <w:rPr>
                          <w:sz w:val="18"/>
                        </w:rPr>
                        <w:tab/>
                      </w:r>
                      <w:r>
                        <w:rPr>
                          <w:sz w:val="18"/>
                        </w:rPr>
                        <w:tab/>
                      </w:r>
                      <w:r>
                        <w:rPr>
                          <w:sz w:val="18"/>
                        </w:rPr>
                        <w:tab/>
                      </w:r>
                      <w:r>
                        <w:rPr>
                          <w:sz w:val="18"/>
                        </w:rPr>
                        <w:tab/>
                      </w:r>
                      <w:r>
                        <w:rPr>
                          <w:sz w:val="18"/>
                        </w:rPr>
                        <w:tab/>
                      </w:r>
                      <w:r>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Pr>
                          <w:sz w:val="18"/>
                        </w:rPr>
                        <w:t>11. LPPSP</w:t>
                      </w:r>
                    </w:p>
                    <w:p w14:paraId="70331153" w14:textId="385A55A3" w:rsidR="00EF0F26" w:rsidRPr="004D2DB0" w:rsidRDefault="00EF0F26" w:rsidP="008B6449">
                      <w:pPr>
                        <w:pStyle w:val="Sarakstarindkopa"/>
                        <w:numPr>
                          <w:ilvl w:val="0"/>
                          <w:numId w:val="8"/>
                        </w:numPr>
                        <w:rPr>
                          <w:rFonts w:ascii="Verdana" w:hAnsi="Verdana"/>
                          <w:sz w:val="18"/>
                          <w:szCs w:val="18"/>
                        </w:rPr>
                      </w:pPr>
                      <w:r>
                        <w:rPr>
                          <w:sz w:val="18"/>
                        </w:rPr>
                        <w:t>Law on Prevention of Squandering</w:t>
                      </w:r>
                      <w:r>
                        <w:rPr>
                          <w:sz w:val="18"/>
                        </w:rPr>
                        <w:tab/>
                      </w:r>
                      <w:r>
                        <w:rPr>
                          <w:sz w:val="18"/>
                        </w:rPr>
                        <w:tab/>
                      </w:r>
                      <w:r w:rsidR="00C50550">
                        <w:rPr>
                          <w:sz w:val="18"/>
                        </w:rPr>
                        <w:tab/>
                      </w:r>
                      <w:r>
                        <w:rPr>
                          <w:sz w:val="18"/>
                        </w:rPr>
                        <w:t>12. LPFDS</w:t>
                      </w:r>
                    </w:p>
                    <w:p w14:paraId="705CDD7D" w14:textId="0AE66F1A" w:rsidR="00F01CE8" w:rsidRPr="00F01CE8" w:rsidRDefault="00EF0F26" w:rsidP="008B6449">
                      <w:pPr>
                        <w:pStyle w:val="Sarakstarindkopa"/>
                        <w:numPr>
                          <w:ilvl w:val="0"/>
                          <w:numId w:val="8"/>
                        </w:numPr>
                        <w:rPr>
                          <w:rFonts w:ascii="Verdana" w:hAnsi="Verdana"/>
                          <w:sz w:val="18"/>
                          <w:szCs w:val="20"/>
                        </w:rPr>
                      </w:pPr>
                      <w:r>
                        <w:rPr>
                          <w:sz w:val="18"/>
                        </w:rPr>
                        <w:t>CtL</w:t>
                      </w:r>
                      <w:r>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r>
                      <w:r w:rsidR="00F01CE8">
                        <w:rPr>
                          <w:sz w:val="18"/>
                        </w:rPr>
                        <w:tab/>
                        <w:t>13. Laws and regulations governing commercial</w:t>
                      </w:r>
                    </w:p>
                    <w:p w14:paraId="722CA059" w14:textId="7CECFBA8" w:rsidR="00EF0F26" w:rsidRPr="00F01CE8" w:rsidRDefault="00F01CE8" w:rsidP="00F01CE8">
                      <w:pPr>
                        <w:pStyle w:val="Sarakstarindkopa"/>
                        <w:numPr>
                          <w:ilvl w:val="0"/>
                          <w:numId w:val="8"/>
                        </w:numPr>
                        <w:rPr>
                          <w:rFonts w:ascii="Verdana" w:hAnsi="Verdana"/>
                          <w:sz w:val="18"/>
                          <w:szCs w:val="20"/>
                        </w:rPr>
                      </w:pPr>
                      <w:r>
                        <w:rPr>
                          <w:sz w:val="18"/>
                        </w:rPr>
                        <w:t>Aid Law</w:t>
                      </w:r>
                      <w:r w:rsidR="00EF0F26">
                        <w:rPr>
                          <w:sz w:val="18"/>
                        </w:rPr>
                        <w:tab/>
                      </w:r>
                      <w:r w:rsidR="00EF0F26">
                        <w:rPr>
                          <w:sz w:val="18"/>
                        </w:rPr>
                        <w:tab/>
                      </w:r>
                      <w:r w:rsidR="00EF0F26">
                        <w:rPr>
                          <w:sz w:val="18"/>
                        </w:rPr>
                        <w:tab/>
                      </w:r>
                      <w:r w:rsidR="00EF0F26">
                        <w:rPr>
                          <w:sz w:val="18"/>
                        </w:rPr>
                        <w:tab/>
                      </w:r>
                      <w:r w:rsidR="00EF0F26">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sidR="00C50550">
                        <w:rPr>
                          <w:sz w:val="18"/>
                        </w:rPr>
                        <w:tab/>
                      </w:r>
                      <w:r>
                        <w:rPr>
                          <w:sz w:val="18"/>
                        </w:rPr>
                        <w:tab/>
                      </w:r>
                      <w:r>
                        <w:rPr>
                          <w:sz w:val="18"/>
                        </w:rPr>
                        <w:tab/>
                      </w:r>
                      <w:r>
                        <w:rPr>
                          <w:sz w:val="18"/>
                        </w:rPr>
                        <w:tab/>
                      </w:r>
                      <w:r>
                        <w:rPr>
                          <w:sz w:val="18"/>
                        </w:rPr>
                        <w:tab/>
                      </w:r>
                      <w:r>
                        <w:rPr>
                          <w:sz w:val="18"/>
                        </w:rPr>
                        <w:tab/>
                      </w:r>
                      <w:r>
                        <w:rPr>
                          <w:sz w:val="18"/>
                        </w:rPr>
                        <w:tab/>
                      </w:r>
                      <w:r>
                        <w:rPr>
                          <w:sz w:val="18"/>
                        </w:rPr>
                        <w:tab/>
                        <w:t>activity</w:t>
                      </w:r>
                    </w:p>
                  </w:txbxContent>
                </v:textbox>
                <w10:wrap type="square"/>
              </v:shape>
            </w:pict>
          </mc:Fallback>
        </mc:AlternateContent>
      </w:r>
      <w:r w:rsidR="00172A7C">
        <w:rPr>
          <w:noProof/>
        </w:rPr>
        <w:drawing>
          <wp:inline distT="0" distB="0" distL="0" distR="0" wp14:anchorId="665EA563" wp14:editId="1596D17E">
            <wp:extent cx="6064250" cy="611505"/>
            <wp:effectExtent l="0" t="0" r="0" b="0"/>
            <wp:docPr id="803084712" name="Picture 80308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64250" cy="611505"/>
                    </a:xfrm>
                    <a:prstGeom prst="rect">
                      <a:avLst/>
                    </a:prstGeom>
                  </pic:spPr>
                </pic:pic>
              </a:graphicData>
            </a:graphic>
          </wp:inline>
        </w:drawing>
      </w:r>
    </w:p>
    <w:p w14:paraId="39E7A9B2" w14:textId="4E2095B1" w:rsidR="008BB93E" w:rsidRPr="00251B39" w:rsidRDefault="00A31575" w:rsidP="008BB93E">
      <w:pPr>
        <w:jc w:val="both"/>
      </w:pPr>
      <w:r w:rsidRPr="00CC7CF8">
        <w:rPr>
          <w:rFonts w:ascii="Verdana" w:hAnsi="Verdana"/>
          <w:noProof/>
          <w:sz w:val="18"/>
        </w:rPr>
        <mc:AlternateContent>
          <mc:Choice Requires="wps">
            <w:drawing>
              <wp:anchor distT="45720" distB="45720" distL="114300" distR="114300" simplePos="0" relativeHeight="251658347" behindDoc="0" locked="0" layoutInCell="1" allowOverlap="1" wp14:anchorId="42F22630" wp14:editId="4339FC0C">
                <wp:simplePos x="0" y="0"/>
                <wp:positionH relativeFrom="margin">
                  <wp:posOffset>3539600</wp:posOffset>
                </wp:positionH>
                <wp:positionV relativeFrom="paragraph">
                  <wp:posOffset>1430682</wp:posOffset>
                </wp:positionV>
                <wp:extent cx="2439035" cy="640908"/>
                <wp:effectExtent l="19050" t="19050" r="18415" b="26035"/>
                <wp:wrapNone/>
                <wp:docPr id="1650369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640908"/>
                        </a:xfrm>
                        <a:prstGeom prst="rect">
                          <a:avLst/>
                        </a:prstGeom>
                        <a:solidFill>
                          <a:srgbClr val="FFFFFF"/>
                        </a:solidFill>
                        <a:ln w="28575">
                          <a:solidFill>
                            <a:schemeClr val="accent1"/>
                          </a:solidFill>
                          <a:miter lim="800000"/>
                          <a:headEnd/>
                          <a:tailEnd/>
                        </a:ln>
                      </wps:spPr>
                      <wps:txbx>
                        <w:txbxContent>
                          <w:p w14:paraId="5E75E01E" w14:textId="77777777" w:rsidR="00A31575" w:rsidRDefault="00A31575" w:rsidP="00A31575">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6B23C7F2" w14:textId="699AD0BF" w:rsidR="00A31575" w:rsidRPr="007217EE" w:rsidRDefault="00A31575" w:rsidP="00A31575">
                            <w:pPr>
                              <w:jc w:val="center"/>
                              <w:rPr>
                                <w:b/>
                                <w:bCs/>
                                <w:sz w:val="12"/>
                                <w:szCs w:val="12"/>
                              </w:rPr>
                            </w:pPr>
                            <w:r>
                              <w:rPr>
                                <w:b/>
                                <w:bCs/>
                                <w:sz w:val="12"/>
                                <w:szCs w:val="12"/>
                              </w:rPr>
                              <w:t>A decision adopted on the most suitable PPP arrangement(-s) and model (one or several) for the implementation of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22630" id="_x0000_s1077" type="#_x0000_t202" style="position:absolute;left:0;text-align:left;margin-left:278.7pt;margin-top:112.65pt;width:192.05pt;height:50.45pt;z-index:2516583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" strokecolor="#86bc25 [3204]" strokeweight="2.25pt">
                <v:textbox>
                  <w:txbxContent>
                    <w:p w14:paraId="5E75E01E" w14:textId="77777777" w:rsidR="00A31575" w:rsidRDefault="00A31575" w:rsidP="00A31575">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6B23C7F2" w14:textId="699AD0BF" w:rsidR="00A31575" w:rsidRPr="007217EE" w:rsidRDefault="00A31575" w:rsidP="00A31575">
                      <w:pPr>
                        <w:jc w:val="center"/>
                        <w:rPr>
                          <w:b/>
                          <w:bCs/>
                          <w:sz w:val="12"/>
                          <w:szCs w:val="12"/>
                        </w:rPr>
                      </w:pPr>
                      <w:r>
                        <w:rPr>
                          <w:b/>
                          <w:bCs/>
                          <w:sz w:val="12"/>
                          <w:szCs w:val="12"/>
                        </w:rPr>
                        <w:t>A decision adopted on the most suitable PPP arrangement(-s) and model (one or several) for the implementation of the project</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346" behindDoc="0" locked="0" layoutInCell="1" allowOverlap="1" wp14:anchorId="1380F854" wp14:editId="414691CC">
                <wp:simplePos x="0" y="0"/>
                <wp:positionH relativeFrom="margin">
                  <wp:align>left</wp:align>
                </wp:positionH>
                <wp:positionV relativeFrom="paragraph">
                  <wp:posOffset>1478612</wp:posOffset>
                </wp:positionV>
                <wp:extent cx="2429952" cy="540688"/>
                <wp:effectExtent l="19050" t="19050" r="27940" b="12065"/>
                <wp:wrapNone/>
                <wp:docPr id="656759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52" cy="540688"/>
                        </a:xfrm>
                        <a:prstGeom prst="rect">
                          <a:avLst/>
                        </a:prstGeom>
                        <a:solidFill>
                          <a:srgbClr val="FFFFFF"/>
                        </a:solidFill>
                        <a:ln w="28575">
                          <a:solidFill>
                            <a:srgbClr val="92D050"/>
                          </a:solidFill>
                          <a:miter lim="800000"/>
                          <a:headEnd/>
                          <a:tailEnd/>
                        </a:ln>
                      </wps:spPr>
                      <wps:txbx>
                        <w:txbxContent>
                          <w:p w14:paraId="4C59077E" w14:textId="77777777" w:rsidR="00A31575" w:rsidRDefault="00A31575" w:rsidP="00A31575">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0E8153A7" w14:textId="31BBF89D" w:rsidR="00A31575" w:rsidRPr="007217EE" w:rsidRDefault="00A31575" w:rsidP="00A31575">
                            <w:pPr>
                              <w:jc w:val="center"/>
                              <w:rPr>
                                <w:b/>
                                <w:bCs/>
                                <w:sz w:val="12"/>
                                <w:szCs w:val="12"/>
                              </w:rPr>
                            </w:pPr>
                            <w:r>
                              <w:rPr>
                                <w:b/>
                                <w:bCs/>
                                <w:sz w:val="12"/>
                                <w:szCs w:val="12"/>
                              </w:rPr>
                              <w:t>Determine whether the project can be implemented using a PPP arrangement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0F854" id="_x0000_s1078" type="#_x0000_t202" style="position:absolute;left:0;text-align:left;margin-left:0;margin-top:116.45pt;width:191.35pt;height:42.55pt;z-index:2516583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" strokecolor="#92d050" strokeweight="2.25pt">
                <v:textbox>
                  <w:txbxContent>
                    <w:p w14:paraId="4C59077E" w14:textId="77777777" w:rsidR="00A31575" w:rsidRDefault="00A31575" w:rsidP="00A31575">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0E8153A7" w14:textId="31BBF89D" w:rsidR="00A31575" w:rsidRPr="007217EE" w:rsidRDefault="00A31575" w:rsidP="00A31575">
                      <w:pPr>
                        <w:jc w:val="center"/>
                        <w:rPr>
                          <w:b/>
                          <w:bCs/>
                          <w:sz w:val="12"/>
                          <w:szCs w:val="12"/>
                        </w:rPr>
                      </w:pPr>
                      <w:r>
                        <w:rPr>
                          <w:b/>
                          <w:bCs/>
                          <w:sz w:val="12"/>
                          <w:szCs w:val="12"/>
                        </w:rPr>
                        <w:t>Determine whether the project can be implemented using a PPP arrangement</w:t>
                      </w:r>
                    </w:p>
                  </w:txbxContent>
                </v:textbox>
                <w10:wrap anchorx="margin"/>
              </v:shape>
            </w:pict>
          </mc:Fallback>
        </mc:AlternateContent>
      </w:r>
      <w:r w:rsidR="008BB93E">
        <w:rPr>
          <w:noProof/>
        </w:rPr>
        <w:drawing>
          <wp:inline distT="0" distB="0" distL="0" distR="0" wp14:anchorId="27BAAB96" wp14:editId="735D7CFE">
            <wp:extent cx="6064250" cy="628650"/>
            <wp:effectExtent l="0" t="0" r="0" b="0"/>
            <wp:docPr id="904806414" name="Picture 90480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064250" cy="628650"/>
                    </a:xfrm>
                    <a:prstGeom prst="rect">
                      <a:avLst/>
                    </a:prstGeom>
                  </pic:spPr>
                </pic:pic>
              </a:graphicData>
            </a:graphic>
          </wp:inline>
        </w:drawing>
      </w:r>
    </w:p>
    <w:p w14:paraId="6F193A4D" w14:textId="012045C0" w:rsidR="002C3601" w:rsidRPr="00251B39" w:rsidRDefault="2FC4C6FB" w:rsidP="2FC4C6FB">
      <w:pPr>
        <w:jc w:val="both"/>
        <w:rPr>
          <w:sz w:val="18"/>
          <w:szCs w:val="18"/>
        </w:rPr>
      </w:pPr>
      <w:r>
        <w:rPr>
          <w:sz w:val="18"/>
        </w:rPr>
        <w:t xml:space="preserve">In order to assess whether the project identified in Chapter 2 can be implemented in a PPP framework, the public partner must assess a number of issues related to the applicable regulatory framework, the capabilities of the public partner and the potential private partner, and certain project-specific aspects. </w:t>
      </w:r>
    </w:p>
    <w:p w14:paraId="2A50E4CC" w14:textId="47E897A9" w:rsidR="002C3601" w:rsidRPr="00E35F6B" w:rsidRDefault="2FC4C6FB" w:rsidP="2FC4C6FB">
      <w:pPr>
        <w:jc w:val="both"/>
        <w:rPr>
          <w:sz w:val="20"/>
          <w:szCs w:val="20"/>
        </w:rPr>
      </w:pPr>
      <w:r>
        <w:rPr>
          <w:sz w:val="20"/>
        </w:rPr>
        <w:t>Applicable regulatory framework:</w:t>
      </w:r>
    </w:p>
    <w:p w14:paraId="7C6638C0" w14:textId="1679EF9F" w:rsidR="00CF766E" w:rsidRPr="00251B39" w:rsidRDefault="2FC4C6FB" w:rsidP="008B6449">
      <w:pPr>
        <w:pStyle w:val="Sarakstarindkopa"/>
        <w:numPr>
          <w:ilvl w:val="0"/>
          <w:numId w:val="48"/>
        </w:numPr>
        <w:spacing w:after="0"/>
        <w:contextualSpacing w:val="0"/>
        <w:jc w:val="both"/>
        <w:rPr>
          <w:sz w:val="18"/>
          <w:szCs w:val="18"/>
        </w:rPr>
      </w:pPr>
      <w:r>
        <w:rPr>
          <w:sz w:val="18"/>
        </w:rPr>
        <w:t>does the regulatory framework allow for the project to be implemented using one of the PPP arrangements?</w:t>
      </w:r>
    </w:p>
    <w:p w14:paraId="69575181" w14:textId="25B1C196" w:rsidR="005775FF" w:rsidRPr="00251B39" w:rsidRDefault="2FC4C6FB" w:rsidP="008B6449">
      <w:pPr>
        <w:pStyle w:val="Sarakstarindkopa"/>
        <w:numPr>
          <w:ilvl w:val="0"/>
          <w:numId w:val="48"/>
        </w:numPr>
        <w:spacing w:after="0"/>
        <w:contextualSpacing w:val="0"/>
        <w:jc w:val="both"/>
        <w:rPr>
          <w:sz w:val="18"/>
          <w:szCs w:val="18"/>
        </w:rPr>
      </w:pPr>
      <w:r>
        <w:rPr>
          <w:sz w:val="18"/>
        </w:rPr>
        <w:t>if the project involves the delegation of a public administration task or the provision of a public service, does the regulatory framework allow the private partner to provide the public service or to delegate the specific public administration task to the private partner?</w:t>
      </w:r>
    </w:p>
    <w:p w14:paraId="7A1A3E82" w14:textId="040662F4" w:rsidR="001C542E" w:rsidRPr="00251B39" w:rsidRDefault="2FC4C6FB" w:rsidP="008B6449">
      <w:pPr>
        <w:pStyle w:val="Sarakstarindkopa"/>
        <w:numPr>
          <w:ilvl w:val="0"/>
          <w:numId w:val="48"/>
        </w:numPr>
        <w:spacing w:after="0"/>
        <w:contextualSpacing w:val="0"/>
        <w:jc w:val="both"/>
        <w:rPr>
          <w:sz w:val="18"/>
          <w:szCs w:val="18"/>
        </w:rPr>
      </w:pPr>
      <w:r>
        <w:rPr>
          <w:sz w:val="18"/>
        </w:rPr>
        <w:lastRenderedPageBreak/>
        <w:t xml:space="preserve">does the regulatory framework allow the public partner to engage in commercial activities in the case of an Institutional PPP? </w:t>
      </w:r>
    </w:p>
    <w:p w14:paraId="636AABF4" w14:textId="12DC823B" w:rsidR="005E5E5A" w:rsidRPr="00251B39" w:rsidRDefault="2FC4C6FB" w:rsidP="008B6449">
      <w:pPr>
        <w:pStyle w:val="Sarakstarindkopa"/>
        <w:numPr>
          <w:ilvl w:val="0"/>
          <w:numId w:val="48"/>
        </w:numPr>
        <w:spacing w:after="0"/>
        <w:contextualSpacing w:val="0"/>
        <w:jc w:val="both"/>
        <w:rPr>
          <w:sz w:val="18"/>
          <w:szCs w:val="18"/>
        </w:rPr>
      </w:pPr>
      <w:r>
        <w:rPr>
          <w:sz w:val="18"/>
        </w:rPr>
        <w:t>does the implementation of the project within the PPP framework directly or indirectly distort, restrict or exclude competition during the selection of the potential private partner as well as during the life cycle of the PPP project?</w:t>
      </w:r>
    </w:p>
    <w:p w14:paraId="1A387451" w14:textId="40B68ADF" w:rsidR="00F8011E" w:rsidRDefault="2FC4C6FB" w:rsidP="008B6449">
      <w:pPr>
        <w:pStyle w:val="Sarakstarindkopa"/>
        <w:numPr>
          <w:ilvl w:val="0"/>
          <w:numId w:val="48"/>
        </w:numPr>
        <w:spacing w:after="0"/>
        <w:contextualSpacing w:val="0"/>
        <w:jc w:val="both"/>
        <w:rPr>
          <w:sz w:val="18"/>
          <w:szCs w:val="18"/>
        </w:rPr>
      </w:pPr>
      <w:r>
        <w:rPr>
          <w:sz w:val="18"/>
        </w:rPr>
        <w:t>is the public partner entitled to conclude a Partnership Contract?</w:t>
      </w:r>
    </w:p>
    <w:p w14:paraId="02D2FFB3" w14:textId="213E50AD" w:rsidR="00F8011E" w:rsidRDefault="2FC4C6FB" w:rsidP="008B6449">
      <w:pPr>
        <w:pStyle w:val="Sarakstarindkopa"/>
        <w:numPr>
          <w:ilvl w:val="0"/>
          <w:numId w:val="49"/>
        </w:numPr>
        <w:spacing w:after="0"/>
        <w:contextualSpacing w:val="0"/>
        <w:jc w:val="both"/>
        <w:rPr>
          <w:sz w:val="18"/>
          <w:szCs w:val="18"/>
        </w:rPr>
      </w:pPr>
      <w:r>
        <w:rPr>
          <w:sz w:val="18"/>
        </w:rPr>
        <w:t xml:space="preserve">would the Cabinet or another decision-making body under the PPP Law support the implementation of the project under the PPP framework? </w:t>
      </w:r>
    </w:p>
    <w:p w14:paraId="73A8394F" w14:textId="7E200DF1" w:rsidR="00B4197D" w:rsidRPr="00F8011E" w:rsidRDefault="2FC4C6FB" w:rsidP="00CA58FA">
      <w:pPr>
        <w:pStyle w:val="Sarakstarindkopa"/>
        <w:numPr>
          <w:ilvl w:val="0"/>
          <w:numId w:val="49"/>
        </w:numPr>
        <w:contextualSpacing w:val="0"/>
        <w:jc w:val="both"/>
        <w:rPr>
          <w:sz w:val="18"/>
          <w:szCs w:val="18"/>
        </w:rPr>
      </w:pPr>
      <w:r>
        <w:rPr>
          <w:sz w:val="18"/>
        </w:rPr>
        <w:t>would end-users and other stakeholders support the implementation of the given project in a PPP framework?</w:t>
      </w:r>
    </w:p>
    <w:p w14:paraId="17AB9041" w14:textId="4DC0017F" w:rsidR="00B4197D" w:rsidRPr="00E35F6B" w:rsidRDefault="2FC4C6FB" w:rsidP="00CA58FA">
      <w:pPr>
        <w:rPr>
          <w:sz w:val="20"/>
          <w:szCs w:val="20"/>
        </w:rPr>
      </w:pPr>
      <w:r>
        <w:rPr>
          <w:sz w:val="20"/>
        </w:rPr>
        <w:t xml:space="preserve">Capabilities of the public partner and the private partner: </w:t>
      </w:r>
    </w:p>
    <w:p w14:paraId="2BC9BE18" w14:textId="377D52CD" w:rsidR="00B4197D" w:rsidRPr="00251B39" w:rsidRDefault="2FC4C6FB" w:rsidP="008B6449">
      <w:pPr>
        <w:pStyle w:val="Sarakstarindkopa"/>
        <w:numPr>
          <w:ilvl w:val="0"/>
          <w:numId w:val="50"/>
        </w:numPr>
        <w:spacing w:after="0"/>
        <w:contextualSpacing w:val="0"/>
        <w:jc w:val="both"/>
        <w:rPr>
          <w:sz w:val="18"/>
          <w:szCs w:val="18"/>
        </w:rPr>
      </w:pPr>
      <w:r>
        <w:rPr>
          <w:sz w:val="18"/>
        </w:rPr>
        <w:t xml:space="preserve">does the public partner have the necessary competence, skills, experience and knowledge to develop the PPP documentation, implement the procurement and manage and monitor the Partnership Contract? </w:t>
      </w:r>
    </w:p>
    <w:p w14:paraId="1E30A083" w14:textId="6AFA692E" w:rsidR="001C542E" w:rsidRPr="00251B39" w:rsidRDefault="1B9F9784" w:rsidP="008B6449">
      <w:pPr>
        <w:pStyle w:val="Sarakstarindkopa"/>
        <w:numPr>
          <w:ilvl w:val="0"/>
          <w:numId w:val="50"/>
        </w:numPr>
        <w:spacing w:after="0"/>
        <w:contextualSpacing w:val="0"/>
        <w:jc w:val="both"/>
        <w:rPr>
          <w:sz w:val="18"/>
          <w:szCs w:val="18"/>
        </w:rPr>
      </w:pPr>
      <w:r>
        <w:rPr>
          <w:sz w:val="18"/>
        </w:rPr>
        <w:t xml:space="preserve">has the public partner carried out market sounding in order to ascertain the interest of potential private partners in engaging in the PPP project and is there sufficient competition between potential private partners in the selection of the private partner? </w:t>
      </w:r>
    </w:p>
    <w:p w14:paraId="758E6633" w14:textId="07D5E50D" w:rsidR="00B4197D" w:rsidRPr="00251B39" w:rsidRDefault="30CFD0BC" w:rsidP="008B6449">
      <w:pPr>
        <w:pStyle w:val="Sarakstarindkopa"/>
        <w:numPr>
          <w:ilvl w:val="0"/>
          <w:numId w:val="50"/>
        </w:numPr>
        <w:spacing w:after="0"/>
        <w:contextualSpacing w:val="0"/>
        <w:jc w:val="both"/>
        <w:rPr>
          <w:sz w:val="18"/>
          <w:szCs w:val="18"/>
        </w:rPr>
      </w:pPr>
      <w:r>
        <w:rPr>
          <w:sz w:val="18"/>
        </w:rPr>
        <w:t xml:space="preserve">does the potential private partner have skills and experience that the public partner lacks, such as skills and experience in design, works execution, maintenance or service provision? </w:t>
      </w:r>
    </w:p>
    <w:p w14:paraId="3AB14768" w14:textId="7593F239" w:rsidR="00855C59" w:rsidRPr="00251B39" w:rsidRDefault="0E5581B1" w:rsidP="008B6449">
      <w:pPr>
        <w:pStyle w:val="Sarakstarindkopa"/>
        <w:numPr>
          <w:ilvl w:val="0"/>
          <w:numId w:val="50"/>
        </w:numPr>
        <w:spacing w:after="0"/>
        <w:contextualSpacing w:val="0"/>
        <w:jc w:val="both"/>
        <w:rPr>
          <w:sz w:val="18"/>
          <w:szCs w:val="18"/>
        </w:rPr>
      </w:pPr>
      <w:r>
        <w:rPr>
          <w:sz w:val="18"/>
        </w:rPr>
        <w:t>have similar PPP projects been implemented in Latvia or abroad in the last 3 years for services (5 years for construction works)</w:t>
      </w:r>
      <w:r w:rsidRPr="0ECF366A">
        <w:rPr>
          <w:rStyle w:val="Vresatsauce"/>
          <w:sz w:val="18"/>
          <w:szCs w:val="18"/>
          <w:lang w:val="lv-LV"/>
        </w:rPr>
        <w:footnoteReference w:id="36"/>
      </w:r>
      <w:r>
        <w:rPr>
          <w:sz w:val="18"/>
        </w:rPr>
        <w:t>? If not, it is necessary to identify PPP projects implemented over a longer period of time, recording this information in market research results and using it for the development of the PPP documentation.</w:t>
      </w:r>
    </w:p>
    <w:p w14:paraId="3E0D3FF1" w14:textId="77777777" w:rsidR="00906108" w:rsidRPr="00E35F6B" w:rsidRDefault="00906108" w:rsidP="00F8011E">
      <w:pPr>
        <w:spacing w:before="240"/>
        <w:rPr>
          <w:sz w:val="20"/>
          <w:szCs w:val="20"/>
        </w:rPr>
      </w:pPr>
      <w:r>
        <w:rPr>
          <w:sz w:val="20"/>
        </w:rPr>
        <w:t>Project-specific aspects:</w:t>
      </w:r>
    </w:p>
    <w:p w14:paraId="1D5ACE41" w14:textId="6B3B823B" w:rsidR="00906108" w:rsidRPr="00F8011E" w:rsidRDefault="0E5581B1" w:rsidP="008B6449">
      <w:pPr>
        <w:pStyle w:val="Sarakstarindkopa"/>
        <w:numPr>
          <w:ilvl w:val="0"/>
          <w:numId w:val="47"/>
        </w:numPr>
        <w:spacing w:after="0"/>
        <w:jc w:val="both"/>
        <w:rPr>
          <w:sz w:val="18"/>
          <w:szCs w:val="18"/>
        </w:rPr>
      </w:pPr>
      <w:r>
        <w:rPr>
          <w:sz w:val="18"/>
        </w:rPr>
        <w:t xml:space="preserve">would the life cycle costs of the project be reduced if the PPP arrangement combined several phases of project implementation, such as designing, building, financing and maintenance?  </w:t>
      </w:r>
    </w:p>
    <w:p w14:paraId="3FA754F3" w14:textId="259C099E" w:rsidR="00906108" w:rsidRPr="00F8011E" w:rsidRDefault="0E5581B1" w:rsidP="008B6449">
      <w:pPr>
        <w:pStyle w:val="Sarakstarindkopa"/>
        <w:numPr>
          <w:ilvl w:val="0"/>
          <w:numId w:val="47"/>
        </w:numPr>
        <w:spacing w:after="0"/>
        <w:jc w:val="both"/>
        <w:rPr>
          <w:sz w:val="18"/>
          <w:szCs w:val="18"/>
        </w:rPr>
      </w:pPr>
      <w:r>
        <w:rPr>
          <w:sz w:val="18"/>
        </w:rPr>
        <w:t>are the time, human and financial resources required for the public partner to prepare the PPP documentation, conduct the approval process with the CFCA and the MoF, implement the procurement and conclude the Partnership Contract, ensure contract monitoring and regular reporting proportionate to the value of the project?</w:t>
      </w:r>
    </w:p>
    <w:p w14:paraId="1172D71B" w14:textId="63436B1B" w:rsidR="004B4F11" w:rsidRPr="00F8011E" w:rsidRDefault="0E5581B1" w:rsidP="008B6449">
      <w:pPr>
        <w:pStyle w:val="Sarakstarindkopa"/>
        <w:numPr>
          <w:ilvl w:val="0"/>
          <w:numId w:val="47"/>
        </w:numPr>
        <w:spacing w:after="0"/>
        <w:jc w:val="both"/>
        <w:rPr>
          <w:sz w:val="18"/>
          <w:szCs w:val="18"/>
        </w:rPr>
      </w:pPr>
      <w:r>
        <w:rPr>
          <w:sz w:val="18"/>
        </w:rPr>
        <w:t xml:space="preserve">will the implementation of the project meet a long-term public need? Is it reasonable for the public partner to expect that this public need will not significantly diminish during the life cycle of the PPP project? </w:t>
      </w:r>
    </w:p>
    <w:p w14:paraId="7DB2DEB4" w14:textId="40B5CFB9" w:rsidR="00C361AE" w:rsidRPr="00F8011E" w:rsidRDefault="10AD86FD" w:rsidP="008B6449">
      <w:pPr>
        <w:pStyle w:val="Sarakstarindkopa"/>
        <w:numPr>
          <w:ilvl w:val="0"/>
          <w:numId w:val="47"/>
        </w:numPr>
        <w:spacing w:after="0"/>
        <w:jc w:val="both"/>
        <w:rPr>
          <w:sz w:val="18"/>
          <w:szCs w:val="18"/>
        </w:rPr>
      </w:pPr>
      <w:r>
        <w:rPr>
          <w:sz w:val="18"/>
        </w:rPr>
        <w:t>are there any benefits or advantages that the public partner would continue to derive from providing the infrastructure or service planned within the project itself?</w:t>
      </w:r>
    </w:p>
    <w:p w14:paraId="216C4031" w14:textId="1E21FBF7" w:rsidR="001C542E" w:rsidRPr="00251B39" w:rsidRDefault="001C542E" w:rsidP="0021079E">
      <w:pPr>
        <w:pStyle w:val="Sarakstarindkopa"/>
        <w:ind w:left="0"/>
        <w:jc w:val="both"/>
        <w:rPr>
          <w:sz w:val="18"/>
          <w:szCs w:val="20"/>
          <w:lang w:val="lv-LV"/>
        </w:rPr>
      </w:pPr>
    </w:p>
    <w:p w14:paraId="3BCC672D" w14:textId="2DB000F6" w:rsidR="00EB64C0" w:rsidRPr="00251B39" w:rsidRDefault="094DFAEA" w:rsidP="2839D35B">
      <w:pPr>
        <w:pStyle w:val="Sarakstarindkopa"/>
        <w:spacing w:after="120"/>
        <w:ind w:left="0"/>
        <w:contextualSpacing w:val="0"/>
        <w:jc w:val="both"/>
        <w:rPr>
          <w:sz w:val="18"/>
          <w:szCs w:val="18"/>
        </w:rPr>
      </w:pPr>
      <w:r>
        <w:rPr>
          <w:sz w:val="18"/>
        </w:rPr>
        <w:t xml:space="preserve">When analysing the suitability of a PPP arrangement and models, it is necessary to assess the non-financial benefits of not implementing the project on the basis of traditional procurement, such as:  </w:t>
      </w:r>
    </w:p>
    <w:p w14:paraId="3BFBCA02" w14:textId="13FD2DFE" w:rsidR="00434C67" w:rsidRPr="00251B39" w:rsidRDefault="0663D497" w:rsidP="008B6449">
      <w:pPr>
        <w:pStyle w:val="Sarakstarindkopa"/>
        <w:numPr>
          <w:ilvl w:val="3"/>
          <w:numId w:val="36"/>
        </w:numPr>
        <w:tabs>
          <w:tab w:val="left" w:pos="900"/>
        </w:tabs>
        <w:spacing w:before="240"/>
        <w:ind w:left="720"/>
        <w:jc w:val="both"/>
        <w:rPr>
          <w:b/>
          <w:sz w:val="18"/>
          <w:szCs w:val="18"/>
        </w:rPr>
      </w:pPr>
      <w:r>
        <w:rPr>
          <w:b/>
          <w:sz w:val="18"/>
        </w:rPr>
        <w:t xml:space="preserve">accelerated delivery. </w:t>
      </w:r>
      <w:r>
        <w:rPr>
          <w:sz w:val="18"/>
        </w:rPr>
        <w:t xml:space="preserve">Using a PPP arrangement and a PPP model can speed up project implementation and delivery of the intended results. The Partnership Contract shall be structured in such a way as to incentivise the private partner as much as possible to deliver the works on time and to a high standard. This could be done, for example, by stipulating that the private partner is only entitled to start receiving payments once the works have been completed. Similarly, the ability of the private partner to </w:t>
      </w:r>
      <w:r w:rsidR="00D52A77">
        <w:rPr>
          <w:sz w:val="18"/>
        </w:rPr>
        <w:t xml:space="preserve">attract </w:t>
      </w:r>
      <w:r>
        <w:rPr>
          <w:sz w:val="18"/>
        </w:rPr>
        <w:t>finance earlier than a public partner for a particular project generally makes it more likely that the infrastructure or services will be delivered earlier</w:t>
      </w:r>
    </w:p>
    <w:p w14:paraId="3B5E0AE9" w14:textId="72DA2B82" w:rsidR="00885C41" w:rsidRPr="00251B39" w:rsidRDefault="7DB09CA3" w:rsidP="7DB09CA3">
      <w:pPr>
        <w:pStyle w:val="Sarakstarindkopa"/>
        <w:numPr>
          <w:ilvl w:val="0"/>
          <w:numId w:val="36"/>
        </w:numPr>
        <w:tabs>
          <w:tab w:val="left" w:pos="900"/>
        </w:tabs>
        <w:jc w:val="both"/>
        <w:rPr>
          <w:b/>
          <w:bCs/>
          <w:sz w:val="18"/>
          <w:szCs w:val="18"/>
        </w:rPr>
      </w:pPr>
      <w:r>
        <w:rPr>
          <w:b/>
          <w:sz w:val="18"/>
        </w:rPr>
        <w:t xml:space="preserve">higher quality of delivery. </w:t>
      </w:r>
      <w:r>
        <w:rPr>
          <w:sz w:val="18"/>
        </w:rPr>
        <w:t xml:space="preserve">The use of a PPP arrangement and a PPP model can contribute to a higher quality of works or services. If, for example, construction and maintenance work is entrusted to a private partner, it is expected that it will be carried out in a mutually coordinated </w:t>
      </w:r>
      <w:r>
        <w:rPr>
          <w:sz w:val="18"/>
        </w:rPr>
        <w:lastRenderedPageBreak/>
        <w:t>manner with the aim of preserving the residual value of the asset for as long as possible. Similarly, a correlation can be used for this purpose between the liabilities of the private partner set out in the Partnership Contract, which must be fulfilled before the public partner starts payments or makes a regular payment. In addition, the involvement of financiers and the commitment of the private partner to accurate, timely and high-quality performance help to ensure higher quality in PPPs. This ensures with high confidence that the private partner will receive timely and full payments from the public partner and/or obtain payments from users</w:t>
      </w:r>
    </w:p>
    <w:p w14:paraId="73DB8FEB" w14:textId="36C409F2" w:rsidR="00D6542C" w:rsidRPr="00E35F6B" w:rsidRDefault="002D617B" w:rsidP="008B6449">
      <w:pPr>
        <w:pStyle w:val="Sarakstarindkopa"/>
        <w:numPr>
          <w:ilvl w:val="0"/>
          <w:numId w:val="36"/>
        </w:numPr>
        <w:spacing w:before="240"/>
        <w:jc w:val="both"/>
        <w:rPr>
          <w:b/>
          <w:sz w:val="18"/>
          <w:szCs w:val="18"/>
        </w:rPr>
      </w:pPr>
      <w:r>
        <w:rPr>
          <w:b/>
          <w:sz w:val="18"/>
        </w:rPr>
        <w:t xml:space="preserve">wider social impact. </w:t>
      </w:r>
      <w:r>
        <w:rPr>
          <w:sz w:val="18"/>
        </w:rPr>
        <w:t>The use of a PPP arrangement and a PPP model can have a positive impact on wider society. For example, the structuring and planning of a PPP project and the selection of a private partner, compared to a traditional procurement, involves more precise calculations and justifications, more detailed consideration of the allocation of responsibilities and risks between the public partner and the private partner, and improved public sector capacity to manage and control the quality of projects. Wider macroeconomic benefits may also be identified, resulting from the economic and environmental impacts of the project's contribution</w:t>
      </w:r>
    </w:p>
    <w:p w14:paraId="4F17BFB1" w14:textId="77777777" w:rsidR="00E35F6B" w:rsidRDefault="00E35F6B" w:rsidP="00E35F6B">
      <w:pPr>
        <w:pStyle w:val="Sarakstarindkopa"/>
        <w:spacing w:before="240"/>
        <w:ind w:left="0"/>
        <w:jc w:val="both"/>
        <w:rPr>
          <w:sz w:val="18"/>
          <w:szCs w:val="18"/>
          <w:lang w:val="lv-LV"/>
        </w:rPr>
      </w:pPr>
    </w:p>
    <w:p w14:paraId="1A4D9B79" w14:textId="480404F1" w:rsidR="00E35F6B" w:rsidRPr="00E35F6B" w:rsidRDefault="753845DB" w:rsidP="00E35F6B">
      <w:pPr>
        <w:pStyle w:val="Sarakstarindkopa"/>
        <w:spacing w:before="240"/>
        <w:ind w:left="0"/>
        <w:jc w:val="both"/>
        <w:rPr>
          <w:sz w:val="18"/>
          <w:szCs w:val="18"/>
        </w:rPr>
      </w:pPr>
      <w:r>
        <w:rPr>
          <w:sz w:val="18"/>
        </w:rPr>
        <w:t>Where non-financial effects are identified that could result in losses if the project were to be implemented using one of the PPP arrangements or PPP models, details of such potential non-financial effects shall be included in the analysis. A PPP project may be implemented using the relevant PPP arrangement or PPP model, provided that the descriptive part of the FEC provides a sufficient, reasoned and comprehensive justification for the existence of other overriding national or public needs or interests that justify the implementation of the PPP project, recognising the potential risk of losses from non-financial effects. Based on these considerations, the Cabinet or another decision-making body as defined in the PPP Law will take a decision on the implementation of the PPP project using the PPP arrangement and PPP model analysed in the FEC.</w:t>
      </w:r>
    </w:p>
    <w:p w14:paraId="756E20DC" w14:textId="15D06269" w:rsidR="00125775" w:rsidRPr="00125775" w:rsidRDefault="00A833D8" w:rsidP="00125775">
      <w:pPr>
        <w:pStyle w:val="Sarakstarindkopa"/>
        <w:spacing w:before="240"/>
        <w:ind w:left="0"/>
        <w:contextualSpacing w:val="0"/>
        <w:jc w:val="both"/>
        <w:rPr>
          <w:bCs/>
          <w:sz w:val="18"/>
          <w:szCs w:val="18"/>
        </w:rPr>
      </w:pPr>
      <w:r>
        <w:rPr>
          <w:sz w:val="18"/>
        </w:rPr>
        <w:t>The suitability analysis of the PPP arrangement leads to a decision by the public partner on the most suitable PPP arrangement and PPP model (one or more) to implement the project.</w:t>
      </w:r>
    </w:p>
    <w:p w14:paraId="2856A420" w14:textId="083BEEF9" w:rsidR="00D7673C" w:rsidRPr="00251B39" w:rsidRDefault="006C3649" w:rsidP="008B6449">
      <w:pPr>
        <w:pStyle w:val="Virsraksts2"/>
        <w:numPr>
          <w:ilvl w:val="1"/>
          <w:numId w:val="16"/>
        </w:numPr>
        <w:spacing w:after="240"/>
        <w:rPr>
          <w:rFonts w:asciiTheme="minorHAnsi" w:hAnsiTheme="minorHAnsi"/>
        </w:rPr>
      </w:pPr>
      <w:bookmarkStart w:id="126" w:name="_Ieguldījumu_pieejamības_"/>
      <w:bookmarkStart w:id="127" w:name="_Ieguldījumu_pieejamības_analīze"/>
      <w:bookmarkStart w:id="128" w:name="_Toc3205485"/>
      <w:bookmarkStart w:id="129" w:name="_Toc3246835"/>
      <w:bookmarkStart w:id="130" w:name="_Toc3249544"/>
      <w:bookmarkStart w:id="131" w:name="_Toc3759966"/>
      <w:bookmarkStart w:id="132" w:name="_Toc3805003"/>
      <w:bookmarkStart w:id="133" w:name="_Toc178586366"/>
      <w:bookmarkEnd w:id="126"/>
      <w:bookmarkEnd w:id="127"/>
      <w:r w:rsidRPr="005D3F46">
        <w:rPr>
          <w:noProof/>
          <w:sz w:val="18"/>
        </w:rPr>
        <mc:AlternateContent>
          <mc:Choice Requires="wps">
            <w:drawing>
              <wp:anchor distT="45720" distB="45720" distL="114300" distR="114300" simplePos="0" relativeHeight="251658315" behindDoc="0" locked="0" layoutInCell="1" allowOverlap="1" wp14:anchorId="566F06B1" wp14:editId="3557A0CF">
                <wp:simplePos x="0" y="0"/>
                <wp:positionH relativeFrom="column">
                  <wp:posOffset>4102100</wp:posOffset>
                </wp:positionH>
                <wp:positionV relativeFrom="paragraph">
                  <wp:posOffset>665480</wp:posOffset>
                </wp:positionV>
                <wp:extent cx="1240155" cy="325755"/>
                <wp:effectExtent l="0" t="0" r="0" b="0"/>
                <wp:wrapNone/>
                <wp:docPr id="359788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5755"/>
                        </a:xfrm>
                        <a:prstGeom prst="rect">
                          <a:avLst/>
                        </a:prstGeom>
                        <a:solidFill>
                          <a:schemeClr val="bg1"/>
                        </a:solidFill>
                        <a:ln w="9525">
                          <a:noFill/>
                          <a:miter lim="800000"/>
                          <a:headEnd/>
                          <a:tailEnd/>
                        </a:ln>
                      </wps:spPr>
                      <wps:txbx>
                        <w:txbxContent>
                          <w:p w14:paraId="4366BCC1" w14:textId="77777777" w:rsidR="006C3649" w:rsidRPr="00A80C38" w:rsidRDefault="006C3649" w:rsidP="006C3649">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F06B1" id="_x0000_s1079" type="#_x0000_t202" style="position:absolute;left:0;text-align:left;margin-left:323pt;margin-top:52.4pt;width:97.65pt;height:25.6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" fillcolor="white [3212]" stroked="f">
                <v:textbox>
                  <w:txbxContent>
                    <w:p w14:paraId="4366BCC1" w14:textId="77777777" w:rsidR="006C3649" w:rsidRPr="00A80C38" w:rsidRDefault="006C3649" w:rsidP="006C3649">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r w:rsidRPr="005D3F46">
        <w:rPr>
          <w:noProof/>
          <w:sz w:val="18"/>
        </w:rPr>
        <mc:AlternateContent>
          <mc:Choice Requires="wps">
            <w:drawing>
              <wp:anchor distT="45720" distB="45720" distL="114300" distR="114300" simplePos="0" relativeHeight="251658314" behindDoc="0" locked="0" layoutInCell="1" allowOverlap="1" wp14:anchorId="1AB4960E" wp14:editId="1D0A75D8">
                <wp:simplePos x="0" y="0"/>
                <wp:positionH relativeFrom="column">
                  <wp:posOffset>2121535</wp:posOffset>
                </wp:positionH>
                <wp:positionV relativeFrom="paragraph">
                  <wp:posOffset>631190</wp:posOffset>
                </wp:positionV>
                <wp:extent cx="1629410" cy="325755"/>
                <wp:effectExtent l="0" t="0" r="8890" b="0"/>
                <wp:wrapNone/>
                <wp:docPr id="63356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25755"/>
                        </a:xfrm>
                        <a:prstGeom prst="rect">
                          <a:avLst/>
                        </a:prstGeom>
                        <a:solidFill>
                          <a:schemeClr val="bg1"/>
                        </a:solidFill>
                        <a:ln w="9525">
                          <a:noFill/>
                          <a:miter lim="800000"/>
                          <a:headEnd/>
                          <a:tailEnd/>
                        </a:ln>
                      </wps:spPr>
                      <wps:txbx>
                        <w:txbxContent>
                          <w:p w14:paraId="364DEE61" w14:textId="77777777" w:rsidR="006C3649" w:rsidRPr="00447980" w:rsidRDefault="006C3649" w:rsidP="006C3649">
                            <w:pPr>
                              <w:rPr>
                                <w:b/>
                                <w:bCs/>
                                <w:sz w:val="14"/>
                                <w:szCs w:val="14"/>
                                <w:lang w:val="en-GB"/>
                              </w:rPr>
                            </w:pPr>
                            <w:r w:rsidRPr="00447980">
                              <w:rPr>
                                <w:b/>
                                <w:bCs/>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960E" id="_x0000_s1080" type="#_x0000_t202" style="position:absolute;left:0;text-align:left;margin-left:167.05pt;margin-top:49.7pt;width:128.3pt;height:25.6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" fillcolor="white [3212]" stroked="f">
                <v:textbox>
                  <w:txbxContent>
                    <w:p w14:paraId="364DEE61" w14:textId="77777777" w:rsidR="006C3649" w:rsidRPr="00447980" w:rsidRDefault="006C3649" w:rsidP="006C3649">
                      <w:pPr>
                        <w:rPr>
                          <w:b/>
                          <w:bCs/>
                          <w:sz w:val="14"/>
                          <w:szCs w:val="14"/>
                          <w:lang w:val="en-GB"/>
                        </w:rPr>
                      </w:pPr>
                      <w:r w:rsidRPr="00447980">
                        <w:rPr>
                          <w:b/>
                          <w:bCs/>
                          <w:sz w:val="14"/>
                          <w:szCs w:val="14"/>
                          <w:lang w:val="en-GB"/>
                        </w:rPr>
                        <w:t>Assessing project implementation alternatives</w:t>
                      </w:r>
                    </w:p>
                  </w:txbxContent>
                </v:textbox>
              </v:shape>
            </w:pict>
          </mc:Fallback>
        </mc:AlternateContent>
      </w:r>
      <w:r w:rsidRPr="005D3F46">
        <w:rPr>
          <w:noProof/>
          <w:sz w:val="18"/>
        </w:rPr>
        <mc:AlternateContent>
          <mc:Choice Requires="wps">
            <w:drawing>
              <wp:anchor distT="45720" distB="45720" distL="114300" distR="114300" simplePos="0" relativeHeight="251658313" behindDoc="0" locked="0" layoutInCell="1" allowOverlap="1" wp14:anchorId="3815FF7A" wp14:editId="558CFE73">
                <wp:simplePos x="0" y="0"/>
                <wp:positionH relativeFrom="column">
                  <wp:posOffset>4253230</wp:posOffset>
                </wp:positionH>
                <wp:positionV relativeFrom="paragraph">
                  <wp:posOffset>315595</wp:posOffset>
                </wp:positionV>
                <wp:extent cx="1311910" cy="341630"/>
                <wp:effectExtent l="0" t="0" r="2540" b="1270"/>
                <wp:wrapNone/>
                <wp:docPr id="74614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41630"/>
                        </a:xfrm>
                        <a:prstGeom prst="rect">
                          <a:avLst/>
                        </a:prstGeom>
                        <a:solidFill>
                          <a:schemeClr val="bg1">
                            <a:lumMod val="75000"/>
                          </a:schemeClr>
                        </a:solidFill>
                        <a:ln w="9525">
                          <a:noFill/>
                          <a:miter lim="800000"/>
                          <a:headEnd/>
                          <a:tailEnd/>
                        </a:ln>
                      </wps:spPr>
                      <wps:txbx>
                        <w:txbxContent>
                          <w:p w14:paraId="6EEB027C" w14:textId="77777777" w:rsidR="006C3649" w:rsidRPr="00B431B1" w:rsidRDefault="006C3649" w:rsidP="006C3649">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5FF7A" id="_x0000_s1081" type="#_x0000_t202" style="position:absolute;left:0;text-align:left;margin-left:334.9pt;margin-top:24.85pt;width:103.3pt;height:26.9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" fillcolor="#bfbfbf [2412]" stroked="f">
                <v:textbox>
                  <w:txbxContent>
                    <w:p w14:paraId="6EEB027C" w14:textId="77777777" w:rsidR="006C3649" w:rsidRPr="00B431B1" w:rsidRDefault="006C3649" w:rsidP="006C3649">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Pr="005D3F46">
        <w:rPr>
          <w:noProof/>
          <w:sz w:val="18"/>
        </w:rPr>
        <mc:AlternateContent>
          <mc:Choice Requires="wps">
            <w:drawing>
              <wp:anchor distT="45720" distB="45720" distL="114300" distR="114300" simplePos="0" relativeHeight="251658312" behindDoc="0" locked="0" layoutInCell="1" allowOverlap="1" wp14:anchorId="38F1E5A6" wp14:editId="698CB1C7">
                <wp:simplePos x="0" y="0"/>
                <wp:positionH relativeFrom="column">
                  <wp:posOffset>2328545</wp:posOffset>
                </wp:positionH>
                <wp:positionV relativeFrom="paragraph">
                  <wp:posOffset>316230</wp:posOffset>
                </wp:positionV>
                <wp:extent cx="1208405" cy="317500"/>
                <wp:effectExtent l="0" t="0" r="0" b="6350"/>
                <wp:wrapNone/>
                <wp:docPr id="1694509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solidFill>
                          <a:schemeClr val="accent1"/>
                        </a:solidFill>
                        <a:ln w="9525">
                          <a:noFill/>
                          <a:miter lim="800000"/>
                          <a:headEnd/>
                          <a:tailEnd/>
                        </a:ln>
                      </wps:spPr>
                      <wps:txbx>
                        <w:txbxContent>
                          <w:p w14:paraId="41FD0522" w14:textId="77777777" w:rsidR="006C3649" w:rsidRPr="00447980" w:rsidRDefault="006C3649" w:rsidP="006C3649">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1E5A6" id="_x0000_s1082" type="#_x0000_t202" style="position:absolute;left:0;text-align:left;margin-left:183.35pt;margin-top:24.9pt;width:95.15pt;height:2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" fillcolor="#86bc25 [3204]" stroked="f">
                <v:textbox>
                  <w:txbxContent>
                    <w:p w14:paraId="41FD0522" w14:textId="77777777" w:rsidR="006C3649" w:rsidRPr="00447980" w:rsidRDefault="006C3649" w:rsidP="006C3649">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00C43727">
        <w:rPr>
          <w:rFonts w:asciiTheme="minorHAnsi" w:hAnsiTheme="minorHAnsi"/>
        </w:rPr>
        <w:t>Analysis of Investment Affordability</w:t>
      </w:r>
      <w:bookmarkEnd w:id="128"/>
      <w:bookmarkEnd w:id="129"/>
      <w:bookmarkEnd w:id="130"/>
      <w:bookmarkEnd w:id="131"/>
      <w:bookmarkEnd w:id="132"/>
      <w:bookmarkEnd w:id="133"/>
      <w:r w:rsidR="00C43727">
        <w:rPr>
          <w:rFonts w:asciiTheme="minorHAnsi" w:hAnsiTheme="minorHAnsi"/>
        </w:rPr>
        <w:t xml:space="preserve"> </w:t>
      </w:r>
    </w:p>
    <w:p w14:paraId="5C4AF044" w14:textId="53F31A2E" w:rsidR="005E5E5A" w:rsidRPr="00251B39" w:rsidRDefault="000C0065" w:rsidP="00106D35">
      <w:pPr>
        <w:spacing w:after="240"/>
        <w:rPr>
          <w:sz w:val="20"/>
          <w:szCs w:val="20"/>
        </w:rPr>
      </w:pPr>
      <w:r w:rsidRPr="00CC7CF8">
        <w:rPr>
          <w:rFonts w:ascii="Verdana" w:hAnsi="Verdana"/>
          <w:noProof/>
          <w:sz w:val="18"/>
        </w:rPr>
        <mc:AlternateContent>
          <mc:Choice Requires="wps">
            <w:drawing>
              <wp:anchor distT="45720" distB="45720" distL="114300" distR="114300" simplePos="0" relativeHeight="251658348" behindDoc="0" locked="0" layoutInCell="1" allowOverlap="1" wp14:anchorId="26E6507C" wp14:editId="7B516BF7">
                <wp:simplePos x="0" y="0"/>
                <wp:positionH relativeFrom="margin">
                  <wp:align>left</wp:align>
                </wp:positionH>
                <wp:positionV relativeFrom="paragraph">
                  <wp:posOffset>1381594</wp:posOffset>
                </wp:positionV>
                <wp:extent cx="2398147" cy="609103"/>
                <wp:effectExtent l="19050" t="19050" r="21590" b="19685"/>
                <wp:wrapNone/>
                <wp:docPr id="14829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147" cy="609103"/>
                        </a:xfrm>
                        <a:prstGeom prst="rect">
                          <a:avLst/>
                        </a:prstGeom>
                        <a:solidFill>
                          <a:srgbClr val="FFFFFF"/>
                        </a:solidFill>
                        <a:ln w="28575">
                          <a:solidFill>
                            <a:srgbClr val="92D050"/>
                          </a:solidFill>
                          <a:miter lim="800000"/>
                          <a:headEnd/>
                          <a:tailEnd/>
                        </a:ln>
                      </wps:spPr>
                      <wps:txbx>
                        <w:txbxContent>
                          <w:p w14:paraId="5F032A99" w14:textId="77777777" w:rsidR="000C0065" w:rsidRDefault="000C0065" w:rsidP="000C0065">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1786260C" w14:textId="27A8CAFC" w:rsidR="000C0065" w:rsidRPr="007217EE" w:rsidRDefault="000C0065" w:rsidP="000C0065">
                            <w:pPr>
                              <w:jc w:val="center"/>
                              <w:rPr>
                                <w:b/>
                                <w:bCs/>
                                <w:sz w:val="12"/>
                                <w:szCs w:val="12"/>
                              </w:rPr>
                            </w:pPr>
                            <w:r>
                              <w:rPr>
                                <w:b/>
                                <w:bCs/>
                                <w:sz w:val="12"/>
                                <w:szCs w:val="12"/>
                              </w:rPr>
                              <w:t>Assess the ability and willingness of the public partner and/or end-users to pay for the service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6507C" id="_x0000_s1083" type="#_x0000_t202" style="position:absolute;margin-left:0;margin-top:108.8pt;width:188.85pt;height:47.95pt;z-index:2516583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" strokecolor="#92d050" strokeweight="2.25pt">
                <v:textbox>
                  <w:txbxContent>
                    <w:p w14:paraId="5F032A99" w14:textId="77777777" w:rsidR="000C0065" w:rsidRDefault="000C0065" w:rsidP="000C0065">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1786260C" w14:textId="27A8CAFC" w:rsidR="000C0065" w:rsidRPr="007217EE" w:rsidRDefault="000C0065" w:rsidP="000C0065">
                      <w:pPr>
                        <w:jc w:val="center"/>
                        <w:rPr>
                          <w:b/>
                          <w:bCs/>
                          <w:sz w:val="12"/>
                          <w:szCs w:val="12"/>
                        </w:rPr>
                      </w:pPr>
                      <w:r>
                        <w:rPr>
                          <w:b/>
                          <w:bCs/>
                          <w:sz w:val="12"/>
                          <w:szCs w:val="12"/>
                        </w:rPr>
                        <w:t>Assess the ability and willingness of the public partner and/or end-users to pay for the service received</w:t>
                      </w:r>
                    </w:p>
                  </w:txbxContent>
                </v:textbox>
                <w10:wrap anchorx="margin"/>
              </v:shape>
            </w:pict>
          </mc:Fallback>
        </mc:AlternateContent>
      </w:r>
      <w:r w:rsidR="006C3649" w:rsidRPr="005D3F46">
        <w:rPr>
          <w:noProof/>
          <w:sz w:val="18"/>
        </w:rPr>
        <mc:AlternateContent>
          <mc:Choice Requires="wps">
            <w:drawing>
              <wp:anchor distT="45720" distB="45720" distL="114300" distR="114300" simplePos="0" relativeHeight="251658311" behindDoc="0" locked="0" layoutInCell="1" allowOverlap="1" wp14:anchorId="1EFBC62B" wp14:editId="12D99320">
                <wp:simplePos x="0" y="0"/>
                <wp:positionH relativeFrom="column">
                  <wp:posOffset>103366</wp:posOffset>
                </wp:positionH>
                <wp:positionV relativeFrom="paragraph">
                  <wp:posOffset>297373</wp:posOffset>
                </wp:positionV>
                <wp:extent cx="1614115" cy="325755"/>
                <wp:effectExtent l="0" t="0" r="5715" b="0"/>
                <wp:wrapNone/>
                <wp:docPr id="1690207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15" cy="325755"/>
                        </a:xfrm>
                        <a:prstGeom prst="rect">
                          <a:avLst/>
                        </a:prstGeom>
                        <a:solidFill>
                          <a:schemeClr val="bg1"/>
                        </a:solidFill>
                        <a:ln w="9525">
                          <a:noFill/>
                          <a:miter lim="800000"/>
                          <a:headEnd/>
                          <a:tailEnd/>
                        </a:ln>
                      </wps:spPr>
                      <wps:txbx>
                        <w:txbxContent>
                          <w:p w14:paraId="28B20151" w14:textId="77777777" w:rsidR="006C3649" w:rsidRPr="00447980" w:rsidRDefault="006C3649" w:rsidP="006C3649">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BC62B" id="_x0000_s1084" type="#_x0000_t202" style="position:absolute;margin-left:8.15pt;margin-top:23.4pt;width:127.1pt;height:25.6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" fillcolor="white [3212]" stroked="f">
                <v:textbox>
                  <w:txbxContent>
                    <w:p w14:paraId="28B20151" w14:textId="77777777" w:rsidR="006C3649" w:rsidRPr="00447980" w:rsidRDefault="006C3649" w:rsidP="006C3649">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v:textbox>
              </v:shape>
            </w:pict>
          </mc:Fallback>
        </mc:AlternateContent>
      </w:r>
      <w:r w:rsidR="006C3649" w:rsidRPr="005D3F46">
        <w:rPr>
          <w:noProof/>
          <w:sz w:val="18"/>
        </w:rPr>
        <mc:AlternateContent>
          <mc:Choice Requires="wps">
            <w:drawing>
              <wp:anchor distT="45720" distB="45720" distL="114300" distR="114300" simplePos="0" relativeHeight="251658310" behindDoc="0" locked="0" layoutInCell="1" allowOverlap="1" wp14:anchorId="2E964F3A" wp14:editId="1DFF75F8">
                <wp:simplePos x="0" y="0"/>
                <wp:positionH relativeFrom="column">
                  <wp:posOffset>261482</wp:posOffset>
                </wp:positionH>
                <wp:positionV relativeFrom="paragraph">
                  <wp:posOffset>65874</wp:posOffset>
                </wp:positionV>
                <wp:extent cx="1407160" cy="198755"/>
                <wp:effectExtent l="0" t="0" r="2540" b="0"/>
                <wp:wrapNone/>
                <wp:docPr id="285165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bg1">
                            <a:lumMod val="75000"/>
                          </a:schemeClr>
                        </a:solidFill>
                        <a:ln w="9525">
                          <a:noFill/>
                          <a:miter lim="800000"/>
                          <a:headEnd/>
                          <a:tailEnd/>
                        </a:ln>
                      </wps:spPr>
                      <wps:txbx>
                        <w:txbxContent>
                          <w:p w14:paraId="562988E0" w14:textId="77777777" w:rsidR="006C3649" w:rsidRPr="00447980" w:rsidRDefault="006C3649" w:rsidP="006C3649">
                            <w:pPr>
                              <w:jc w:val="center"/>
                              <w:rPr>
                                <w:b/>
                                <w:bCs/>
                                <w:color w:val="595959" w:themeColor="text1" w:themeTint="A6"/>
                                <w:sz w:val="14"/>
                                <w:szCs w:val="14"/>
                              </w:rPr>
                            </w:pPr>
                            <w:r w:rsidRPr="00447980">
                              <w:rPr>
                                <w:b/>
                                <w:bCs/>
                                <w:color w:val="595959" w:themeColor="text1" w:themeTint="A6"/>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64F3A" id="_x0000_s1085" type="#_x0000_t202" style="position:absolute;margin-left:20.6pt;margin-top:5.2pt;width:110.8pt;height:15.6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" fillcolor="#bfbfbf [2412]" stroked="f">
                <v:textbox>
                  <w:txbxContent>
                    <w:p w14:paraId="562988E0" w14:textId="77777777" w:rsidR="006C3649" w:rsidRPr="00447980" w:rsidRDefault="006C3649" w:rsidP="006C3649">
                      <w:pPr>
                        <w:jc w:val="center"/>
                        <w:rPr>
                          <w:b/>
                          <w:bCs/>
                          <w:color w:val="595959" w:themeColor="text1" w:themeTint="A6"/>
                          <w:sz w:val="14"/>
                          <w:szCs w:val="14"/>
                        </w:rPr>
                      </w:pPr>
                      <w:r w:rsidRPr="00447980">
                        <w:rPr>
                          <w:b/>
                          <w:bCs/>
                          <w:color w:val="595959" w:themeColor="text1" w:themeTint="A6"/>
                          <w:sz w:val="14"/>
                          <w:szCs w:val="14"/>
                        </w:rPr>
                        <w:t>Prior to FEC preparation</w:t>
                      </w:r>
                    </w:p>
                  </w:txbxContent>
                </v:textbox>
              </v:shape>
            </w:pict>
          </mc:Fallback>
        </mc:AlternateContent>
      </w:r>
      <w:r w:rsidR="00106D35">
        <w:rPr>
          <w:noProof/>
          <w:color w:val="002060"/>
          <w:sz w:val="24"/>
          <w:shd w:val="clear" w:color="auto" w:fill="E6E6E6"/>
        </w:rPr>
        <mc:AlternateContent>
          <mc:Choice Requires="wps">
            <w:drawing>
              <wp:anchor distT="45720" distB="45720" distL="114300" distR="114300" simplePos="0" relativeHeight="251658244" behindDoc="0" locked="0" layoutInCell="1" allowOverlap="1" wp14:anchorId="75A1444A" wp14:editId="66D775C1">
                <wp:simplePos x="0" y="0"/>
                <wp:positionH relativeFrom="column">
                  <wp:posOffset>44450</wp:posOffset>
                </wp:positionH>
                <wp:positionV relativeFrom="paragraph">
                  <wp:posOffset>720090</wp:posOffset>
                </wp:positionV>
                <wp:extent cx="5924550" cy="622300"/>
                <wp:effectExtent l="0" t="0" r="19050" b="2540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22300"/>
                        </a:xfrm>
                        <a:prstGeom prst="rect">
                          <a:avLst/>
                        </a:prstGeom>
                        <a:solidFill>
                          <a:srgbClr val="FFFFFF"/>
                        </a:solidFill>
                        <a:ln w="9525">
                          <a:solidFill>
                            <a:schemeClr val="tx2"/>
                          </a:solidFill>
                          <a:miter lim="800000"/>
                          <a:headEnd/>
                          <a:tailEnd/>
                        </a:ln>
                      </wps:spPr>
                      <wps:txbx>
                        <w:txbxContent>
                          <w:p w14:paraId="338295CF" w14:textId="7366AD15" w:rsidR="00EF0F26" w:rsidRPr="00106D35" w:rsidRDefault="00746F6D" w:rsidP="00106D35">
                            <w:pPr>
                              <w:spacing w:after="120"/>
                              <w:rPr>
                                <w:sz w:val="18"/>
                                <w:szCs w:val="18"/>
                              </w:rPr>
                            </w:pPr>
                            <w:hyperlink w:anchor="_Pielikums_B._Izmantoto" w:history="1">
                              <w:r>
                                <w:rPr>
                                  <w:rStyle w:val="Hipersaite"/>
                                  <w:sz w:val="18"/>
                                </w:rPr>
                                <w:t>Documents to be used</w:t>
                              </w:r>
                            </w:hyperlink>
                            <w:r>
                              <w:rPr>
                                <w:sz w:val="18"/>
                              </w:rPr>
                              <w:t>:</w:t>
                            </w:r>
                          </w:p>
                          <w:p w14:paraId="32FBF2CD" w14:textId="56DD534F" w:rsidR="00EF0F26" w:rsidRPr="00106D35" w:rsidRDefault="00EF0F26" w:rsidP="008B6449">
                            <w:pPr>
                              <w:pStyle w:val="Sarakstarindkopa"/>
                              <w:numPr>
                                <w:ilvl w:val="0"/>
                                <w:numId w:val="11"/>
                              </w:numPr>
                              <w:spacing w:after="120"/>
                              <w:rPr>
                                <w:rFonts w:ascii="Verdana" w:hAnsi="Verdana"/>
                                <w:sz w:val="18"/>
                                <w:szCs w:val="18"/>
                              </w:rPr>
                            </w:pPr>
                            <w:r>
                              <w:rPr>
                                <w:rStyle w:val="Hipersaite"/>
                                <w:color w:val="auto"/>
                                <w:sz w:val="18"/>
                                <w:u w:val="none"/>
                              </w:rPr>
                              <w:t>A Guide to Preparing a PPP Project</w:t>
                            </w:r>
                            <w:r>
                              <w:rPr>
                                <w:sz w:val="18"/>
                              </w:rPr>
                              <w:t xml:space="preserve"> </w:t>
                            </w:r>
                          </w:p>
                          <w:p w14:paraId="7DC37DCA" w14:textId="331B90CC" w:rsidR="00EF0F26" w:rsidRPr="00106D35" w:rsidRDefault="00EF0F26" w:rsidP="008B6449">
                            <w:pPr>
                              <w:pStyle w:val="Sarakstarindkopa"/>
                              <w:numPr>
                                <w:ilvl w:val="0"/>
                                <w:numId w:val="11"/>
                              </w:numPr>
                              <w:rPr>
                                <w:rFonts w:ascii="Verdana" w:hAnsi="Verdana"/>
                                <w:sz w:val="18"/>
                              </w:rPr>
                            </w:pPr>
                            <w:r>
                              <w:rPr>
                                <w:rStyle w:val="Hipersaite"/>
                                <w:color w:val="auto"/>
                                <w:sz w:val="18"/>
                                <w:u w:val="none"/>
                              </w:rPr>
                              <w:t>A Guide to the Assessment of VFM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1444A" id="_x0000_s1086" type="#_x0000_t202" style="position:absolute;margin-left:3.5pt;margin-top:56.7pt;width:466.5pt;height:4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" strokecolor="#44546a [3215]">
                <v:textbox>
                  <w:txbxContent>
                    <w:p w14:paraId="338295CF" w14:textId="7366AD15" w:rsidR="00EF0F26" w:rsidRPr="00106D35" w:rsidRDefault="00746F6D" w:rsidP="00106D35">
                      <w:pPr>
                        <w:spacing w:after="120"/>
                        <w:rPr>
                          <w:sz w:val="18"/>
                          <w:szCs w:val="18"/>
                        </w:rPr>
                      </w:pPr>
                      <w:hyperlink w:anchor="_Pielikums_B._Izmantoto" w:history="1">
                        <w:r>
                          <w:rPr>
                            <w:rStyle w:val="Hipersaite"/>
                            <w:sz w:val="18"/>
                          </w:rPr>
                          <w:t>Documents to be used</w:t>
                        </w:r>
                      </w:hyperlink>
                      <w:r>
                        <w:rPr>
                          <w:sz w:val="18"/>
                        </w:rPr>
                        <w:t>:</w:t>
                      </w:r>
                    </w:p>
                    <w:p w14:paraId="32FBF2CD" w14:textId="56DD534F" w:rsidR="00EF0F26" w:rsidRPr="00106D35" w:rsidRDefault="00EF0F26" w:rsidP="008B6449">
                      <w:pPr>
                        <w:pStyle w:val="Sarakstarindkopa"/>
                        <w:numPr>
                          <w:ilvl w:val="0"/>
                          <w:numId w:val="11"/>
                        </w:numPr>
                        <w:spacing w:after="120"/>
                        <w:rPr>
                          <w:rFonts w:ascii="Verdana" w:hAnsi="Verdana"/>
                          <w:sz w:val="18"/>
                          <w:szCs w:val="18"/>
                        </w:rPr>
                      </w:pPr>
                      <w:r>
                        <w:rPr>
                          <w:rStyle w:val="Hipersaite"/>
                          <w:color w:val="auto"/>
                          <w:sz w:val="18"/>
                          <w:u w:val="none"/>
                        </w:rPr>
                        <w:t>A Guide to Preparing a PPP Project</w:t>
                      </w:r>
                      <w:r>
                        <w:rPr>
                          <w:sz w:val="18"/>
                        </w:rPr>
                        <w:t xml:space="preserve"> </w:t>
                      </w:r>
                    </w:p>
                    <w:p w14:paraId="7DC37DCA" w14:textId="331B90CC" w:rsidR="00EF0F26" w:rsidRPr="00106D35" w:rsidRDefault="00EF0F26" w:rsidP="008B6449">
                      <w:pPr>
                        <w:pStyle w:val="Sarakstarindkopa"/>
                        <w:numPr>
                          <w:ilvl w:val="0"/>
                          <w:numId w:val="11"/>
                        </w:numPr>
                        <w:rPr>
                          <w:rFonts w:ascii="Verdana" w:hAnsi="Verdana"/>
                          <w:sz w:val="18"/>
                        </w:rPr>
                      </w:pPr>
                      <w:r>
                        <w:rPr>
                          <w:rStyle w:val="Hipersaite"/>
                          <w:color w:val="auto"/>
                          <w:sz w:val="18"/>
                          <w:u w:val="none"/>
                        </w:rPr>
                        <w:t>A Guide to the Assessment of VFM</w:t>
                      </w:r>
                    </w:p>
                  </w:txbxContent>
                </v:textbox>
                <w10:wrap type="topAndBottom"/>
              </v:shape>
            </w:pict>
          </mc:Fallback>
        </mc:AlternateContent>
      </w:r>
      <w:r w:rsidR="00106D35">
        <w:rPr>
          <w:noProof/>
        </w:rPr>
        <w:drawing>
          <wp:inline distT="0" distB="0" distL="0" distR="0" wp14:anchorId="045BF825" wp14:editId="36B58D21">
            <wp:extent cx="6064250" cy="611505"/>
            <wp:effectExtent l="0" t="0" r="0" b="0"/>
            <wp:docPr id="803084714" name="Picture 80308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64250" cy="611505"/>
                    </a:xfrm>
                    <a:prstGeom prst="rect">
                      <a:avLst/>
                    </a:prstGeom>
                  </pic:spPr>
                </pic:pic>
              </a:graphicData>
            </a:graphic>
          </wp:inline>
        </w:drawing>
      </w:r>
    </w:p>
    <w:p w14:paraId="6EEA182D" w14:textId="617F21DB" w:rsidR="001B6FA7" w:rsidRPr="00251B39" w:rsidRDefault="00667C99" w:rsidP="0011539C">
      <w:r w:rsidRPr="00CC7CF8">
        <w:rPr>
          <w:rFonts w:ascii="Verdana" w:hAnsi="Verdana"/>
          <w:noProof/>
          <w:sz w:val="18"/>
        </w:rPr>
        <mc:AlternateContent>
          <mc:Choice Requires="wps">
            <w:drawing>
              <wp:anchor distT="45720" distB="45720" distL="114300" distR="114300" simplePos="0" relativeHeight="251658349" behindDoc="0" locked="0" layoutInCell="1" allowOverlap="1" wp14:anchorId="62C4684B" wp14:editId="56A347F7">
                <wp:simplePos x="0" y="0"/>
                <wp:positionH relativeFrom="margin">
                  <wp:posOffset>3532643</wp:posOffset>
                </wp:positionH>
                <wp:positionV relativeFrom="paragraph">
                  <wp:posOffset>675889</wp:posOffset>
                </wp:positionV>
                <wp:extent cx="2439035" cy="545493"/>
                <wp:effectExtent l="19050" t="19050" r="18415" b="26035"/>
                <wp:wrapNone/>
                <wp:docPr id="118107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545493"/>
                        </a:xfrm>
                        <a:prstGeom prst="rect">
                          <a:avLst/>
                        </a:prstGeom>
                        <a:solidFill>
                          <a:srgbClr val="FFFFFF"/>
                        </a:solidFill>
                        <a:ln w="28575">
                          <a:solidFill>
                            <a:schemeClr val="accent1"/>
                          </a:solidFill>
                          <a:miter lim="800000"/>
                          <a:headEnd/>
                          <a:tailEnd/>
                        </a:ln>
                      </wps:spPr>
                      <wps:txbx>
                        <w:txbxContent>
                          <w:p w14:paraId="75D49812" w14:textId="77777777" w:rsidR="000C0065" w:rsidRDefault="000C0065" w:rsidP="000C0065">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77DAE32C" w14:textId="76B3862B" w:rsidR="000C0065" w:rsidRPr="007217EE" w:rsidRDefault="000C0065" w:rsidP="000C0065">
                            <w:pPr>
                              <w:jc w:val="center"/>
                              <w:rPr>
                                <w:b/>
                                <w:bCs/>
                                <w:sz w:val="12"/>
                                <w:szCs w:val="12"/>
                              </w:rPr>
                            </w:pPr>
                            <w:r w:rsidRPr="000C0065">
                              <w:rPr>
                                <w:b/>
                                <w:bCs/>
                                <w:sz w:val="12"/>
                                <w:szCs w:val="12"/>
                              </w:rPr>
                              <w:t>Confirmation or denial of the a</w:t>
                            </w:r>
                            <w:r>
                              <w:rPr>
                                <w:b/>
                                <w:bCs/>
                                <w:sz w:val="12"/>
                                <w:szCs w:val="12"/>
                              </w:rPr>
                              <w:t xml:space="preserve">ffordability </w:t>
                            </w:r>
                            <w:r w:rsidRPr="000C0065">
                              <w:rPr>
                                <w:b/>
                                <w:bCs/>
                                <w:sz w:val="12"/>
                                <w:szCs w:val="12"/>
                              </w:rPr>
                              <w:t xml:space="preserve">of </w:t>
                            </w:r>
                            <w:r>
                              <w:rPr>
                                <w:b/>
                                <w:bCs/>
                                <w:sz w:val="12"/>
                                <w:szCs w:val="12"/>
                              </w:rPr>
                              <w:t xml:space="preserve">the </w:t>
                            </w:r>
                            <w:r w:rsidRPr="000C0065">
                              <w:rPr>
                                <w:b/>
                                <w:bCs/>
                                <w:sz w:val="12"/>
                                <w:szCs w:val="12"/>
                              </w:rPr>
                              <w:t xml:space="preserve">identified PPP </w:t>
                            </w:r>
                            <w:r>
                              <w:rPr>
                                <w:b/>
                                <w:bCs/>
                                <w:sz w:val="12"/>
                                <w:szCs w:val="12"/>
                              </w:rPr>
                              <w:t>arrangements</w:t>
                            </w:r>
                            <w:r w:rsidRPr="000C0065">
                              <w:rPr>
                                <w:b/>
                                <w:bCs/>
                                <w:sz w:val="12"/>
                                <w:szCs w:val="12"/>
                              </w:rPr>
                              <w:t>/models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684B" id="_x0000_s1087" type="#_x0000_t202" style="position:absolute;margin-left:278.15pt;margin-top:53.2pt;width:192.05pt;height:42.95pt;z-index:2516583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" strokecolor="#86bc25 [3204]" strokeweight="2.25pt">
                <v:textbox>
                  <w:txbxContent>
                    <w:p w14:paraId="75D49812" w14:textId="77777777" w:rsidR="000C0065" w:rsidRDefault="000C0065" w:rsidP="000C0065">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77DAE32C" w14:textId="76B3862B" w:rsidR="000C0065" w:rsidRPr="007217EE" w:rsidRDefault="000C0065" w:rsidP="000C0065">
                      <w:pPr>
                        <w:jc w:val="center"/>
                        <w:rPr>
                          <w:b/>
                          <w:bCs/>
                          <w:sz w:val="12"/>
                          <w:szCs w:val="12"/>
                        </w:rPr>
                      </w:pPr>
                      <w:r w:rsidRPr="000C0065">
                        <w:rPr>
                          <w:b/>
                          <w:bCs/>
                          <w:sz w:val="12"/>
                          <w:szCs w:val="12"/>
                        </w:rPr>
                        <w:t>Confirmation or denial of the a</w:t>
                      </w:r>
                      <w:r>
                        <w:rPr>
                          <w:b/>
                          <w:bCs/>
                          <w:sz w:val="12"/>
                          <w:szCs w:val="12"/>
                        </w:rPr>
                        <w:t xml:space="preserve">ffordability </w:t>
                      </w:r>
                      <w:r w:rsidRPr="000C0065">
                        <w:rPr>
                          <w:b/>
                          <w:bCs/>
                          <w:sz w:val="12"/>
                          <w:szCs w:val="12"/>
                        </w:rPr>
                        <w:t xml:space="preserve">of </w:t>
                      </w:r>
                      <w:r>
                        <w:rPr>
                          <w:b/>
                          <w:bCs/>
                          <w:sz w:val="12"/>
                          <w:szCs w:val="12"/>
                        </w:rPr>
                        <w:t xml:space="preserve">the </w:t>
                      </w:r>
                      <w:r w:rsidRPr="000C0065">
                        <w:rPr>
                          <w:b/>
                          <w:bCs/>
                          <w:sz w:val="12"/>
                          <w:szCs w:val="12"/>
                        </w:rPr>
                        <w:t xml:space="preserve">identified PPP </w:t>
                      </w:r>
                      <w:r>
                        <w:rPr>
                          <w:b/>
                          <w:bCs/>
                          <w:sz w:val="12"/>
                          <w:szCs w:val="12"/>
                        </w:rPr>
                        <w:t>arrangements</w:t>
                      </w:r>
                      <w:r w:rsidRPr="000C0065">
                        <w:rPr>
                          <w:b/>
                          <w:bCs/>
                          <w:sz w:val="12"/>
                          <w:szCs w:val="12"/>
                        </w:rPr>
                        <w:t>/models</w:t>
                      </w:r>
                    </w:p>
                  </w:txbxContent>
                </v:textbox>
                <w10:wrap anchorx="margin"/>
              </v:shape>
            </w:pict>
          </mc:Fallback>
        </mc:AlternateContent>
      </w:r>
      <w:r w:rsidR="47E4E981">
        <w:rPr>
          <w:noProof/>
        </w:rPr>
        <w:drawing>
          <wp:inline distT="0" distB="0" distL="0" distR="0" wp14:anchorId="16AD9576" wp14:editId="31C166F6">
            <wp:extent cx="6064250" cy="600075"/>
            <wp:effectExtent l="0" t="0" r="0" b="9525"/>
            <wp:docPr id="122991178" name="Picture 12299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064250" cy="600075"/>
                    </a:xfrm>
                    <a:prstGeom prst="rect">
                      <a:avLst/>
                    </a:prstGeom>
                  </pic:spPr>
                </pic:pic>
              </a:graphicData>
            </a:graphic>
          </wp:inline>
        </w:drawing>
      </w:r>
    </w:p>
    <w:p w14:paraId="4BC34FA9" w14:textId="19BE5C29" w:rsidR="0011539C" w:rsidRPr="00251B39" w:rsidRDefault="135A1CBC" w:rsidP="135A1CBC">
      <w:pPr>
        <w:jc w:val="both"/>
        <w:rPr>
          <w:sz w:val="18"/>
          <w:szCs w:val="18"/>
        </w:rPr>
      </w:pPr>
      <w:r>
        <w:rPr>
          <w:sz w:val="18"/>
        </w:rPr>
        <w:t xml:space="preserve">Affordability refers to the ability of the public partner or end-users to pay a charge or price for the use of infrastructure or services that is able to cover the private partner's investment, e.g. in design, construction, maintenance, finance </w:t>
      </w:r>
      <w:r w:rsidR="00D52A77">
        <w:rPr>
          <w:sz w:val="18"/>
        </w:rPr>
        <w:t>attracting</w:t>
      </w:r>
      <w:r>
        <w:rPr>
          <w:sz w:val="18"/>
        </w:rPr>
        <w:t>, tax costs and return on investors' capital.</w:t>
      </w:r>
    </w:p>
    <w:p w14:paraId="7294ABA2" w14:textId="293E98F8" w:rsidR="00EA572B" w:rsidRPr="00251B39" w:rsidRDefault="04452F80" w:rsidP="04452F80">
      <w:pPr>
        <w:jc w:val="both"/>
        <w:rPr>
          <w:sz w:val="18"/>
          <w:szCs w:val="18"/>
        </w:rPr>
      </w:pPr>
      <w:r>
        <w:rPr>
          <w:sz w:val="18"/>
        </w:rPr>
        <w:t>The analysis of investment affordability shall carefully analyse the expected costs of a PPP project. The cost plan shall be justified by the results of market research, based on expert opinions, and on discussions with potential</w:t>
      </w:r>
      <w:r>
        <w:rPr>
          <w:rFonts w:ascii="Verdana" w:hAnsi="Verdana"/>
          <w:color w:val="333333"/>
          <w:sz w:val="18"/>
        </w:rPr>
        <w:t xml:space="preserve"> service providers or contractors</w:t>
      </w:r>
      <w:r>
        <w:rPr>
          <w:sz w:val="18"/>
        </w:rPr>
        <w:t>. Based on these, the likely level of payments by the public partner or end-users shall be determined.</w:t>
      </w:r>
    </w:p>
    <w:p w14:paraId="4C89478F" w14:textId="6127BB53" w:rsidR="00964261" w:rsidRPr="00251B39" w:rsidRDefault="04452F80" w:rsidP="066D0E04">
      <w:pPr>
        <w:jc w:val="both"/>
        <w:rPr>
          <w:sz w:val="18"/>
          <w:szCs w:val="18"/>
        </w:rPr>
      </w:pPr>
      <w:r>
        <w:rPr>
          <w:sz w:val="18"/>
        </w:rPr>
        <w:lastRenderedPageBreak/>
        <w:t xml:space="preserve">In the case of a Concession, the </w:t>
      </w:r>
      <w:r>
        <w:rPr>
          <w:b/>
          <w:sz w:val="18"/>
        </w:rPr>
        <w:t xml:space="preserve">ability and willingness </w:t>
      </w:r>
      <w:r>
        <w:rPr>
          <w:b/>
          <w:bCs/>
          <w:sz w:val="18"/>
        </w:rPr>
        <w:t>of end-users t</w:t>
      </w:r>
      <w:r>
        <w:rPr>
          <w:b/>
          <w:sz w:val="18"/>
        </w:rPr>
        <w:t xml:space="preserve">o pay </w:t>
      </w:r>
      <w:r>
        <w:rPr>
          <w:sz w:val="18"/>
        </w:rPr>
        <w:t>the calculated user charge or price must be assessed, especially in cases where the Concession would result in the introduction of a new payment or an increase in an existing payment. If it is determined that the new charge or increase in the existing charge will exceed the ability and willingness of end-users to pay the calculated usage charge or price, the obligation of the public partner to partially cover these end-user charges shall be provided. In such a case, the ability of the public partner to make a long-term commitment to pay all or part of the end-user charge or price must also be assessed in turn.</w:t>
      </w:r>
    </w:p>
    <w:p w14:paraId="755321C3" w14:textId="69D99FE6" w:rsidR="135A1CBC" w:rsidRPr="00251B39" w:rsidRDefault="04452F80" w:rsidP="10DB57A1">
      <w:pPr>
        <w:jc w:val="both"/>
        <w:rPr>
          <w:sz w:val="18"/>
          <w:szCs w:val="18"/>
        </w:rPr>
      </w:pPr>
      <w:r>
        <w:rPr>
          <w:sz w:val="18"/>
        </w:rPr>
        <w:t xml:space="preserve">The public partner shall assess the impact of the preferred PPP arrangement and PPP model on the public partner's budget, identifying at least the following: </w:t>
      </w:r>
    </w:p>
    <w:p w14:paraId="65FFAB48" w14:textId="36E2632B" w:rsidR="135A1CBC" w:rsidRPr="00251B39" w:rsidRDefault="135A1CBC" w:rsidP="008B6449">
      <w:pPr>
        <w:pStyle w:val="Sarakstarindkopa"/>
        <w:numPr>
          <w:ilvl w:val="0"/>
          <w:numId w:val="37"/>
        </w:numPr>
        <w:spacing w:after="120"/>
        <w:jc w:val="both"/>
        <w:rPr>
          <w:sz w:val="18"/>
          <w:szCs w:val="18"/>
        </w:rPr>
      </w:pPr>
      <w:r>
        <w:rPr>
          <w:sz w:val="18"/>
        </w:rPr>
        <w:t>the size of the public partner's budget and long-term commitments</w:t>
      </w:r>
    </w:p>
    <w:p w14:paraId="206D699B" w14:textId="26032D08" w:rsidR="135A1CBC" w:rsidRPr="00251B39" w:rsidRDefault="04452F80" w:rsidP="008B6449">
      <w:pPr>
        <w:pStyle w:val="Sarakstarindkopa"/>
        <w:numPr>
          <w:ilvl w:val="0"/>
          <w:numId w:val="37"/>
        </w:numPr>
        <w:spacing w:after="120"/>
        <w:jc w:val="both"/>
        <w:rPr>
          <w:sz w:val="18"/>
          <w:szCs w:val="18"/>
        </w:rPr>
      </w:pPr>
      <w:r>
        <w:rPr>
          <w:sz w:val="18"/>
        </w:rPr>
        <w:t>the long-term impact of the public partner's planned payments on its budget</w:t>
      </w:r>
    </w:p>
    <w:p w14:paraId="6BEB0775" w14:textId="62E35F86" w:rsidR="135A1CBC" w:rsidRPr="00251B39" w:rsidRDefault="04452F80" w:rsidP="008B6449">
      <w:pPr>
        <w:pStyle w:val="Sarakstarindkopa"/>
        <w:numPr>
          <w:ilvl w:val="0"/>
          <w:numId w:val="37"/>
        </w:numPr>
        <w:spacing w:after="120"/>
        <w:jc w:val="both"/>
        <w:rPr>
          <w:sz w:val="18"/>
          <w:szCs w:val="18"/>
        </w:rPr>
      </w:pPr>
      <w:r>
        <w:rPr>
          <w:sz w:val="18"/>
        </w:rPr>
        <w:t>the long-term impact of the public partner's project revenues on its budget</w:t>
      </w:r>
    </w:p>
    <w:p w14:paraId="2A44EAC4" w14:textId="655828B9" w:rsidR="00C73239" w:rsidRPr="007F7F3A" w:rsidRDefault="135A1CBC" w:rsidP="00737A83">
      <w:pPr>
        <w:pStyle w:val="Komentrateksts"/>
        <w:jc w:val="both"/>
      </w:pPr>
      <w:r>
        <w:rPr>
          <w:sz w:val="18"/>
        </w:rPr>
        <w:t>The analysis of investment affordability may lead to the conclusion that one of the PPP arrangements or PPP models analysed previously is not suitable for a PPP project.</w:t>
      </w:r>
    </w:p>
    <w:p w14:paraId="0B37E8AD" w14:textId="3982310E" w:rsidR="00BC6540" w:rsidRDefault="004C7C40" w:rsidP="064C8007">
      <w:pPr>
        <w:pStyle w:val="Komentrateksts"/>
      </w:pPr>
      <w:bookmarkStart w:id="134" w:name="_Finansējuma_piesaistes_novērtējums"/>
      <w:bookmarkStart w:id="135" w:name="_Toc3205486"/>
      <w:bookmarkStart w:id="136" w:name="_Toc3246836"/>
      <w:bookmarkStart w:id="137" w:name="_Toc3249545"/>
      <w:bookmarkStart w:id="138" w:name="_Toc3759967"/>
      <w:bookmarkStart w:id="139" w:name="_Toc3805004"/>
      <w:bookmarkEnd w:id="134"/>
      <w:bookmarkEnd w:id="135"/>
      <w:bookmarkEnd w:id="136"/>
      <w:bookmarkEnd w:id="137"/>
      <w:r>
        <w:t xml:space="preserve"> </w:t>
      </w:r>
      <w:bookmarkEnd w:id="138"/>
      <w:bookmarkEnd w:id="139"/>
      <w:r>
        <w:t xml:space="preserve"> </w:t>
      </w:r>
    </w:p>
    <w:p w14:paraId="62F59AF8" w14:textId="47D48CCB" w:rsidR="00654F33" w:rsidRPr="00AE414C" w:rsidRDefault="007E04B4" w:rsidP="008B6449">
      <w:pPr>
        <w:pStyle w:val="Virsraksts2"/>
        <w:numPr>
          <w:ilvl w:val="1"/>
          <w:numId w:val="16"/>
        </w:numPr>
        <w:spacing w:after="240"/>
        <w:rPr>
          <w:rFonts w:asciiTheme="minorHAnsi" w:hAnsiTheme="minorHAnsi"/>
        </w:rPr>
      </w:pPr>
      <w:bookmarkStart w:id="140" w:name="_Toc178586367"/>
      <w:r w:rsidRPr="005D3F46">
        <w:rPr>
          <w:noProof/>
          <w:sz w:val="18"/>
        </w:rPr>
        <mc:AlternateContent>
          <mc:Choice Requires="wps">
            <w:drawing>
              <wp:anchor distT="45720" distB="45720" distL="114300" distR="114300" simplePos="0" relativeHeight="251658320" behindDoc="0" locked="0" layoutInCell="1" allowOverlap="1" wp14:anchorId="3F6FAA98" wp14:editId="2BB411C7">
                <wp:simplePos x="0" y="0"/>
                <wp:positionH relativeFrom="column">
                  <wp:posOffset>2105660</wp:posOffset>
                </wp:positionH>
                <wp:positionV relativeFrom="paragraph">
                  <wp:posOffset>607060</wp:posOffset>
                </wp:positionV>
                <wp:extent cx="1629410" cy="325755"/>
                <wp:effectExtent l="0" t="0" r="8890" b="0"/>
                <wp:wrapNone/>
                <wp:docPr id="1293506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25755"/>
                        </a:xfrm>
                        <a:prstGeom prst="rect">
                          <a:avLst/>
                        </a:prstGeom>
                        <a:solidFill>
                          <a:schemeClr val="bg1"/>
                        </a:solidFill>
                        <a:ln w="9525">
                          <a:noFill/>
                          <a:miter lim="800000"/>
                          <a:headEnd/>
                          <a:tailEnd/>
                        </a:ln>
                      </wps:spPr>
                      <wps:txbx>
                        <w:txbxContent>
                          <w:p w14:paraId="1A379266" w14:textId="77777777" w:rsidR="007E04B4" w:rsidRPr="00447980" w:rsidRDefault="007E04B4" w:rsidP="007E04B4">
                            <w:pPr>
                              <w:rPr>
                                <w:b/>
                                <w:bCs/>
                                <w:sz w:val="14"/>
                                <w:szCs w:val="14"/>
                                <w:lang w:val="en-GB"/>
                              </w:rPr>
                            </w:pPr>
                            <w:r w:rsidRPr="00447980">
                              <w:rPr>
                                <w:b/>
                                <w:bCs/>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FAA98" id="_x0000_s1088" type="#_x0000_t202" style="position:absolute;left:0;text-align:left;margin-left:165.8pt;margin-top:47.8pt;width:128.3pt;height:25.6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" fillcolor="white [3212]" stroked="f">
                <v:textbox>
                  <w:txbxContent>
                    <w:p w14:paraId="1A379266" w14:textId="77777777" w:rsidR="007E04B4" w:rsidRPr="00447980" w:rsidRDefault="007E04B4" w:rsidP="007E04B4">
                      <w:pPr>
                        <w:rPr>
                          <w:b/>
                          <w:bCs/>
                          <w:sz w:val="14"/>
                          <w:szCs w:val="14"/>
                          <w:lang w:val="en-GB"/>
                        </w:rPr>
                      </w:pPr>
                      <w:r w:rsidRPr="00447980">
                        <w:rPr>
                          <w:b/>
                          <w:bCs/>
                          <w:sz w:val="14"/>
                          <w:szCs w:val="14"/>
                          <w:lang w:val="en-GB"/>
                        </w:rPr>
                        <w:t>Assessing project implementation alternatives</w:t>
                      </w:r>
                    </w:p>
                  </w:txbxContent>
                </v:textbox>
              </v:shape>
            </w:pict>
          </mc:Fallback>
        </mc:AlternateContent>
      </w:r>
      <w:r w:rsidRPr="005D3F46">
        <w:rPr>
          <w:noProof/>
          <w:sz w:val="18"/>
        </w:rPr>
        <mc:AlternateContent>
          <mc:Choice Requires="wps">
            <w:drawing>
              <wp:anchor distT="45720" distB="45720" distL="114300" distR="114300" simplePos="0" relativeHeight="251658319" behindDoc="0" locked="0" layoutInCell="1" allowOverlap="1" wp14:anchorId="7D2093C5" wp14:editId="138E15A3">
                <wp:simplePos x="0" y="0"/>
                <wp:positionH relativeFrom="column">
                  <wp:posOffset>4237355</wp:posOffset>
                </wp:positionH>
                <wp:positionV relativeFrom="paragraph">
                  <wp:posOffset>291465</wp:posOffset>
                </wp:positionV>
                <wp:extent cx="1311910" cy="341630"/>
                <wp:effectExtent l="0" t="0" r="2540" b="1270"/>
                <wp:wrapNone/>
                <wp:docPr id="365528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41630"/>
                        </a:xfrm>
                        <a:prstGeom prst="rect">
                          <a:avLst/>
                        </a:prstGeom>
                        <a:solidFill>
                          <a:schemeClr val="bg1">
                            <a:lumMod val="75000"/>
                          </a:schemeClr>
                        </a:solidFill>
                        <a:ln w="9525">
                          <a:noFill/>
                          <a:miter lim="800000"/>
                          <a:headEnd/>
                          <a:tailEnd/>
                        </a:ln>
                      </wps:spPr>
                      <wps:txbx>
                        <w:txbxContent>
                          <w:p w14:paraId="31011D7E" w14:textId="77777777" w:rsidR="007E04B4" w:rsidRPr="00B431B1" w:rsidRDefault="007E04B4" w:rsidP="007E04B4">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93C5" id="_x0000_s1089" type="#_x0000_t202" style="position:absolute;left:0;text-align:left;margin-left:333.65pt;margin-top:22.95pt;width:103.3pt;height:26.9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" fillcolor="#bfbfbf [2412]" stroked="f">
                <v:textbox>
                  <w:txbxContent>
                    <w:p w14:paraId="31011D7E" w14:textId="77777777" w:rsidR="007E04B4" w:rsidRPr="00B431B1" w:rsidRDefault="007E04B4" w:rsidP="007E04B4">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Pr="005D3F46">
        <w:rPr>
          <w:noProof/>
          <w:sz w:val="18"/>
        </w:rPr>
        <mc:AlternateContent>
          <mc:Choice Requires="wps">
            <w:drawing>
              <wp:anchor distT="45720" distB="45720" distL="114300" distR="114300" simplePos="0" relativeHeight="251658318" behindDoc="0" locked="0" layoutInCell="1" allowOverlap="1" wp14:anchorId="44EE7A2A" wp14:editId="61638478">
                <wp:simplePos x="0" y="0"/>
                <wp:positionH relativeFrom="column">
                  <wp:posOffset>2312670</wp:posOffset>
                </wp:positionH>
                <wp:positionV relativeFrom="paragraph">
                  <wp:posOffset>292100</wp:posOffset>
                </wp:positionV>
                <wp:extent cx="1208405" cy="317500"/>
                <wp:effectExtent l="0" t="0" r="0" b="6350"/>
                <wp:wrapNone/>
                <wp:docPr id="1886429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solidFill>
                          <a:schemeClr val="accent1"/>
                        </a:solidFill>
                        <a:ln w="9525">
                          <a:noFill/>
                          <a:miter lim="800000"/>
                          <a:headEnd/>
                          <a:tailEnd/>
                        </a:ln>
                      </wps:spPr>
                      <wps:txbx>
                        <w:txbxContent>
                          <w:p w14:paraId="429858F2" w14:textId="77777777" w:rsidR="007E04B4" w:rsidRPr="00447980" w:rsidRDefault="007E04B4" w:rsidP="007E04B4">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E7A2A" id="_x0000_s1090" type="#_x0000_t202" style="position:absolute;left:0;text-align:left;margin-left:182.1pt;margin-top:23pt;width:95.15pt;height:2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" fillcolor="#86bc25 [3204]" stroked="f">
                <v:textbox>
                  <w:txbxContent>
                    <w:p w14:paraId="429858F2" w14:textId="77777777" w:rsidR="007E04B4" w:rsidRPr="00447980" w:rsidRDefault="007E04B4" w:rsidP="007E04B4">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Pr="005D3F46">
        <w:rPr>
          <w:noProof/>
          <w:sz w:val="18"/>
        </w:rPr>
        <mc:AlternateContent>
          <mc:Choice Requires="wps">
            <w:drawing>
              <wp:anchor distT="45720" distB="45720" distL="114300" distR="114300" simplePos="0" relativeHeight="251658316" behindDoc="0" locked="0" layoutInCell="1" allowOverlap="1" wp14:anchorId="646644C8" wp14:editId="30CDDED9">
                <wp:simplePos x="0" y="0"/>
                <wp:positionH relativeFrom="column">
                  <wp:posOffset>245110</wp:posOffset>
                </wp:positionH>
                <wp:positionV relativeFrom="paragraph">
                  <wp:posOffset>410210</wp:posOffset>
                </wp:positionV>
                <wp:extent cx="1407160" cy="198755"/>
                <wp:effectExtent l="0" t="0" r="2540" b="0"/>
                <wp:wrapNone/>
                <wp:docPr id="1650645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bg1">
                            <a:lumMod val="75000"/>
                          </a:schemeClr>
                        </a:solidFill>
                        <a:ln w="9525">
                          <a:noFill/>
                          <a:miter lim="800000"/>
                          <a:headEnd/>
                          <a:tailEnd/>
                        </a:ln>
                      </wps:spPr>
                      <wps:txbx>
                        <w:txbxContent>
                          <w:p w14:paraId="19E3A87C" w14:textId="77777777" w:rsidR="007E04B4" w:rsidRPr="00447980" w:rsidRDefault="007E04B4" w:rsidP="007E04B4">
                            <w:pPr>
                              <w:jc w:val="center"/>
                              <w:rPr>
                                <w:b/>
                                <w:bCs/>
                                <w:color w:val="595959" w:themeColor="text1" w:themeTint="A6"/>
                                <w:sz w:val="14"/>
                                <w:szCs w:val="14"/>
                              </w:rPr>
                            </w:pPr>
                            <w:r w:rsidRPr="00447980">
                              <w:rPr>
                                <w:b/>
                                <w:bCs/>
                                <w:color w:val="595959" w:themeColor="text1" w:themeTint="A6"/>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644C8" id="_x0000_s1091" type="#_x0000_t202" style="position:absolute;left:0;text-align:left;margin-left:19.3pt;margin-top:32.3pt;width:110.8pt;height:15.6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" fillcolor="#bfbfbf [2412]" stroked="f">
                <v:textbox>
                  <w:txbxContent>
                    <w:p w14:paraId="19E3A87C" w14:textId="77777777" w:rsidR="007E04B4" w:rsidRPr="00447980" w:rsidRDefault="007E04B4" w:rsidP="007E04B4">
                      <w:pPr>
                        <w:jc w:val="center"/>
                        <w:rPr>
                          <w:b/>
                          <w:bCs/>
                          <w:color w:val="595959" w:themeColor="text1" w:themeTint="A6"/>
                          <w:sz w:val="14"/>
                          <w:szCs w:val="14"/>
                        </w:rPr>
                      </w:pPr>
                      <w:r w:rsidRPr="00447980">
                        <w:rPr>
                          <w:b/>
                          <w:bCs/>
                          <w:color w:val="595959" w:themeColor="text1" w:themeTint="A6"/>
                          <w:sz w:val="14"/>
                          <w:szCs w:val="14"/>
                        </w:rPr>
                        <w:t>Prior to FEC preparation</w:t>
                      </w:r>
                    </w:p>
                  </w:txbxContent>
                </v:textbox>
              </v:shape>
            </w:pict>
          </mc:Fallback>
        </mc:AlternateContent>
      </w:r>
      <w:r w:rsidR="00D52A77">
        <w:rPr>
          <w:rFonts w:asciiTheme="minorHAnsi" w:hAnsiTheme="minorHAnsi"/>
        </w:rPr>
        <w:t xml:space="preserve">Finance Attracting </w:t>
      </w:r>
      <w:r w:rsidR="00256ED0">
        <w:rPr>
          <w:rFonts w:asciiTheme="minorHAnsi" w:hAnsiTheme="minorHAnsi"/>
        </w:rPr>
        <w:t>Assessment</w:t>
      </w:r>
      <w:bookmarkEnd w:id="140"/>
    </w:p>
    <w:p w14:paraId="0FCF352F" w14:textId="1C913DA6" w:rsidR="00A15954" w:rsidRPr="00251B39" w:rsidRDefault="007E04B4" w:rsidP="00917B83">
      <w:pPr>
        <w:spacing w:after="240"/>
      </w:pPr>
      <w:r w:rsidRPr="005D3F46">
        <w:rPr>
          <w:noProof/>
          <w:sz w:val="18"/>
        </w:rPr>
        <mc:AlternateContent>
          <mc:Choice Requires="wps">
            <w:drawing>
              <wp:anchor distT="45720" distB="45720" distL="114300" distR="114300" simplePos="0" relativeHeight="251658317" behindDoc="0" locked="0" layoutInCell="1" allowOverlap="1" wp14:anchorId="65AFC3ED" wp14:editId="279121D5">
                <wp:simplePos x="0" y="0"/>
                <wp:positionH relativeFrom="column">
                  <wp:posOffset>63610</wp:posOffset>
                </wp:positionH>
                <wp:positionV relativeFrom="paragraph">
                  <wp:posOffset>272525</wp:posOffset>
                </wp:positionV>
                <wp:extent cx="1573889" cy="325755"/>
                <wp:effectExtent l="0" t="0" r="7620" b="0"/>
                <wp:wrapNone/>
                <wp:docPr id="41549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889" cy="325755"/>
                        </a:xfrm>
                        <a:prstGeom prst="rect">
                          <a:avLst/>
                        </a:prstGeom>
                        <a:solidFill>
                          <a:schemeClr val="bg1"/>
                        </a:solidFill>
                        <a:ln w="9525">
                          <a:noFill/>
                          <a:miter lim="800000"/>
                          <a:headEnd/>
                          <a:tailEnd/>
                        </a:ln>
                      </wps:spPr>
                      <wps:txbx>
                        <w:txbxContent>
                          <w:p w14:paraId="58AA39B6" w14:textId="77777777" w:rsidR="007E04B4" w:rsidRPr="00447980" w:rsidRDefault="007E04B4" w:rsidP="007E04B4">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C3ED" id="_x0000_s1092" type="#_x0000_t202" style="position:absolute;margin-left:5pt;margin-top:21.45pt;width:123.95pt;height:25.6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" fillcolor="white [3212]" stroked="f">
                <v:textbox>
                  <w:txbxContent>
                    <w:p w14:paraId="58AA39B6" w14:textId="77777777" w:rsidR="007E04B4" w:rsidRPr="00447980" w:rsidRDefault="007E04B4" w:rsidP="007E04B4">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v:textbox>
              </v:shape>
            </w:pict>
          </mc:Fallback>
        </mc:AlternateContent>
      </w:r>
      <w:r w:rsidRPr="005D3F46">
        <w:rPr>
          <w:noProof/>
          <w:sz w:val="18"/>
        </w:rPr>
        <mc:AlternateContent>
          <mc:Choice Requires="wps">
            <w:drawing>
              <wp:anchor distT="45720" distB="45720" distL="114300" distR="114300" simplePos="0" relativeHeight="251658321" behindDoc="0" locked="0" layoutInCell="1" allowOverlap="1" wp14:anchorId="533DC8D7" wp14:editId="32370F00">
                <wp:simplePos x="0" y="0"/>
                <wp:positionH relativeFrom="column">
                  <wp:posOffset>4031312</wp:posOffset>
                </wp:positionH>
                <wp:positionV relativeFrom="paragraph">
                  <wp:posOffset>272525</wp:posOffset>
                </wp:positionV>
                <wp:extent cx="1295814" cy="325755"/>
                <wp:effectExtent l="0" t="0" r="0" b="0"/>
                <wp:wrapNone/>
                <wp:docPr id="519786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814" cy="325755"/>
                        </a:xfrm>
                        <a:prstGeom prst="rect">
                          <a:avLst/>
                        </a:prstGeom>
                        <a:solidFill>
                          <a:schemeClr val="bg1"/>
                        </a:solidFill>
                        <a:ln w="9525">
                          <a:noFill/>
                          <a:miter lim="800000"/>
                          <a:headEnd/>
                          <a:tailEnd/>
                        </a:ln>
                      </wps:spPr>
                      <wps:txbx>
                        <w:txbxContent>
                          <w:p w14:paraId="2A3B71BF" w14:textId="77777777" w:rsidR="007E04B4" w:rsidRPr="00A80C38" w:rsidRDefault="007E04B4" w:rsidP="007E04B4">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DC8D7" id="_x0000_s1093" type="#_x0000_t202" style="position:absolute;margin-left:317.45pt;margin-top:21.45pt;width:102.05pt;height:25.6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" fillcolor="white [3212]" stroked="f">
                <v:textbox>
                  <w:txbxContent>
                    <w:p w14:paraId="2A3B71BF" w14:textId="77777777" w:rsidR="007E04B4" w:rsidRPr="00A80C38" w:rsidRDefault="007E04B4" w:rsidP="007E04B4">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r w:rsidR="00917B83">
        <w:rPr>
          <w:noProof/>
          <w:color w:val="002060"/>
          <w:sz w:val="24"/>
          <w:shd w:val="clear" w:color="auto" w:fill="E6E6E6"/>
        </w:rPr>
        <mc:AlternateContent>
          <mc:Choice Requires="wps">
            <w:drawing>
              <wp:anchor distT="45720" distB="45720" distL="114300" distR="114300" simplePos="0" relativeHeight="251658245" behindDoc="0" locked="0" layoutInCell="1" allowOverlap="1" wp14:anchorId="5806CFCC" wp14:editId="3678B90B">
                <wp:simplePos x="0" y="0"/>
                <wp:positionH relativeFrom="column">
                  <wp:posOffset>0</wp:posOffset>
                </wp:positionH>
                <wp:positionV relativeFrom="paragraph">
                  <wp:posOffset>672465</wp:posOffset>
                </wp:positionV>
                <wp:extent cx="5791200" cy="622300"/>
                <wp:effectExtent l="0" t="0" r="1905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22300"/>
                        </a:xfrm>
                        <a:prstGeom prst="rect">
                          <a:avLst/>
                        </a:prstGeom>
                        <a:solidFill>
                          <a:srgbClr val="FFFFFF"/>
                        </a:solidFill>
                        <a:ln w="9525">
                          <a:solidFill>
                            <a:schemeClr val="tx2"/>
                          </a:solidFill>
                          <a:miter lim="800000"/>
                          <a:headEnd/>
                          <a:tailEnd/>
                        </a:ln>
                      </wps:spPr>
                      <wps:txbx>
                        <w:txbxContent>
                          <w:p w14:paraId="3ADEEA02" w14:textId="6187B465" w:rsidR="00EF0F26" w:rsidRPr="00917B83" w:rsidRDefault="00746F6D" w:rsidP="00917B83">
                            <w:pPr>
                              <w:spacing w:after="120"/>
                              <w:rPr>
                                <w:sz w:val="18"/>
                                <w:szCs w:val="18"/>
                              </w:rPr>
                            </w:pPr>
                            <w:hyperlink w:anchor="_Pielikums_B._Izmantoto" w:history="1">
                              <w:r>
                                <w:rPr>
                                  <w:rStyle w:val="Hipersaite"/>
                                  <w:sz w:val="18"/>
                                </w:rPr>
                                <w:t>Documents to be used</w:t>
                              </w:r>
                            </w:hyperlink>
                            <w:r>
                              <w:rPr>
                                <w:sz w:val="18"/>
                              </w:rPr>
                              <w:t>:</w:t>
                            </w:r>
                          </w:p>
                          <w:p w14:paraId="7A129723" w14:textId="7F14FB2C" w:rsidR="00EF0F26" w:rsidRPr="00917B83" w:rsidRDefault="00EF0F26" w:rsidP="008B6449">
                            <w:pPr>
                              <w:pStyle w:val="Sarakstarindkopa"/>
                              <w:numPr>
                                <w:ilvl w:val="0"/>
                                <w:numId w:val="12"/>
                              </w:numPr>
                              <w:spacing w:after="120"/>
                              <w:rPr>
                                <w:rFonts w:ascii="Verdana" w:hAnsi="Verdana"/>
                                <w:sz w:val="18"/>
                                <w:szCs w:val="18"/>
                              </w:rPr>
                            </w:pPr>
                            <w:r>
                              <w:rPr>
                                <w:rStyle w:val="Hipersaite"/>
                                <w:color w:val="auto"/>
                                <w:sz w:val="18"/>
                                <w:u w:val="none"/>
                              </w:rPr>
                              <w:t>A Guide to Preparing a PPP Project</w:t>
                            </w:r>
                            <w:r>
                              <w:rPr>
                                <w:sz w:val="18"/>
                              </w:rPr>
                              <w:t xml:space="preserve"> </w:t>
                            </w:r>
                          </w:p>
                          <w:p w14:paraId="42FC23DE" w14:textId="4D7B319C" w:rsidR="00EF0F26" w:rsidRPr="00917B83" w:rsidRDefault="00EF0F26" w:rsidP="008B6449">
                            <w:pPr>
                              <w:pStyle w:val="Sarakstarindkopa"/>
                              <w:numPr>
                                <w:ilvl w:val="0"/>
                                <w:numId w:val="12"/>
                              </w:numPr>
                              <w:rPr>
                                <w:rFonts w:ascii="Verdana" w:hAnsi="Verdana"/>
                                <w:sz w:val="18"/>
                                <w:szCs w:val="20"/>
                              </w:rPr>
                            </w:pPr>
                            <w:r>
                              <w:rPr>
                                <w:rStyle w:val="Hipersaite"/>
                                <w:color w:val="auto"/>
                                <w:sz w:val="18"/>
                                <w:u w:val="none"/>
                              </w:rPr>
                              <w:t>A Guide to the Assessment of VFM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6CFCC" id="_x0000_s1094" type="#_x0000_t202" style="position:absolute;margin-left:0;margin-top:52.95pt;width:456pt;height:49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" strokecolor="#44546a [3215]">
                <v:textbox>
                  <w:txbxContent>
                    <w:p w14:paraId="3ADEEA02" w14:textId="6187B465" w:rsidR="00EF0F26" w:rsidRPr="00917B83" w:rsidRDefault="00746F6D" w:rsidP="00917B83">
                      <w:pPr>
                        <w:spacing w:after="120"/>
                        <w:rPr>
                          <w:sz w:val="18"/>
                          <w:szCs w:val="18"/>
                        </w:rPr>
                      </w:pPr>
                      <w:hyperlink w:anchor="_Pielikums_B._Izmantoto" w:history="1">
                        <w:r>
                          <w:rPr>
                            <w:rStyle w:val="Hipersaite"/>
                            <w:sz w:val="18"/>
                          </w:rPr>
                          <w:t>Documents to be used</w:t>
                        </w:r>
                      </w:hyperlink>
                      <w:r>
                        <w:rPr>
                          <w:sz w:val="18"/>
                        </w:rPr>
                        <w:t>:</w:t>
                      </w:r>
                    </w:p>
                    <w:p w14:paraId="7A129723" w14:textId="7F14FB2C" w:rsidR="00EF0F26" w:rsidRPr="00917B83" w:rsidRDefault="00EF0F26" w:rsidP="008B6449">
                      <w:pPr>
                        <w:pStyle w:val="Sarakstarindkopa"/>
                        <w:numPr>
                          <w:ilvl w:val="0"/>
                          <w:numId w:val="12"/>
                        </w:numPr>
                        <w:spacing w:after="120"/>
                        <w:rPr>
                          <w:rFonts w:ascii="Verdana" w:hAnsi="Verdana"/>
                          <w:sz w:val="18"/>
                          <w:szCs w:val="18"/>
                        </w:rPr>
                      </w:pPr>
                      <w:r>
                        <w:rPr>
                          <w:rStyle w:val="Hipersaite"/>
                          <w:color w:val="auto"/>
                          <w:sz w:val="18"/>
                          <w:u w:val="none"/>
                        </w:rPr>
                        <w:t>A Guide to Preparing a PPP Project</w:t>
                      </w:r>
                      <w:r>
                        <w:rPr>
                          <w:sz w:val="18"/>
                        </w:rPr>
                        <w:t xml:space="preserve"> </w:t>
                      </w:r>
                    </w:p>
                    <w:p w14:paraId="42FC23DE" w14:textId="4D7B319C" w:rsidR="00EF0F26" w:rsidRPr="00917B83" w:rsidRDefault="00EF0F26" w:rsidP="008B6449">
                      <w:pPr>
                        <w:pStyle w:val="Sarakstarindkopa"/>
                        <w:numPr>
                          <w:ilvl w:val="0"/>
                          <w:numId w:val="12"/>
                        </w:numPr>
                        <w:rPr>
                          <w:rFonts w:ascii="Verdana" w:hAnsi="Verdana"/>
                          <w:sz w:val="18"/>
                          <w:szCs w:val="20"/>
                        </w:rPr>
                      </w:pPr>
                      <w:r>
                        <w:rPr>
                          <w:rStyle w:val="Hipersaite"/>
                          <w:color w:val="auto"/>
                          <w:sz w:val="18"/>
                          <w:u w:val="none"/>
                        </w:rPr>
                        <w:t>A Guide to the Assessment of VFM</w:t>
                      </w:r>
                    </w:p>
                  </w:txbxContent>
                </v:textbox>
                <w10:wrap type="square"/>
              </v:shape>
            </w:pict>
          </mc:Fallback>
        </mc:AlternateContent>
      </w:r>
      <w:r w:rsidR="00917B83">
        <w:rPr>
          <w:noProof/>
        </w:rPr>
        <w:drawing>
          <wp:inline distT="0" distB="0" distL="0" distR="0" wp14:anchorId="1E16B6B3" wp14:editId="262646F0">
            <wp:extent cx="5822950" cy="547981"/>
            <wp:effectExtent l="0" t="0" r="0" b="5080"/>
            <wp:docPr id="357805020" name="Picture 3578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468" cy="559323"/>
                    </a:xfrm>
                    <a:prstGeom prst="rect">
                      <a:avLst/>
                    </a:prstGeom>
                  </pic:spPr>
                </pic:pic>
              </a:graphicData>
            </a:graphic>
          </wp:inline>
        </w:drawing>
      </w:r>
    </w:p>
    <w:p w14:paraId="6F3CA38E" w14:textId="1E184ED8" w:rsidR="00AD239D" w:rsidRPr="00251B39" w:rsidRDefault="00657FE0" w:rsidP="00917B83">
      <w:pPr>
        <w:spacing w:after="240"/>
        <w:ind w:hanging="90"/>
        <w:jc w:val="both"/>
        <w:rPr>
          <w:sz w:val="20"/>
          <w:szCs w:val="20"/>
        </w:rPr>
      </w:pPr>
      <w:r w:rsidRPr="00CC7CF8">
        <w:rPr>
          <w:rFonts w:ascii="Verdana" w:hAnsi="Verdana"/>
          <w:noProof/>
          <w:sz w:val="18"/>
        </w:rPr>
        <mc:AlternateContent>
          <mc:Choice Requires="wps">
            <w:drawing>
              <wp:anchor distT="45720" distB="45720" distL="114300" distR="114300" simplePos="0" relativeHeight="251658351" behindDoc="0" locked="0" layoutInCell="1" allowOverlap="1" wp14:anchorId="752766E9" wp14:editId="509D1476">
                <wp:simplePos x="0" y="0"/>
                <wp:positionH relativeFrom="margin">
                  <wp:posOffset>3366549</wp:posOffset>
                </wp:positionH>
                <wp:positionV relativeFrom="paragraph">
                  <wp:posOffset>678622</wp:posOffset>
                </wp:positionV>
                <wp:extent cx="2456401" cy="545493"/>
                <wp:effectExtent l="19050" t="19050" r="20320" b="26035"/>
                <wp:wrapNone/>
                <wp:docPr id="62071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401" cy="545493"/>
                        </a:xfrm>
                        <a:prstGeom prst="rect">
                          <a:avLst/>
                        </a:prstGeom>
                        <a:solidFill>
                          <a:srgbClr val="FFFFFF"/>
                        </a:solidFill>
                        <a:ln w="28575">
                          <a:solidFill>
                            <a:schemeClr val="accent1"/>
                          </a:solidFill>
                          <a:miter lim="800000"/>
                          <a:headEnd/>
                          <a:tailEnd/>
                        </a:ln>
                      </wps:spPr>
                      <wps:txbx>
                        <w:txbxContent>
                          <w:p w14:paraId="3CE25E52" w14:textId="77777777" w:rsidR="00657FE0" w:rsidRDefault="00657FE0" w:rsidP="00657FE0">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53494355" w14:textId="0B7C9508" w:rsidR="00657FE0" w:rsidRPr="007217EE" w:rsidRDefault="00657FE0" w:rsidP="00657FE0">
                            <w:pPr>
                              <w:jc w:val="center"/>
                              <w:rPr>
                                <w:b/>
                                <w:bCs/>
                                <w:sz w:val="12"/>
                                <w:szCs w:val="12"/>
                              </w:rPr>
                            </w:pPr>
                            <w:r>
                              <w:rPr>
                                <w:b/>
                                <w:bCs/>
                                <w:sz w:val="12"/>
                                <w:szCs w:val="12"/>
                              </w:rPr>
                              <w:t xml:space="preserve">Data on conditions for </w:t>
                            </w:r>
                            <w:r w:rsidR="00D52A77">
                              <w:rPr>
                                <w:b/>
                                <w:bCs/>
                                <w:sz w:val="12"/>
                                <w:szCs w:val="12"/>
                              </w:rPr>
                              <w:t xml:space="preserve">attracting </w:t>
                            </w:r>
                            <w:r>
                              <w:rPr>
                                <w:b/>
                                <w:bCs/>
                                <w:sz w:val="12"/>
                                <w:szCs w:val="12"/>
                              </w:rPr>
                              <w:t>financing for the determined PPP arrangements/ models obtained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766E9" id="_x0000_s1095" type="#_x0000_t202" style="position:absolute;left:0;text-align:left;margin-left:265.1pt;margin-top:53.45pt;width:193.4pt;height:42.95pt;z-index:251658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" strokecolor="#86bc25 [3204]" strokeweight="2.25pt">
                <v:textbox>
                  <w:txbxContent>
                    <w:p w14:paraId="3CE25E52" w14:textId="77777777" w:rsidR="00657FE0" w:rsidRDefault="00657FE0" w:rsidP="00657FE0">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53494355" w14:textId="0B7C9508" w:rsidR="00657FE0" w:rsidRPr="007217EE" w:rsidRDefault="00657FE0" w:rsidP="00657FE0">
                      <w:pPr>
                        <w:jc w:val="center"/>
                        <w:rPr>
                          <w:b/>
                          <w:bCs/>
                          <w:sz w:val="12"/>
                          <w:szCs w:val="12"/>
                        </w:rPr>
                      </w:pPr>
                      <w:r>
                        <w:rPr>
                          <w:b/>
                          <w:bCs/>
                          <w:sz w:val="12"/>
                          <w:szCs w:val="12"/>
                        </w:rPr>
                        <w:t xml:space="preserve">Data on conditions for </w:t>
                      </w:r>
                      <w:r w:rsidR="00D52A77">
                        <w:rPr>
                          <w:b/>
                          <w:bCs/>
                          <w:sz w:val="12"/>
                          <w:szCs w:val="12"/>
                        </w:rPr>
                        <w:t xml:space="preserve">attracting </w:t>
                      </w:r>
                      <w:r>
                        <w:rPr>
                          <w:b/>
                          <w:bCs/>
                          <w:sz w:val="12"/>
                          <w:szCs w:val="12"/>
                        </w:rPr>
                        <w:t>financing for the determined PPP arrangements/ models obtained</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350" behindDoc="0" locked="0" layoutInCell="1" allowOverlap="1" wp14:anchorId="5ECA22B6" wp14:editId="63469C53">
                <wp:simplePos x="0" y="0"/>
                <wp:positionH relativeFrom="margin">
                  <wp:align>left</wp:align>
                </wp:positionH>
                <wp:positionV relativeFrom="paragraph">
                  <wp:posOffset>671775</wp:posOffset>
                </wp:positionV>
                <wp:extent cx="2398147" cy="609103"/>
                <wp:effectExtent l="19050" t="19050" r="21590" b="19685"/>
                <wp:wrapNone/>
                <wp:docPr id="1864433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147" cy="609103"/>
                        </a:xfrm>
                        <a:prstGeom prst="rect">
                          <a:avLst/>
                        </a:prstGeom>
                        <a:solidFill>
                          <a:srgbClr val="FFFFFF"/>
                        </a:solidFill>
                        <a:ln w="28575">
                          <a:solidFill>
                            <a:srgbClr val="92D050"/>
                          </a:solidFill>
                          <a:miter lim="800000"/>
                          <a:headEnd/>
                          <a:tailEnd/>
                        </a:ln>
                      </wps:spPr>
                      <wps:txbx>
                        <w:txbxContent>
                          <w:p w14:paraId="07170952" w14:textId="77777777" w:rsidR="00657FE0" w:rsidRDefault="00657FE0" w:rsidP="00657FE0">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19CD52AD" w14:textId="456E08F5" w:rsidR="00657FE0" w:rsidRPr="007217EE" w:rsidRDefault="00657FE0" w:rsidP="00657FE0">
                            <w:pPr>
                              <w:jc w:val="center"/>
                              <w:rPr>
                                <w:b/>
                                <w:bCs/>
                                <w:sz w:val="12"/>
                                <w:szCs w:val="12"/>
                              </w:rPr>
                            </w:pPr>
                            <w:r>
                              <w:rPr>
                                <w:b/>
                                <w:bCs/>
                                <w:sz w:val="12"/>
                                <w:szCs w:val="12"/>
                              </w:rPr>
                              <w:t xml:space="preserve">Through market sounding determine whether the PPP arrangement/ model will be able to </w:t>
                            </w:r>
                            <w:r w:rsidR="00D52A77">
                              <w:rPr>
                                <w:b/>
                                <w:bCs/>
                                <w:sz w:val="12"/>
                                <w:szCs w:val="12"/>
                              </w:rPr>
                              <w:t xml:space="preserve">attract </w:t>
                            </w:r>
                            <w:r>
                              <w:rPr>
                                <w:b/>
                                <w:bCs/>
                                <w:sz w:val="12"/>
                                <w:szCs w:val="12"/>
                              </w:rPr>
                              <w:t>financing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22B6" id="_x0000_s1096" type="#_x0000_t202" style="position:absolute;left:0;text-align:left;margin-left:0;margin-top:52.9pt;width:188.85pt;height:47.95pt;z-index:2516583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" strokecolor="#92d050" strokeweight="2.25pt">
                <v:textbox>
                  <w:txbxContent>
                    <w:p w14:paraId="07170952" w14:textId="77777777" w:rsidR="00657FE0" w:rsidRDefault="00657FE0" w:rsidP="00657FE0">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19CD52AD" w14:textId="456E08F5" w:rsidR="00657FE0" w:rsidRPr="007217EE" w:rsidRDefault="00657FE0" w:rsidP="00657FE0">
                      <w:pPr>
                        <w:jc w:val="center"/>
                        <w:rPr>
                          <w:b/>
                          <w:bCs/>
                          <w:sz w:val="12"/>
                          <w:szCs w:val="12"/>
                        </w:rPr>
                      </w:pPr>
                      <w:r>
                        <w:rPr>
                          <w:b/>
                          <w:bCs/>
                          <w:sz w:val="12"/>
                          <w:szCs w:val="12"/>
                        </w:rPr>
                        <w:t xml:space="preserve">Through market sounding determine whether the PPP arrangement/ model will be able to </w:t>
                      </w:r>
                      <w:r w:rsidR="00D52A77">
                        <w:rPr>
                          <w:b/>
                          <w:bCs/>
                          <w:sz w:val="12"/>
                          <w:szCs w:val="12"/>
                        </w:rPr>
                        <w:t xml:space="preserve">attract </w:t>
                      </w:r>
                      <w:r>
                        <w:rPr>
                          <w:b/>
                          <w:bCs/>
                          <w:sz w:val="12"/>
                          <w:szCs w:val="12"/>
                        </w:rPr>
                        <w:t>financing</w:t>
                      </w:r>
                    </w:p>
                  </w:txbxContent>
                </v:textbox>
                <w10:wrap anchorx="margin"/>
              </v:shape>
            </w:pict>
          </mc:Fallback>
        </mc:AlternateContent>
      </w:r>
      <w:r w:rsidR="00917B83">
        <w:rPr>
          <w:noProof/>
        </w:rPr>
        <w:drawing>
          <wp:inline distT="0" distB="0" distL="0" distR="0" wp14:anchorId="2F3A0F75" wp14:editId="22AE8A48">
            <wp:extent cx="6013451" cy="590550"/>
            <wp:effectExtent l="0" t="0" r="6350" b="0"/>
            <wp:docPr id="459335357" name="Picture 45933535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013451" cy="590550"/>
                    </a:xfrm>
                    <a:prstGeom prst="rect">
                      <a:avLst/>
                    </a:prstGeom>
                  </pic:spPr>
                </pic:pic>
              </a:graphicData>
            </a:graphic>
          </wp:inline>
        </w:drawing>
      </w:r>
    </w:p>
    <w:p w14:paraId="4764DA64" w14:textId="15184556" w:rsidR="00391115" w:rsidRPr="00251B39" w:rsidRDefault="09F14E32" w:rsidP="09F14E32">
      <w:pPr>
        <w:jc w:val="both"/>
        <w:rPr>
          <w:sz w:val="18"/>
          <w:szCs w:val="18"/>
        </w:rPr>
      </w:pPr>
      <w:r>
        <w:rPr>
          <w:sz w:val="18"/>
        </w:rPr>
        <w:t xml:space="preserve">In the case of PPPs, a project is often financed by a combination of equity and long-term loan by the private partner. Depending on the risks transferred to the private partner in a PPP project, long-term loan typically accounts for 60% to 90% of the total financing </w:t>
      </w:r>
      <w:r w:rsidR="00D52A77">
        <w:rPr>
          <w:sz w:val="18"/>
        </w:rPr>
        <w:t>attracted</w:t>
      </w:r>
      <w:r>
        <w:rPr>
          <w:sz w:val="18"/>
        </w:rPr>
        <w:t xml:space="preserve">. </w:t>
      </w:r>
    </w:p>
    <w:p w14:paraId="10D98E0E" w14:textId="460F9B64" w:rsidR="00310AAA" w:rsidRPr="00251B39" w:rsidRDefault="05C9F180" w:rsidP="00310AAA">
      <w:pPr>
        <w:jc w:val="both"/>
        <w:rPr>
          <w:sz w:val="18"/>
          <w:szCs w:val="18"/>
        </w:rPr>
      </w:pPr>
      <w:r>
        <w:rPr>
          <w:sz w:val="18"/>
        </w:rPr>
        <w:t xml:space="preserve">The principal and interest on long-term loans are repaid to the lender according to the interest rate and amortisation schedule specified in the loan agreement. For equity investors, however, the remuneration is not contractually fixed in advance. It depends on the performance of the PPP project and is paid periodically in dividends. This means that lenders take on relatively less risk, making long-term loan financing cheaper, thus reducing the overall cost of a PPP project.  </w:t>
      </w:r>
    </w:p>
    <w:p w14:paraId="08FB6508" w14:textId="4FECDE3C" w:rsidR="003F250E" w:rsidRDefault="00507645" w:rsidP="699B2770">
      <w:pPr>
        <w:jc w:val="both"/>
        <w:rPr>
          <w:sz w:val="18"/>
          <w:szCs w:val="18"/>
        </w:rPr>
      </w:pPr>
      <w:r>
        <w:rPr>
          <w:noProof/>
          <w:sz w:val="18"/>
        </w:rPr>
        <mc:AlternateContent>
          <mc:Choice Requires="wps">
            <w:drawing>
              <wp:anchor distT="118745" distB="118745" distL="114300" distR="114300" simplePos="0" relativeHeight="251658266" behindDoc="0" locked="0" layoutInCell="0" allowOverlap="1" wp14:anchorId="5421CABC" wp14:editId="779B9AAC">
                <wp:simplePos x="0" y="0"/>
                <wp:positionH relativeFrom="column">
                  <wp:posOffset>3778250</wp:posOffset>
                </wp:positionH>
                <wp:positionV relativeFrom="paragraph">
                  <wp:posOffset>767080</wp:posOffset>
                </wp:positionV>
                <wp:extent cx="2178050" cy="6286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628650"/>
                        </a:xfrm>
                        <a:prstGeom prst="rect">
                          <a:avLst/>
                        </a:prstGeom>
                        <a:noFill/>
                        <a:extLst>
                          <a:ext uri="{53640926-AAD7-44D8-BBD7-CCE9431645EC}">
                            <a14:shadowObscured xmlns:a14="http://schemas.microsoft.com/office/drawing/2010/main" val="1"/>
                          </a:ext>
                        </a:extLst>
                      </wps:spPr>
                      <wps:txbx>
                        <w:txbxContent>
                          <w:p w14:paraId="1EB92F25" w14:textId="0C7B950C" w:rsidR="00EF0F26" w:rsidRPr="00244282" w:rsidRDefault="00EF0F26" w:rsidP="002C2694">
                            <w:pPr>
                              <w:pBdr>
                                <w:left w:val="single" w:sz="12" w:space="9" w:color="86BC25" w:themeColor="accent1"/>
                              </w:pBdr>
                              <w:spacing w:after="0"/>
                              <w:jc w:val="both"/>
                              <w:rPr>
                                <w:color w:val="767171" w:themeColor="background2" w:themeShade="80"/>
                                <w:sz w:val="16"/>
                                <w:szCs w:val="16"/>
                              </w:rPr>
                            </w:pPr>
                            <w:r>
                              <w:rPr>
                                <w:i/>
                                <w:color w:val="767171" w:themeColor="background2" w:themeShade="80"/>
                                <w:sz w:val="16"/>
                              </w:rPr>
                              <w:t>The data from the market sounding are used in the development of the Financial Model (see Chapter 4.2, key assumption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21CABC" id="_x0000_s1097" type="#_x0000_t202" style="position:absolute;left:0;text-align:left;margin-left:297.5pt;margin-top:60.4pt;width:171.5pt;height:49.5pt;z-index:251658266;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" o:allowincell="f" filled="f" stroked="f">
                <v:textbox>
                  <w:txbxContent>
                    <w:p w14:paraId="1EB92F25" w14:textId="0C7B950C" w:rsidR="00EF0F26" w:rsidRPr="00244282" w:rsidRDefault="00EF0F26" w:rsidP="002C2694">
                      <w:pPr>
                        <w:pBdr>
                          <w:left w:val="single" w:sz="12" w:space="9" w:color="86BC25" w:themeColor="accent1"/>
                        </w:pBdr>
                        <w:spacing w:after="0"/>
                        <w:jc w:val="both"/>
                        <w:rPr>
                          <w:color w:val="767171" w:themeColor="background2" w:themeShade="80"/>
                          <w:sz w:val="16"/>
                          <w:szCs w:val="16"/>
                        </w:rPr>
                      </w:pPr>
                      <w:r>
                        <w:rPr>
                          <w:i/>
                          <w:color w:val="767171" w:themeColor="background2" w:themeShade="80"/>
                          <w:sz w:val="16"/>
                        </w:rPr>
                        <w:t>The data from the market sounding are used in the development of the Financial Model (see Chapter 4.2, key assumption 5).</w:t>
                      </w:r>
                    </w:p>
                  </w:txbxContent>
                </v:textbox>
                <w10:wrap type="square"/>
              </v:shape>
            </w:pict>
          </mc:Fallback>
        </mc:AlternateContent>
      </w:r>
      <w:r>
        <w:rPr>
          <w:sz w:val="18"/>
        </w:rPr>
        <w:t xml:space="preserve">International and national commercial banks, international development banks (such as the European Investment Bank, the European Bank for Reconstruction and Development and the Nordic Investment Bank) and non-bank financial institutions can be used to finance PPP projects. Each has its own objectives, priorities and risk appetite, which make their interest and approach to assessing PPP projects different.  </w:t>
      </w:r>
    </w:p>
    <w:p w14:paraId="66C9DA43" w14:textId="365AE825" w:rsidR="00507645" w:rsidRDefault="275BF078" w:rsidP="00507645">
      <w:pPr>
        <w:jc w:val="both"/>
        <w:rPr>
          <w:sz w:val="18"/>
          <w:szCs w:val="18"/>
        </w:rPr>
      </w:pPr>
      <w:r>
        <w:rPr>
          <w:sz w:val="18"/>
        </w:rPr>
        <w:t xml:space="preserve">When assessing the ability of a PPP project to </w:t>
      </w:r>
      <w:r w:rsidR="00D52A77">
        <w:rPr>
          <w:sz w:val="18"/>
        </w:rPr>
        <w:t xml:space="preserve">attract </w:t>
      </w:r>
      <w:r>
        <w:rPr>
          <w:sz w:val="18"/>
        </w:rPr>
        <w:t xml:space="preserve">finance, the public partner must undertake market sounding to identify potential financiers and the conditions for </w:t>
      </w:r>
      <w:r w:rsidR="00D52A77">
        <w:rPr>
          <w:sz w:val="18"/>
        </w:rPr>
        <w:t xml:space="preserve">attracting </w:t>
      </w:r>
      <w:r>
        <w:rPr>
          <w:sz w:val="18"/>
        </w:rPr>
        <w:t>finance, including:</w:t>
      </w:r>
    </w:p>
    <w:p w14:paraId="299AF40E" w14:textId="5888A81C" w:rsidR="00FD7D06" w:rsidRPr="00507645" w:rsidRDefault="00FD7D06" w:rsidP="008B6449">
      <w:pPr>
        <w:pStyle w:val="Sarakstarindkopa"/>
        <w:numPr>
          <w:ilvl w:val="0"/>
          <w:numId w:val="46"/>
        </w:numPr>
        <w:ind w:left="810"/>
        <w:jc w:val="both"/>
        <w:rPr>
          <w:sz w:val="18"/>
          <w:szCs w:val="18"/>
        </w:rPr>
      </w:pPr>
      <w:r>
        <w:rPr>
          <w:sz w:val="18"/>
        </w:rPr>
        <w:lastRenderedPageBreak/>
        <w:t>whether all possible sources of funding have been identified (including commercial banks, development banks, equity investors, private equity or venture capital funds, EU funds)</w:t>
      </w:r>
    </w:p>
    <w:p w14:paraId="4CD71726" w14:textId="0DA61DC1" w:rsidR="00FD7D06" w:rsidRPr="00251B39" w:rsidRDefault="00FD7D06" w:rsidP="008B6449">
      <w:pPr>
        <w:pStyle w:val="Sarakstarindkopa"/>
        <w:numPr>
          <w:ilvl w:val="0"/>
          <w:numId w:val="13"/>
        </w:numPr>
        <w:ind w:left="810"/>
        <w:jc w:val="both"/>
        <w:rPr>
          <w:sz w:val="18"/>
          <w:szCs w:val="18"/>
        </w:rPr>
      </w:pPr>
      <w:r>
        <w:rPr>
          <w:sz w:val="18"/>
        </w:rPr>
        <w:t>whether potential financiers have experience in financing PPP projects</w:t>
      </w:r>
    </w:p>
    <w:p w14:paraId="4FE2485C" w14:textId="26FF4004" w:rsidR="003B4B45" w:rsidRPr="00251B39" w:rsidRDefault="00FD7D06" w:rsidP="008B6449">
      <w:pPr>
        <w:pStyle w:val="Sarakstarindkopa"/>
        <w:numPr>
          <w:ilvl w:val="0"/>
          <w:numId w:val="13"/>
        </w:numPr>
        <w:ind w:left="810"/>
        <w:jc w:val="both"/>
        <w:rPr>
          <w:sz w:val="18"/>
          <w:szCs w:val="18"/>
        </w:rPr>
      </w:pPr>
      <w:r>
        <w:rPr>
          <w:sz w:val="18"/>
        </w:rPr>
        <w:t xml:space="preserve">whether the project structure is conducive to </w:t>
      </w:r>
      <w:r w:rsidR="00D52A77">
        <w:rPr>
          <w:sz w:val="18"/>
        </w:rPr>
        <w:t>attracting</w:t>
      </w:r>
      <w:r>
        <w:rPr>
          <w:sz w:val="18"/>
        </w:rPr>
        <w:t xml:space="preserve"> finance on favourable terms, e.g. favourable interest rate, loan term appropriate to the duration of the project, early repayment terms</w:t>
      </w:r>
    </w:p>
    <w:p w14:paraId="7A631542" w14:textId="2947B205" w:rsidR="00274442" w:rsidRPr="00251B39" w:rsidRDefault="008A627A" w:rsidP="008B6449">
      <w:pPr>
        <w:pStyle w:val="Sarakstarindkopa"/>
        <w:numPr>
          <w:ilvl w:val="0"/>
          <w:numId w:val="13"/>
        </w:numPr>
        <w:jc w:val="both"/>
        <w:rPr>
          <w:sz w:val="18"/>
          <w:szCs w:val="18"/>
        </w:rPr>
      </w:pPr>
      <w:r>
        <w:rPr>
          <w:sz w:val="18"/>
        </w:rPr>
        <w:t>whether the financiers are likely to require a guarantee from the public partner to ensure a minimum level of revenue from the private partner</w:t>
      </w:r>
    </w:p>
    <w:p w14:paraId="785D216A" w14:textId="17C6A99F" w:rsidR="21F3BBAD" w:rsidRPr="004F212F" w:rsidRDefault="6B4774BB" w:rsidP="00714F21">
      <w:pPr>
        <w:jc w:val="both"/>
        <w:rPr>
          <w:sz w:val="20"/>
          <w:szCs w:val="20"/>
        </w:rPr>
      </w:pPr>
      <w:r>
        <w:rPr>
          <w:sz w:val="18"/>
        </w:rPr>
        <w:t xml:space="preserve">Whether the PPP project is to be co-financed by the EU or other funds (private equity or venture capital funds are assessed separately), the assessment of </w:t>
      </w:r>
      <w:r w:rsidR="00D52A77">
        <w:rPr>
          <w:sz w:val="18"/>
        </w:rPr>
        <w:t xml:space="preserve">attracting </w:t>
      </w:r>
      <w:r>
        <w:rPr>
          <w:sz w:val="18"/>
        </w:rPr>
        <w:t xml:space="preserve">finance shall include an analysis of the feasibility of </w:t>
      </w:r>
      <w:r w:rsidR="00D52A77">
        <w:rPr>
          <w:sz w:val="18"/>
        </w:rPr>
        <w:t xml:space="preserve">attracting </w:t>
      </w:r>
      <w:r>
        <w:rPr>
          <w:sz w:val="18"/>
        </w:rPr>
        <w:t>this finance. If co-financing by the funds is not possible, the analysis shall include a description of the considerations that led the public partner to reach this conclusion. Where co-financing from the EU or other funds is foreseen, the analysis shall describe the progress made in the absorption of the selected co-financing, such as the activities for which co-financing is available, the beneficiary of the co-financing, the amount, the timetable for absorption, the impact on administrative costs and other aspects.</w:t>
      </w:r>
      <w:r>
        <w:t xml:space="preserve"> </w:t>
      </w:r>
      <w:r>
        <w:rPr>
          <w:sz w:val="18"/>
        </w:rPr>
        <w:t>Where co-financing from the EU or other funds is possible for certain activities of a PPP project but not within the PPP project, the public partner shall consider separating these activities from the PPP project and implementing them separately.</w:t>
      </w:r>
    </w:p>
    <w:p w14:paraId="3802F7E5" w14:textId="3B66009E" w:rsidR="0095677C" w:rsidRPr="00954601" w:rsidRDefault="005A5D5A" w:rsidP="00CA0BB6">
      <w:pPr>
        <w:jc w:val="both"/>
        <w:rPr>
          <w:sz w:val="20"/>
        </w:rPr>
      </w:pPr>
      <w:r>
        <w:rPr>
          <w:sz w:val="18"/>
        </w:rPr>
        <w:t xml:space="preserve">The assessment of finance </w:t>
      </w:r>
      <w:r w:rsidR="00D52A77">
        <w:rPr>
          <w:sz w:val="18"/>
        </w:rPr>
        <w:t>attracting</w:t>
      </w:r>
      <w:r>
        <w:rPr>
          <w:sz w:val="18"/>
        </w:rPr>
        <w:t xml:space="preserve"> may lead to the conclusion that one of the PPP arrangements or PPP models analysed previously is not suitable for the implementation of a PPP project. </w:t>
      </w:r>
      <w:r>
        <w:rPr>
          <w:sz w:val="20"/>
        </w:rPr>
        <w:t xml:space="preserve"> </w:t>
      </w:r>
    </w:p>
    <w:p w14:paraId="64ECECFF" w14:textId="55979407" w:rsidR="00315851" w:rsidRDefault="00770858" w:rsidP="008B6449">
      <w:pPr>
        <w:pStyle w:val="Virsraksts2"/>
        <w:numPr>
          <w:ilvl w:val="1"/>
          <w:numId w:val="16"/>
        </w:numPr>
        <w:rPr>
          <w:rFonts w:asciiTheme="minorHAnsi" w:hAnsiTheme="minorHAnsi"/>
        </w:rPr>
      </w:pPr>
      <w:bookmarkStart w:id="141" w:name="_Partnerības_līguma_statistiskās"/>
      <w:bookmarkStart w:id="142" w:name="_Toc3205487"/>
      <w:bookmarkStart w:id="143" w:name="_Toc3246837"/>
      <w:bookmarkStart w:id="144" w:name="_Toc3249546"/>
      <w:bookmarkStart w:id="145" w:name="_Toc3759968"/>
      <w:bookmarkStart w:id="146" w:name="_Toc3805005"/>
      <w:bookmarkStart w:id="147" w:name="_Toc178586368"/>
      <w:bookmarkEnd w:id="141"/>
      <w:r>
        <w:rPr>
          <w:rFonts w:asciiTheme="minorHAnsi" w:hAnsiTheme="minorHAnsi"/>
        </w:rPr>
        <w:t xml:space="preserve">Statistical Treatment </w:t>
      </w:r>
      <w:r w:rsidR="004F6EFD">
        <w:rPr>
          <w:rFonts w:asciiTheme="minorHAnsi" w:hAnsiTheme="minorHAnsi"/>
        </w:rPr>
        <w:t>Assessment of Partnership Contract</w:t>
      </w:r>
      <w:bookmarkEnd w:id="142"/>
      <w:bookmarkEnd w:id="143"/>
      <w:bookmarkEnd w:id="144"/>
      <w:bookmarkEnd w:id="145"/>
      <w:bookmarkEnd w:id="146"/>
      <w:bookmarkEnd w:id="147"/>
    </w:p>
    <w:p w14:paraId="3F1AF86C" w14:textId="6B542660" w:rsidR="007E04B4" w:rsidRPr="007E04B4" w:rsidRDefault="007E04B4" w:rsidP="007E04B4">
      <w:r w:rsidRPr="005D3F46">
        <w:rPr>
          <w:noProof/>
          <w:sz w:val="18"/>
        </w:rPr>
        <mc:AlternateContent>
          <mc:Choice Requires="wps">
            <w:drawing>
              <wp:anchor distT="45720" distB="45720" distL="114300" distR="114300" simplePos="0" relativeHeight="251658322" behindDoc="0" locked="0" layoutInCell="1" allowOverlap="1" wp14:anchorId="6B286C1D" wp14:editId="7281CBD2">
                <wp:simplePos x="0" y="0"/>
                <wp:positionH relativeFrom="column">
                  <wp:posOffset>269240</wp:posOffset>
                </wp:positionH>
                <wp:positionV relativeFrom="paragraph">
                  <wp:posOffset>362585</wp:posOffset>
                </wp:positionV>
                <wp:extent cx="1407160" cy="198755"/>
                <wp:effectExtent l="0" t="0" r="2540" b="0"/>
                <wp:wrapNone/>
                <wp:docPr id="1104315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bg1">
                            <a:lumMod val="75000"/>
                          </a:schemeClr>
                        </a:solidFill>
                        <a:ln w="9525">
                          <a:noFill/>
                          <a:miter lim="800000"/>
                          <a:headEnd/>
                          <a:tailEnd/>
                        </a:ln>
                      </wps:spPr>
                      <wps:txbx>
                        <w:txbxContent>
                          <w:p w14:paraId="08B923ED" w14:textId="77777777" w:rsidR="007E04B4" w:rsidRPr="00447980" w:rsidRDefault="007E04B4" w:rsidP="007E04B4">
                            <w:pPr>
                              <w:jc w:val="center"/>
                              <w:rPr>
                                <w:b/>
                                <w:bCs/>
                                <w:color w:val="595959" w:themeColor="text1" w:themeTint="A6"/>
                                <w:sz w:val="14"/>
                                <w:szCs w:val="14"/>
                              </w:rPr>
                            </w:pPr>
                            <w:r w:rsidRPr="00447980">
                              <w:rPr>
                                <w:b/>
                                <w:bCs/>
                                <w:color w:val="595959" w:themeColor="text1" w:themeTint="A6"/>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86C1D" id="_x0000_s1098" type="#_x0000_t202" style="position:absolute;margin-left:21.2pt;margin-top:28.55pt;width:110.8pt;height:15.65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" fillcolor="#bfbfbf [2412]" stroked="f">
                <v:textbox>
                  <w:txbxContent>
                    <w:p w14:paraId="08B923ED" w14:textId="77777777" w:rsidR="007E04B4" w:rsidRPr="00447980" w:rsidRDefault="007E04B4" w:rsidP="007E04B4">
                      <w:pPr>
                        <w:jc w:val="center"/>
                        <w:rPr>
                          <w:b/>
                          <w:bCs/>
                          <w:color w:val="595959" w:themeColor="text1" w:themeTint="A6"/>
                          <w:sz w:val="14"/>
                          <w:szCs w:val="14"/>
                        </w:rPr>
                      </w:pPr>
                      <w:r w:rsidRPr="00447980">
                        <w:rPr>
                          <w:b/>
                          <w:bCs/>
                          <w:color w:val="595959" w:themeColor="text1" w:themeTint="A6"/>
                          <w:sz w:val="14"/>
                          <w:szCs w:val="14"/>
                        </w:rPr>
                        <w:t>Prior to FEC preparation</w:t>
                      </w:r>
                    </w:p>
                  </w:txbxContent>
                </v:textbox>
              </v:shape>
            </w:pict>
          </mc:Fallback>
        </mc:AlternateContent>
      </w:r>
      <w:r w:rsidRPr="005D3F46">
        <w:rPr>
          <w:noProof/>
          <w:sz w:val="18"/>
        </w:rPr>
        <mc:AlternateContent>
          <mc:Choice Requires="wps">
            <w:drawing>
              <wp:anchor distT="45720" distB="45720" distL="114300" distR="114300" simplePos="0" relativeHeight="251658324" behindDoc="0" locked="0" layoutInCell="1" allowOverlap="1" wp14:anchorId="2AE7114E" wp14:editId="654083D4">
                <wp:simplePos x="0" y="0"/>
                <wp:positionH relativeFrom="column">
                  <wp:posOffset>2336800</wp:posOffset>
                </wp:positionH>
                <wp:positionV relativeFrom="paragraph">
                  <wp:posOffset>244475</wp:posOffset>
                </wp:positionV>
                <wp:extent cx="1208405" cy="317500"/>
                <wp:effectExtent l="0" t="0" r="0" b="6350"/>
                <wp:wrapNone/>
                <wp:docPr id="864676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solidFill>
                          <a:schemeClr val="accent1"/>
                        </a:solidFill>
                        <a:ln w="9525">
                          <a:noFill/>
                          <a:miter lim="800000"/>
                          <a:headEnd/>
                          <a:tailEnd/>
                        </a:ln>
                      </wps:spPr>
                      <wps:txbx>
                        <w:txbxContent>
                          <w:p w14:paraId="473B43A3" w14:textId="77777777" w:rsidR="007E04B4" w:rsidRPr="00447980" w:rsidRDefault="007E04B4" w:rsidP="007E04B4">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7114E" id="_x0000_s1099" type="#_x0000_t202" style="position:absolute;margin-left:184pt;margin-top:19.25pt;width:95.15pt;height:2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" fillcolor="#86bc25 [3204]" stroked="f">
                <v:textbox>
                  <w:txbxContent>
                    <w:p w14:paraId="473B43A3" w14:textId="77777777" w:rsidR="007E04B4" w:rsidRPr="00447980" w:rsidRDefault="007E04B4" w:rsidP="007E04B4">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Pr="005D3F46">
        <w:rPr>
          <w:noProof/>
          <w:sz w:val="18"/>
        </w:rPr>
        <mc:AlternateContent>
          <mc:Choice Requires="wps">
            <w:drawing>
              <wp:anchor distT="45720" distB="45720" distL="114300" distR="114300" simplePos="0" relativeHeight="251658325" behindDoc="0" locked="0" layoutInCell="1" allowOverlap="1" wp14:anchorId="0B6502B1" wp14:editId="52776F78">
                <wp:simplePos x="0" y="0"/>
                <wp:positionH relativeFrom="column">
                  <wp:posOffset>4261485</wp:posOffset>
                </wp:positionH>
                <wp:positionV relativeFrom="paragraph">
                  <wp:posOffset>243840</wp:posOffset>
                </wp:positionV>
                <wp:extent cx="1311910" cy="341630"/>
                <wp:effectExtent l="0" t="0" r="2540" b="1270"/>
                <wp:wrapNone/>
                <wp:docPr id="1144745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41630"/>
                        </a:xfrm>
                        <a:prstGeom prst="rect">
                          <a:avLst/>
                        </a:prstGeom>
                        <a:solidFill>
                          <a:schemeClr val="bg1">
                            <a:lumMod val="75000"/>
                          </a:schemeClr>
                        </a:solidFill>
                        <a:ln w="9525">
                          <a:noFill/>
                          <a:miter lim="800000"/>
                          <a:headEnd/>
                          <a:tailEnd/>
                        </a:ln>
                      </wps:spPr>
                      <wps:txbx>
                        <w:txbxContent>
                          <w:p w14:paraId="479EA0AD" w14:textId="77777777" w:rsidR="007E04B4" w:rsidRPr="00B431B1" w:rsidRDefault="007E04B4" w:rsidP="007E04B4">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502B1" id="_x0000_s1100" type="#_x0000_t202" style="position:absolute;margin-left:335.55pt;margin-top:19.2pt;width:103.3pt;height:26.9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" fillcolor="#bfbfbf [2412]" stroked="f">
                <v:textbox>
                  <w:txbxContent>
                    <w:p w14:paraId="479EA0AD" w14:textId="77777777" w:rsidR="007E04B4" w:rsidRPr="00B431B1" w:rsidRDefault="007E04B4" w:rsidP="007E04B4">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Pr="005D3F46">
        <w:rPr>
          <w:noProof/>
          <w:sz w:val="18"/>
        </w:rPr>
        <mc:AlternateContent>
          <mc:Choice Requires="wps">
            <w:drawing>
              <wp:anchor distT="45720" distB="45720" distL="114300" distR="114300" simplePos="0" relativeHeight="251658326" behindDoc="0" locked="0" layoutInCell="1" allowOverlap="1" wp14:anchorId="4BA3823E" wp14:editId="3D57201B">
                <wp:simplePos x="0" y="0"/>
                <wp:positionH relativeFrom="column">
                  <wp:posOffset>2129790</wp:posOffset>
                </wp:positionH>
                <wp:positionV relativeFrom="paragraph">
                  <wp:posOffset>559435</wp:posOffset>
                </wp:positionV>
                <wp:extent cx="1629410" cy="325755"/>
                <wp:effectExtent l="0" t="0" r="8890" b="0"/>
                <wp:wrapNone/>
                <wp:docPr id="138987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25755"/>
                        </a:xfrm>
                        <a:prstGeom prst="rect">
                          <a:avLst/>
                        </a:prstGeom>
                        <a:solidFill>
                          <a:schemeClr val="bg1"/>
                        </a:solidFill>
                        <a:ln w="9525">
                          <a:noFill/>
                          <a:miter lim="800000"/>
                          <a:headEnd/>
                          <a:tailEnd/>
                        </a:ln>
                      </wps:spPr>
                      <wps:txbx>
                        <w:txbxContent>
                          <w:p w14:paraId="2B86EC3C" w14:textId="77777777" w:rsidR="007E04B4" w:rsidRPr="00447980" w:rsidRDefault="007E04B4" w:rsidP="007E04B4">
                            <w:pPr>
                              <w:rPr>
                                <w:b/>
                                <w:bCs/>
                                <w:sz w:val="14"/>
                                <w:szCs w:val="14"/>
                                <w:lang w:val="en-GB"/>
                              </w:rPr>
                            </w:pPr>
                            <w:r w:rsidRPr="00447980">
                              <w:rPr>
                                <w:b/>
                                <w:bCs/>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3823E" id="_x0000_s1101" type="#_x0000_t202" style="position:absolute;margin-left:167.7pt;margin-top:44.05pt;width:128.3pt;height:25.65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" fillcolor="white [3212]" stroked="f">
                <v:textbox>
                  <w:txbxContent>
                    <w:p w14:paraId="2B86EC3C" w14:textId="77777777" w:rsidR="007E04B4" w:rsidRPr="00447980" w:rsidRDefault="007E04B4" w:rsidP="007E04B4">
                      <w:pPr>
                        <w:rPr>
                          <w:b/>
                          <w:bCs/>
                          <w:sz w:val="14"/>
                          <w:szCs w:val="14"/>
                          <w:lang w:val="en-GB"/>
                        </w:rPr>
                      </w:pPr>
                      <w:r w:rsidRPr="00447980">
                        <w:rPr>
                          <w:b/>
                          <w:bCs/>
                          <w:sz w:val="14"/>
                          <w:szCs w:val="14"/>
                          <w:lang w:val="en-GB"/>
                        </w:rPr>
                        <w:t>Assessing project implementation alternatives</w:t>
                      </w:r>
                    </w:p>
                  </w:txbxContent>
                </v:textbox>
              </v:shape>
            </w:pict>
          </mc:Fallback>
        </mc:AlternateContent>
      </w:r>
      <w:r w:rsidRPr="005D3F46">
        <w:rPr>
          <w:noProof/>
          <w:sz w:val="18"/>
        </w:rPr>
        <mc:AlternateContent>
          <mc:Choice Requires="wps">
            <w:drawing>
              <wp:anchor distT="45720" distB="45720" distL="114300" distR="114300" simplePos="0" relativeHeight="251658327" behindDoc="0" locked="0" layoutInCell="1" allowOverlap="1" wp14:anchorId="55B611FD" wp14:editId="0DDEF484">
                <wp:simplePos x="0" y="0"/>
                <wp:positionH relativeFrom="column">
                  <wp:posOffset>4110355</wp:posOffset>
                </wp:positionH>
                <wp:positionV relativeFrom="paragraph">
                  <wp:posOffset>593725</wp:posOffset>
                </wp:positionV>
                <wp:extent cx="1240155" cy="325755"/>
                <wp:effectExtent l="0" t="0" r="0" b="0"/>
                <wp:wrapNone/>
                <wp:docPr id="100646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5755"/>
                        </a:xfrm>
                        <a:prstGeom prst="rect">
                          <a:avLst/>
                        </a:prstGeom>
                        <a:solidFill>
                          <a:schemeClr val="bg1"/>
                        </a:solidFill>
                        <a:ln w="9525">
                          <a:noFill/>
                          <a:miter lim="800000"/>
                          <a:headEnd/>
                          <a:tailEnd/>
                        </a:ln>
                      </wps:spPr>
                      <wps:txbx>
                        <w:txbxContent>
                          <w:p w14:paraId="72217609" w14:textId="77777777" w:rsidR="007E04B4" w:rsidRPr="00A80C38" w:rsidRDefault="007E04B4" w:rsidP="007E04B4">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611FD" id="_x0000_s1102" type="#_x0000_t202" style="position:absolute;margin-left:323.65pt;margin-top:46.75pt;width:97.65pt;height:25.6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" fillcolor="white [3212]" stroked="f">
                <v:textbox>
                  <w:txbxContent>
                    <w:p w14:paraId="72217609" w14:textId="77777777" w:rsidR="007E04B4" w:rsidRPr="00A80C38" w:rsidRDefault="007E04B4" w:rsidP="007E04B4">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p>
    <w:p w14:paraId="470E87B7" w14:textId="2D9ADFA3" w:rsidR="002D6CA3" w:rsidRPr="00124852" w:rsidRDefault="007E04B4" w:rsidP="00660772">
      <w:pPr>
        <w:rPr>
          <w:color w:val="75787B" w:themeColor="accent6"/>
        </w:rPr>
      </w:pPr>
      <w:r w:rsidRPr="005D3F46">
        <w:rPr>
          <w:noProof/>
          <w:sz w:val="18"/>
        </w:rPr>
        <mc:AlternateContent>
          <mc:Choice Requires="wps">
            <w:drawing>
              <wp:anchor distT="45720" distB="45720" distL="114300" distR="114300" simplePos="0" relativeHeight="251658323" behindDoc="0" locked="0" layoutInCell="1" allowOverlap="1" wp14:anchorId="121E8710" wp14:editId="02241D85">
                <wp:simplePos x="0" y="0"/>
                <wp:positionH relativeFrom="column">
                  <wp:posOffset>111317</wp:posOffset>
                </wp:positionH>
                <wp:positionV relativeFrom="paragraph">
                  <wp:posOffset>306539</wp:posOffset>
                </wp:positionV>
                <wp:extent cx="1550505" cy="325755"/>
                <wp:effectExtent l="0" t="0" r="0" b="0"/>
                <wp:wrapNone/>
                <wp:docPr id="482821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505" cy="325755"/>
                        </a:xfrm>
                        <a:prstGeom prst="rect">
                          <a:avLst/>
                        </a:prstGeom>
                        <a:solidFill>
                          <a:schemeClr val="bg1"/>
                        </a:solidFill>
                        <a:ln w="9525">
                          <a:noFill/>
                          <a:miter lim="800000"/>
                          <a:headEnd/>
                          <a:tailEnd/>
                        </a:ln>
                      </wps:spPr>
                      <wps:txbx>
                        <w:txbxContent>
                          <w:p w14:paraId="41A3E2A9" w14:textId="77777777" w:rsidR="007E04B4" w:rsidRPr="00447980" w:rsidRDefault="007E04B4" w:rsidP="007E04B4">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8710" id="_x0000_s1103" type="#_x0000_t202" style="position:absolute;margin-left:8.75pt;margin-top:24.15pt;width:122.1pt;height:25.65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" fillcolor="white [3212]" stroked="f">
                <v:textbox>
                  <w:txbxContent>
                    <w:p w14:paraId="41A3E2A9" w14:textId="77777777" w:rsidR="007E04B4" w:rsidRPr="00447980" w:rsidRDefault="007E04B4" w:rsidP="007E04B4">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v:textbox>
              </v:shape>
            </w:pict>
          </mc:Fallback>
        </mc:AlternateContent>
      </w:r>
      <w:r w:rsidR="00125FD7">
        <w:rPr>
          <w:noProof/>
          <w:sz w:val="24"/>
          <w:shd w:val="clear" w:color="auto" w:fill="E6E6E6"/>
        </w:rPr>
        <mc:AlternateContent>
          <mc:Choice Requires="wps">
            <w:drawing>
              <wp:anchor distT="45720" distB="45720" distL="114300" distR="114300" simplePos="0" relativeHeight="251658246" behindDoc="0" locked="0" layoutInCell="1" allowOverlap="1" wp14:anchorId="0D8B54A6" wp14:editId="1600D26F">
                <wp:simplePos x="0" y="0"/>
                <wp:positionH relativeFrom="column">
                  <wp:posOffset>63500</wp:posOffset>
                </wp:positionH>
                <wp:positionV relativeFrom="paragraph">
                  <wp:posOffset>749935</wp:posOffset>
                </wp:positionV>
                <wp:extent cx="5812155" cy="953770"/>
                <wp:effectExtent l="0" t="0" r="17145"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953770"/>
                        </a:xfrm>
                        <a:prstGeom prst="rect">
                          <a:avLst/>
                        </a:prstGeom>
                        <a:solidFill>
                          <a:srgbClr val="FFFFFF"/>
                        </a:solidFill>
                        <a:ln w="9525">
                          <a:solidFill>
                            <a:schemeClr val="tx2"/>
                          </a:solidFill>
                          <a:miter lim="800000"/>
                          <a:headEnd/>
                          <a:tailEnd/>
                        </a:ln>
                      </wps:spPr>
                      <wps:txbx>
                        <w:txbxContent>
                          <w:p w14:paraId="6912A5B3" w14:textId="42BFE525" w:rsidR="00EF0F26" w:rsidRPr="00125FD7" w:rsidRDefault="00746F6D" w:rsidP="00125FD7">
                            <w:pPr>
                              <w:spacing w:after="120"/>
                              <w:rPr>
                                <w:sz w:val="18"/>
                                <w:szCs w:val="18"/>
                              </w:rPr>
                            </w:pPr>
                            <w:hyperlink w:anchor="_Pielikums_B._Izmantoto" w:history="1">
                              <w:r>
                                <w:rPr>
                                  <w:rStyle w:val="Hipersaite"/>
                                  <w:sz w:val="18"/>
                                </w:rPr>
                                <w:t>Documents to be used</w:t>
                              </w:r>
                            </w:hyperlink>
                            <w:r>
                              <w:rPr>
                                <w:sz w:val="18"/>
                              </w:rPr>
                              <w:t>:</w:t>
                            </w:r>
                          </w:p>
                          <w:p w14:paraId="300231A3" w14:textId="3E6787BA" w:rsidR="00EF0F26" w:rsidRPr="00125FD7" w:rsidRDefault="00EF0F26" w:rsidP="008123E0">
                            <w:pPr>
                              <w:pStyle w:val="Sarakstarindkopa"/>
                              <w:numPr>
                                <w:ilvl w:val="0"/>
                                <w:numId w:val="53"/>
                              </w:numPr>
                              <w:rPr>
                                <w:rFonts w:ascii="Verdana" w:hAnsi="Verdana"/>
                                <w:sz w:val="18"/>
                                <w:szCs w:val="18"/>
                              </w:rPr>
                            </w:pPr>
                            <w:r>
                              <w:rPr>
                                <w:rStyle w:val="Hipersaite"/>
                                <w:color w:val="auto"/>
                                <w:sz w:val="18"/>
                                <w:u w:val="none"/>
                              </w:rPr>
                              <w:t>Guidelines for PPP Statistical Treatment</w:t>
                            </w:r>
                          </w:p>
                          <w:p w14:paraId="5063AAD7" w14:textId="0EFA56A6" w:rsidR="00EF0F26" w:rsidRPr="00125FD7" w:rsidRDefault="00EF0F26" w:rsidP="008123E0">
                            <w:pPr>
                              <w:pStyle w:val="Sarakstarindkopa"/>
                              <w:numPr>
                                <w:ilvl w:val="0"/>
                                <w:numId w:val="53"/>
                              </w:numPr>
                              <w:rPr>
                                <w:rFonts w:ascii="Verdana" w:hAnsi="Verdana"/>
                                <w:sz w:val="18"/>
                                <w:szCs w:val="18"/>
                              </w:rPr>
                            </w:pPr>
                            <w:r>
                              <w:rPr>
                                <w:rStyle w:val="Hipersaite"/>
                                <w:color w:val="auto"/>
                                <w:sz w:val="18"/>
                                <w:u w:val="none"/>
                              </w:rPr>
                              <w:t>ESA 2010</w:t>
                            </w:r>
                          </w:p>
                          <w:p w14:paraId="7F538656" w14:textId="0F8A511B" w:rsidR="00EF0F26" w:rsidRPr="00125FD7" w:rsidRDefault="00EF0F26" w:rsidP="008123E0">
                            <w:pPr>
                              <w:pStyle w:val="Sarakstarindkopa"/>
                              <w:numPr>
                                <w:ilvl w:val="0"/>
                                <w:numId w:val="53"/>
                              </w:numPr>
                              <w:rPr>
                                <w:rFonts w:ascii="Verdana" w:hAnsi="Verdana"/>
                                <w:sz w:val="18"/>
                                <w:szCs w:val="18"/>
                              </w:rPr>
                            </w:pPr>
                            <w:r>
                              <w:rPr>
                                <w:rStyle w:val="Hipersaite"/>
                                <w:color w:val="auto"/>
                                <w:sz w:val="18"/>
                                <w:u w:val="none"/>
                              </w:rPr>
                              <w:t>A Guide to Preparing a PPP Project</w:t>
                            </w:r>
                            <w:r>
                              <w:rPr>
                                <w:sz w:val="18"/>
                              </w:rPr>
                              <w:t xml:space="preserve"> </w:t>
                            </w:r>
                          </w:p>
                          <w:p w14:paraId="42559B56" w14:textId="334E75F4" w:rsidR="00EF0F26" w:rsidRPr="00125FD7" w:rsidRDefault="00EF0F26" w:rsidP="008123E0">
                            <w:pPr>
                              <w:pStyle w:val="Sarakstarindkopa"/>
                              <w:numPr>
                                <w:ilvl w:val="0"/>
                                <w:numId w:val="53"/>
                              </w:numPr>
                              <w:rPr>
                                <w:rFonts w:ascii="Verdana" w:hAnsi="Verdana"/>
                                <w:sz w:val="18"/>
                                <w:szCs w:val="20"/>
                              </w:rPr>
                            </w:pPr>
                            <w:r>
                              <w:rPr>
                                <w:rStyle w:val="Hipersaite"/>
                                <w:color w:val="auto"/>
                                <w:sz w:val="18"/>
                                <w:u w:val="none"/>
                              </w:rPr>
                              <w:t>A Guide to the Assessment of VFM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B54A6" id="_x0000_s1104" type="#_x0000_t202" style="position:absolute;margin-left:5pt;margin-top:59.05pt;width:457.65pt;height:75.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" strokecolor="#44546a [3215]">
                <v:textbox>
                  <w:txbxContent>
                    <w:p w14:paraId="6912A5B3" w14:textId="42BFE525" w:rsidR="00EF0F26" w:rsidRPr="00125FD7" w:rsidRDefault="00746F6D" w:rsidP="00125FD7">
                      <w:pPr>
                        <w:spacing w:after="120"/>
                        <w:rPr>
                          <w:sz w:val="18"/>
                          <w:szCs w:val="18"/>
                        </w:rPr>
                      </w:pPr>
                      <w:hyperlink w:anchor="_Pielikums_B._Izmantoto" w:history="1">
                        <w:r>
                          <w:rPr>
                            <w:rStyle w:val="Hipersaite"/>
                            <w:sz w:val="18"/>
                          </w:rPr>
                          <w:t>Documents to be used</w:t>
                        </w:r>
                      </w:hyperlink>
                      <w:r>
                        <w:rPr>
                          <w:sz w:val="18"/>
                        </w:rPr>
                        <w:t>:</w:t>
                      </w:r>
                    </w:p>
                    <w:p w14:paraId="300231A3" w14:textId="3E6787BA" w:rsidR="00EF0F26" w:rsidRPr="00125FD7" w:rsidRDefault="00EF0F26" w:rsidP="008123E0">
                      <w:pPr>
                        <w:pStyle w:val="Sarakstarindkopa"/>
                        <w:numPr>
                          <w:ilvl w:val="0"/>
                          <w:numId w:val="53"/>
                        </w:numPr>
                        <w:rPr>
                          <w:rFonts w:ascii="Verdana" w:hAnsi="Verdana"/>
                          <w:sz w:val="18"/>
                          <w:szCs w:val="18"/>
                        </w:rPr>
                      </w:pPr>
                      <w:r>
                        <w:rPr>
                          <w:rStyle w:val="Hipersaite"/>
                          <w:color w:val="auto"/>
                          <w:sz w:val="18"/>
                          <w:u w:val="none"/>
                        </w:rPr>
                        <w:t>Guidelines for PPP Statistical Treatment</w:t>
                      </w:r>
                    </w:p>
                    <w:p w14:paraId="5063AAD7" w14:textId="0EFA56A6" w:rsidR="00EF0F26" w:rsidRPr="00125FD7" w:rsidRDefault="00EF0F26" w:rsidP="008123E0">
                      <w:pPr>
                        <w:pStyle w:val="Sarakstarindkopa"/>
                        <w:numPr>
                          <w:ilvl w:val="0"/>
                          <w:numId w:val="53"/>
                        </w:numPr>
                        <w:rPr>
                          <w:rFonts w:ascii="Verdana" w:hAnsi="Verdana"/>
                          <w:sz w:val="18"/>
                          <w:szCs w:val="18"/>
                        </w:rPr>
                      </w:pPr>
                      <w:r>
                        <w:rPr>
                          <w:rStyle w:val="Hipersaite"/>
                          <w:color w:val="auto"/>
                          <w:sz w:val="18"/>
                          <w:u w:val="none"/>
                        </w:rPr>
                        <w:t>ESA 2010</w:t>
                      </w:r>
                    </w:p>
                    <w:p w14:paraId="7F538656" w14:textId="0F8A511B" w:rsidR="00EF0F26" w:rsidRPr="00125FD7" w:rsidRDefault="00EF0F26" w:rsidP="008123E0">
                      <w:pPr>
                        <w:pStyle w:val="Sarakstarindkopa"/>
                        <w:numPr>
                          <w:ilvl w:val="0"/>
                          <w:numId w:val="53"/>
                        </w:numPr>
                        <w:rPr>
                          <w:rFonts w:ascii="Verdana" w:hAnsi="Verdana"/>
                          <w:sz w:val="18"/>
                          <w:szCs w:val="18"/>
                        </w:rPr>
                      </w:pPr>
                      <w:r>
                        <w:rPr>
                          <w:rStyle w:val="Hipersaite"/>
                          <w:color w:val="auto"/>
                          <w:sz w:val="18"/>
                          <w:u w:val="none"/>
                        </w:rPr>
                        <w:t>A Guide to Preparing a PPP Project</w:t>
                      </w:r>
                      <w:r>
                        <w:rPr>
                          <w:sz w:val="18"/>
                        </w:rPr>
                        <w:t xml:space="preserve"> </w:t>
                      </w:r>
                    </w:p>
                    <w:p w14:paraId="42559B56" w14:textId="334E75F4" w:rsidR="00EF0F26" w:rsidRPr="00125FD7" w:rsidRDefault="00EF0F26" w:rsidP="008123E0">
                      <w:pPr>
                        <w:pStyle w:val="Sarakstarindkopa"/>
                        <w:numPr>
                          <w:ilvl w:val="0"/>
                          <w:numId w:val="53"/>
                        </w:numPr>
                        <w:rPr>
                          <w:rFonts w:ascii="Verdana" w:hAnsi="Verdana"/>
                          <w:sz w:val="18"/>
                          <w:szCs w:val="20"/>
                        </w:rPr>
                      </w:pPr>
                      <w:r>
                        <w:rPr>
                          <w:rStyle w:val="Hipersaite"/>
                          <w:color w:val="auto"/>
                          <w:sz w:val="18"/>
                          <w:u w:val="none"/>
                        </w:rPr>
                        <w:t>A Guide to the Assessment of VFM</w:t>
                      </w:r>
                    </w:p>
                  </w:txbxContent>
                </v:textbox>
                <w10:wrap type="square"/>
              </v:shape>
            </w:pict>
          </mc:Fallback>
        </mc:AlternateContent>
      </w:r>
      <w:r w:rsidR="00125FD7">
        <w:rPr>
          <w:noProof/>
        </w:rPr>
        <w:drawing>
          <wp:inline distT="0" distB="0" distL="0" distR="0" wp14:anchorId="7C939DC4" wp14:editId="13C53EE6">
            <wp:extent cx="5943600" cy="661035"/>
            <wp:effectExtent l="0" t="0" r="0" b="5715"/>
            <wp:docPr id="803084716" name="Picture 80308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661035"/>
                    </a:xfrm>
                    <a:prstGeom prst="rect">
                      <a:avLst/>
                    </a:prstGeom>
                  </pic:spPr>
                </pic:pic>
              </a:graphicData>
            </a:graphic>
          </wp:inline>
        </w:drawing>
      </w:r>
    </w:p>
    <w:p w14:paraId="7F7F0F12" w14:textId="29AAD4E4" w:rsidR="2C203DAD" w:rsidRDefault="00833E33" w:rsidP="00C669AC">
      <w:pPr>
        <w:ind w:firstLine="90"/>
      </w:pPr>
      <w:r w:rsidRPr="00CC7CF8">
        <w:rPr>
          <w:rFonts w:ascii="Verdana" w:hAnsi="Verdana"/>
          <w:noProof/>
          <w:sz w:val="18"/>
        </w:rPr>
        <mc:AlternateContent>
          <mc:Choice Requires="wps">
            <w:drawing>
              <wp:anchor distT="45720" distB="45720" distL="114300" distR="114300" simplePos="0" relativeHeight="251658353" behindDoc="0" locked="0" layoutInCell="1" allowOverlap="1" wp14:anchorId="300E2C90" wp14:editId="19B5FA22">
                <wp:simplePos x="0" y="0"/>
                <wp:positionH relativeFrom="margin">
                  <wp:align>right</wp:align>
                </wp:positionH>
                <wp:positionV relativeFrom="paragraph">
                  <wp:posOffset>987452</wp:posOffset>
                </wp:positionV>
                <wp:extent cx="2439035" cy="640908"/>
                <wp:effectExtent l="19050" t="19050" r="18415" b="26035"/>
                <wp:wrapNone/>
                <wp:docPr id="716594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640908"/>
                        </a:xfrm>
                        <a:prstGeom prst="rect">
                          <a:avLst/>
                        </a:prstGeom>
                        <a:solidFill>
                          <a:srgbClr val="FFFFFF"/>
                        </a:solidFill>
                        <a:ln w="28575">
                          <a:solidFill>
                            <a:schemeClr val="accent1"/>
                          </a:solidFill>
                          <a:miter lim="800000"/>
                          <a:headEnd/>
                          <a:tailEnd/>
                        </a:ln>
                      </wps:spPr>
                      <wps:txbx>
                        <w:txbxContent>
                          <w:p w14:paraId="39601FEE" w14:textId="77777777" w:rsidR="00657FE0" w:rsidRDefault="00657FE0" w:rsidP="00657FE0">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37B5B7DE" w14:textId="295A7765" w:rsidR="00657FE0" w:rsidRPr="007217EE" w:rsidRDefault="00657FE0" w:rsidP="00657FE0">
                            <w:pPr>
                              <w:jc w:val="center"/>
                              <w:rPr>
                                <w:b/>
                                <w:bCs/>
                                <w:sz w:val="12"/>
                                <w:szCs w:val="12"/>
                              </w:rPr>
                            </w:pPr>
                            <w:r w:rsidRPr="000C0065">
                              <w:rPr>
                                <w:b/>
                                <w:bCs/>
                                <w:sz w:val="12"/>
                                <w:szCs w:val="12"/>
                              </w:rPr>
                              <w:t xml:space="preserve">Confirmation or denial of the </w:t>
                            </w:r>
                            <w:r w:rsidR="00833E33">
                              <w:rPr>
                                <w:b/>
                                <w:bCs/>
                                <w:sz w:val="12"/>
                                <w:szCs w:val="12"/>
                              </w:rPr>
                              <w:t xml:space="preserve">statistical treatment of the Partnership Contract on the </w:t>
                            </w:r>
                            <w:r w:rsidR="00B25B39">
                              <w:rPr>
                                <w:b/>
                                <w:bCs/>
                                <w:sz w:val="12"/>
                                <w:szCs w:val="12"/>
                              </w:rPr>
                              <w:t xml:space="preserve">balance </w:t>
                            </w:r>
                            <w:r w:rsidR="00833E33">
                              <w:rPr>
                                <w:b/>
                                <w:bCs/>
                                <w:sz w:val="12"/>
                                <w:szCs w:val="12"/>
                              </w:rPr>
                              <w:t>sheet of the general government sector</w:t>
                            </w:r>
                            <w:r w:rsidR="00B25B39">
                              <w:rPr>
                                <w:b/>
                                <w:bCs/>
                                <w:sz w:val="12"/>
                                <w:szCs w:val="12"/>
                              </w:rPr>
                              <w:t xml:space="preserve">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E2C90" id="_x0000_s1105" type="#_x0000_t202" style="position:absolute;left:0;text-align:left;margin-left:140.85pt;margin-top:77.75pt;width:192.05pt;height:50.45pt;z-index:2516583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" strokecolor="#86bc25 [3204]" strokeweight="2.25pt">
                <v:textbox>
                  <w:txbxContent>
                    <w:p w14:paraId="39601FEE" w14:textId="77777777" w:rsidR="00657FE0" w:rsidRDefault="00657FE0" w:rsidP="00657FE0">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37B5B7DE" w14:textId="295A7765" w:rsidR="00657FE0" w:rsidRPr="007217EE" w:rsidRDefault="00657FE0" w:rsidP="00657FE0">
                      <w:pPr>
                        <w:jc w:val="center"/>
                        <w:rPr>
                          <w:b/>
                          <w:bCs/>
                          <w:sz w:val="12"/>
                          <w:szCs w:val="12"/>
                        </w:rPr>
                      </w:pPr>
                      <w:r w:rsidRPr="000C0065">
                        <w:rPr>
                          <w:b/>
                          <w:bCs/>
                          <w:sz w:val="12"/>
                          <w:szCs w:val="12"/>
                        </w:rPr>
                        <w:t xml:space="preserve">Confirmation or denial of the </w:t>
                      </w:r>
                      <w:r w:rsidR="00833E33">
                        <w:rPr>
                          <w:b/>
                          <w:bCs/>
                          <w:sz w:val="12"/>
                          <w:szCs w:val="12"/>
                        </w:rPr>
                        <w:t xml:space="preserve">statistical treatment of the Partnership Contract on the </w:t>
                      </w:r>
                      <w:r w:rsidR="00B25B39">
                        <w:rPr>
                          <w:b/>
                          <w:bCs/>
                          <w:sz w:val="12"/>
                          <w:szCs w:val="12"/>
                        </w:rPr>
                        <w:t xml:space="preserve">balance </w:t>
                      </w:r>
                      <w:r w:rsidR="00833E33">
                        <w:rPr>
                          <w:b/>
                          <w:bCs/>
                          <w:sz w:val="12"/>
                          <w:szCs w:val="12"/>
                        </w:rPr>
                        <w:t>sheet of the general government sector</w:t>
                      </w:r>
                      <w:r w:rsidR="00B25B39">
                        <w:rPr>
                          <w:b/>
                          <w:bCs/>
                          <w:sz w:val="12"/>
                          <w:szCs w:val="12"/>
                        </w:rPr>
                        <w:t xml:space="preserve"> assets</w:t>
                      </w:r>
                    </w:p>
                  </w:txbxContent>
                </v:textbox>
                <w10:wrap anchorx="margin"/>
              </v:shape>
            </w:pict>
          </mc:Fallback>
        </mc:AlternateContent>
      </w:r>
      <w:r w:rsidR="00657FE0" w:rsidRPr="00CC7CF8">
        <w:rPr>
          <w:rFonts w:ascii="Verdana" w:hAnsi="Verdana"/>
          <w:noProof/>
          <w:sz w:val="18"/>
        </w:rPr>
        <mc:AlternateContent>
          <mc:Choice Requires="wps">
            <w:drawing>
              <wp:anchor distT="45720" distB="45720" distL="114300" distR="114300" simplePos="0" relativeHeight="251658352" behindDoc="0" locked="0" layoutInCell="1" allowOverlap="1" wp14:anchorId="297CBE56" wp14:editId="633114AE">
                <wp:simplePos x="0" y="0"/>
                <wp:positionH relativeFrom="margin">
                  <wp:align>left</wp:align>
                </wp:positionH>
                <wp:positionV relativeFrom="paragraph">
                  <wp:posOffset>1015475</wp:posOffset>
                </wp:positionV>
                <wp:extent cx="2397760" cy="521639"/>
                <wp:effectExtent l="19050" t="19050" r="21590" b="12065"/>
                <wp:wrapNone/>
                <wp:docPr id="1529041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21639"/>
                        </a:xfrm>
                        <a:prstGeom prst="rect">
                          <a:avLst/>
                        </a:prstGeom>
                        <a:solidFill>
                          <a:srgbClr val="FFFFFF"/>
                        </a:solidFill>
                        <a:ln w="28575">
                          <a:solidFill>
                            <a:srgbClr val="92D050"/>
                          </a:solidFill>
                          <a:miter lim="800000"/>
                          <a:headEnd/>
                          <a:tailEnd/>
                        </a:ln>
                      </wps:spPr>
                      <wps:txbx>
                        <w:txbxContent>
                          <w:p w14:paraId="3526D759" w14:textId="77777777" w:rsidR="00657FE0" w:rsidRDefault="00657FE0" w:rsidP="00657FE0">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2E203B10" w14:textId="38E85407" w:rsidR="00657FE0" w:rsidRPr="007217EE" w:rsidRDefault="00657FE0" w:rsidP="00657FE0">
                            <w:pPr>
                              <w:jc w:val="center"/>
                              <w:rPr>
                                <w:b/>
                                <w:bCs/>
                                <w:sz w:val="12"/>
                                <w:szCs w:val="12"/>
                              </w:rPr>
                            </w:pPr>
                            <w:r>
                              <w:rPr>
                                <w:b/>
                                <w:bCs/>
                                <w:sz w:val="12"/>
                                <w:szCs w:val="12"/>
                              </w:rPr>
                              <w:t xml:space="preserve">Determine the statistical treatment of the Partnership Contract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BE56" id="_x0000_s1106" type="#_x0000_t202" style="position:absolute;left:0;text-align:left;margin-left:0;margin-top:79.95pt;width:188.8pt;height:41.05pt;z-index:25165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" strokecolor="#92d050" strokeweight="2.25pt">
                <v:textbox>
                  <w:txbxContent>
                    <w:p w14:paraId="3526D759" w14:textId="77777777" w:rsidR="00657FE0" w:rsidRDefault="00657FE0" w:rsidP="00657FE0">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2E203B10" w14:textId="38E85407" w:rsidR="00657FE0" w:rsidRPr="007217EE" w:rsidRDefault="00657FE0" w:rsidP="00657FE0">
                      <w:pPr>
                        <w:jc w:val="center"/>
                        <w:rPr>
                          <w:b/>
                          <w:bCs/>
                          <w:sz w:val="12"/>
                          <w:szCs w:val="12"/>
                        </w:rPr>
                      </w:pPr>
                      <w:r>
                        <w:rPr>
                          <w:b/>
                          <w:bCs/>
                          <w:sz w:val="12"/>
                          <w:szCs w:val="12"/>
                        </w:rPr>
                        <w:t xml:space="preserve">Determine the statistical treatment of the Partnership Contract </w:t>
                      </w:r>
                    </w:p>
                  </w:txbxContent>
                </v:textbox>
                <w10:wrap anchorx="margin"/>
              </v:shape>
            </w:pict>
          </mc:Fallback>
        </mc:AlternateContent>
      </w:r>
      <w:r w:rsidR="00C669AC">
        <w:rPr>
          <w:noProof/>
        </w:rPr>
        <w:drawing>
          <wp:inline distT="0" distB="0" distL="0" distR="0" wp14:anchorId="3C337AD1" wp14:editId="232999E1">
            <wp:extent cx="5886450" cy="553720"/>
            <wp:effectExtent l="0" t="0" r="0" b="0"/>
            <wp:docPr id="481891177" name="Picture 48189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886450" cy="553720"/>
                    </a:xfrm>
                    <a:prstGeom prst="rect">
                      <a:avLst/>
                    </a:prstGeom>
                  </pic:spPr>
                </pic:pic>
              </a:graphicData>
            </a:graphic>
          </wp:inline>
        </w:drawing>
      </w:r>
    </w:p>
    <w:p w14:paraId="5B5FD16C" w14:textId="4AE6858D" w:rsidR="00AB0EF0" w:rsidRPr="00251B39" w:rsidRDefault="00F21ADF" w:rsidP="00AB0EF0">
      <w:pPr>
        <w:jc w:val="both"/>
        <w:rPr>
          <w:sz w:val="18"/>
          <w:szCs w:val="18"/>
        </w:rPr>
      </w:pPr>
      <w:r>
        <w:rPr>
          <w:sz w:val="18"/>
        </w:rPr>
        <w:t>Given the budgetary deficit constraints imposed on the State, the statistical treatment of a Partnership Contract can play a crucial role in assessing the most suitable PPP arrangement and PPP model for a PPP project. Whether a Partnership Contract is accounted for on or off the balance sheet of the general government sector</w:t>
      </w:r>
      <w:r w:rsidR="00B25B39">
        <w:rPr>
          <w:sz w:val="18"/>
        </w:rPr>
        <w:t xml:space="preserve"> assets</w:t>
      </w:r>
      <w:r>
        <w:rPr>
          <w:sz w:val="18"/>
        </w:rPr>
        <w:t xml:space="preserve"> is assessed by analysing which party, the public partner or the private partner, bears the greater risk and will receive the greater share of the rewards from the assets. The main risk and reward elements to be assessed are: </w:t>
      </w:r>
    </w:p>
    <w:p w14:paraId="05F212DA" w14:textId="3D71011F" w:rsidR="00AB0EF0" w:rsidRPr="00251B39" w:rsidRDefault="00AB0EF0" w:rsidP="008B6449">
      <w:pPr>
        <w:pStyle w:val="Sarakstarindkopa"/>
        <w:numPr>
          <w:ilvl w:val="0"/>
          <w:numId w:val="17"/>
        </w:numPr>
        <w:jc w:val="both"/>
        <w:rPr>
          <w:sz w:val="18"/>
          <w:szCs w:val="18"/>
        </w:rPr>
      </w:pPr>
      <w:r>
        <w:rPr>
          <w:b/>
          <w:sz w:val="18"/>
        </w:rPr>
        <w:t xml:space="preserve">construction risk: </w:t>
      </w:r>
      <w:r>
        <w:rPr>
          <w:color w:val="000000" w:themeColor="text1"/>
          <w:sz w:val="18"/>
        </w:rPr>
        <w:t>related to the execution of construction works (e.g. cost increases, extra costs, delayed delivery of construction materials, loss or damage caused by or resulting from construction works and discovered during operation, non-compliance with technical regulations or building codes, environmental risks and other risks that give rise to liabilities to third parties)</w:t>
      </w:r>
      <w:r w:rsidR="001F795E" w:rsidDel="001F795E">
        <w:rPr>
          <w:color w:val="000000" w:themeColor="text1"/>
          <w:sz w:val="18"/>
        </w:rPr>
        <w:t xml:space="preserve"> </w:t>
      </w:r>
    </w:p>
    <w:p w14:paraId="32C9D6EA" w14:textId="3344D1E9" w:rsidR="00AB0EF0" w:rsidRPr="00251B39" w:rsidRDefault="00AB0EF0" w:rsidP="008B6449">
      <w:pPr>
        <w:pStyle w:val="Sarakstarindkopa"/>
        <w:numPr>
          <w:ilvl w:val="0"/>
          <w:numId w:val="17"/>
        </w:numPr>
        <w:jc w:val="both"/>
        <w:rPr>
          <w:sz w:val="18"/>
          <w:szCs w:val="18"/>
        </w:rPr>
      </w:pPr>
      <w:r>
        <w:rPr>
          <w:b/>
          <w:bCs/>
          <w:sz w:val="18"/>
        </w:rPr>
        <w:lastRenderedPageBreak/>
        <w:t xml:space="preserve">availability </w:t>
      </w:r>
      <w:r>
        <w:rPr>
          <w:b/>
          <w:sz w:val="18"/>
        </w:rPr>
        <w:t>risk:</w:t>
      </w:r>
      <w:r>
        <w:rPr>
          <w:sz w:val="18"/>
        </w:rPr>
        <w:t xml:space="preserve"> </w:t>
      </w:r>
      <w:r>
        <w:rPr>
          <w:color w:val="000000" w:themeColor="text1"/>
          <w:sz w:val="18"/>
        </w:rPr>
        <w:t>related to service delivery (e.g. ensuring the quality of the service meets the specifications within the planned scope and timeframe, additional maintenance or financing costs)</w:t>
      </w:r>
    </w:p>
    <w:p w14:paraId="1D839950" w14:textId="7235B4B4" w:rsidR="00485D2E" w:rsidRPr="004F4A3E" w:rsidRDefault="00AB0EF0" w:rsidP="008B6449">
      <w:pPr>
        <w:pStyle w:val="Sarakstarindkopa"/>
        <w:numPr>
          <w:ilvl w:val="0"/>
          <w:numId w:val="17"/>
        </w:numPr>
        <w:jc w:val="both"/>
        <w:rPr>
          <w:sz w:val="18"/>
          <w:szCs w:val="18"/>
        </w:rPr>
      </w:pPr>
      <w:r>
        <w:rPr>
          <w:b/>
          <w:sz w:val="18"/>
        </w:rPr>
        <w:t xml:space="preserve">demand risk: </w:t>
      </w:r>
      <w:r>
        <w:rPr>
          <w:color w:val="000000" w:themeColor="text1"/>
          <w:sz w:val="18"/>
        </w:rPr>
        <w:t>related to the demand for the service (e.g. a decrease or increase in the number of end-users of the service, other than due to low quality or insufficiency of the service; other circumstances affecting the quantity or quality of the service)</w:t>
      </w:r>
    </w:p>
    <w:p w14:paraId="1F089B18" w14:textId="1EB0331B" w:rsidR="004F4A3E" w:rsidRPr="004F4A3E" w:rsidRDefault="004F4A3E" w:rsidP="004F4A3E">
      <w:pPr>
        <w:pStyle w:val="Sarakstarindkopa"/>
        <w:jc w:val="both"/>
        <w:rPr>
          <w:sz w:val="18"/>
          <w:szCs w:val="18"/>
          <w:lang w:val="lv-LV"/>
        </w:rPr>
      </w:pPr>
    </w:p>
    <w:p w14:paraId="1AE2F564" w14:textId="11624E29" w:rsidR="00485D2E" w:rsidRDefault="00C0565B" w:rsidP="00485D2E">
      <w:pPr>
        <w:pStyle w:val="Sarakstarindkopa"/>
        <w:ind w:left="0"/>
        <w:rPr>
          <w:sz w:val="18"/>
          <w:szCs w:val="18"/>
        </w:rPr>
      </w:pPr>
      <w:r w:rsidRPr="00977E06">
        <w:rPr>
          <w:noProof/>
          <w:sz w:val="18"/>
        </w:rPr>
        <mc:AlternateContent>
          <mc:Choice Requires="wps">
            <w:drawing>
              <wp:anchor distT="45720" distB="45720" distL="114300" distR="114300" simplePos="0" relativeHeight="251658354" behindDoc="0" locked="0" layoutInCell="1" allowOverlap="1" wp14:anchorId="07461C4A" wp14:editId="6328B972">
                <wp:simplePos x="0" y="0"/>
                <wp:positionH relativeFrom="column">
                  <wp:posOffset>1564640</wp:posOffset>
                </wp:positionH>
                <wp:positionV relativeFrom="paragraph">
                  <wp:posOffset>332077</wp:posOffset>
                </wp:positionV>
                <wp:extent cx="1160891" cy="246491"/>
                <wp:effectExtent l="0" t="0" r="20320" b="20320"/>
                <wp:wrapNone/>
                <wp:docPr id="1413903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bg1">
                            <a:lumMod val="75000"/>
                          </a:schemeClr>
                        </a:solidFill>
                        <a:ln w="9525">
                          <a:solidFill>
                            <a:srgbClr val="000000"/>
                          </a:solidFill>
                          <a:miter lim="800000"/>
                          <a:headEnd/>
                          <a:tailEnd/>
                        </a:ln>
                      </wps:spPr>
                      <wps:txbx>
                        <w:txbxContent>
                          <w:p w14:paraId="05437043" w14:textId="77365865" w:rsidR="00977E06" w:rsidRPr="00977E06" w:rsidRDefault="00977E06" w:rsidP="00977E06">
                            <w:pPr>
                              <w:jc w:val="center"/>
                              <w:rPr>
                                <w:b/>
                                <w:bCs/>
                                <w:color w:val="404040" w:themeColor="text1" w:themeTint="BF"/>
                                <w:sz w:val="14"/>
                                <w:szCs w:val="14"/>
                              </w:rPr>
                            </w:pPr>
                            <w:r w:rsidRPr="00977E06">
                              <w:rPr>
                                <w:b/>
                                <w:bCs/>
                                <w:color w:val="404040" w:themeColor="text1" w:themeTint="BF"/>
                                <w:sz w:val="14"/>
                                <w:szCs w:val="14"/>
                              </w:rPr>
                              <w:t>Risk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1C4A" id="_x0000_s1107" type="#_x0000_t202" style="position:absolute;margin-left:123.2pt;margin-top:26.15pt;width:91.4pt;height:19.4pt;z-index:2516583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" fillcolor="#bfbfbf [2412]">
                <v:textbox>
                  <w:txbxContent>
                    <w:p w14:paraId="05437043" w14:textId="77365865" w:rsidR="00977E06" w:rsidRPr="00977E06" w:rsidRDefault="00977E06" w:rsidP="00977E06">
                      <w:pPr>
                        <w:jc w:val="center"/>
                        <w:rPr>
                          <w:b/>
                          <w:bCs/>
                          <w:color w:val="404040" w:themeColor="text1" w:themeTint="BF"/>
                          <w:sz w:val="14"/>
                          <w:szCs w:val="14"/>
                        </w:rPr>
                      </w:pPr>
                      <w:r w:rsidRPr="00977E06">
                        <w:rPr>
                          <w:b/>
                          <w:bCs/>
                          <w:color w:val="404040" w:themeColor="text1" w:themeTint="BF"/>
                          <w:sz w:val="14"/>
                          <w:szCs w:val="14"/>
                        </w:rPr>
                        <w:t>Risk category</w:t>
                      </w:r>
                    </w:p>
                  </w:txbxContent>
                </v:textbox>
              </v:shape>
            </w:pict>
          </mc:Fallback>
        </mc:AlternateContent>
      </w:r>
      <w:r w:rsidR="005106F1">
        <w:rPr>
          <w:sz w:val="18"/>
        </w:rPr>
        <w:t xml:space="preserve">Below are the risk allocation combinations between the public and private partner that determine the on-balance sheet or off-balance sheet </w:t>
      </w:r>
      <w:r w:rsidR="00440743">
        <w:rPr>
          <w:sz w:val="18"/>
        </w:rPr>
        <w:t xml:space="preserve">recording </w:t>
      </w:r>
      <w:r w:rsidR="005106F1">
        <w:rPr>
          <w:sz w:val="18"/>
        </w:rPr>
        <w:t>of the Partnership Contract, as required by ESA 2010.</w:t>
      </w:r>
    </w:p>
    <w:p w14:paraId="02C69305" w14:textId="7887F8F6" w:rsidR="005106F1" w:rsidRPr="00251B39" w:rsidRDefault="00663CA2" w:rsidP="00485D2E">
      <w:pPr>
        <w:pStyle w:val="Sarakstarindkopa"/>
        <w:ind w:left="0"/>
        <w:rPr>
          <w:sz w:val="18"/>
          <w:szCs w:val="18"/>
        </w:rPr>
      </w:pPr>
      <w:r w:rsidRPr="00977E06">
        <w:rPr>
          <w:noProof/>
          <w:sz w:val="18"/>
        </w:rPr>
        <mc:AlternateContent>
          <mc:Choice Requires="wps">
            <w:drawing>
              <wp:anchor distT="45720" distB="45720" distL="114300" distR="114300" simplePos="0" relativeHeight="251658375" behindDoc="0" locked="0" layoutInCell="1" allowOverlap="1" wp14:anchorId="34F3FF5B" wp14:editId="518D54F8">
                <wp:simplePos x="0" y="0"/>
                <wp:positionH relativeFrom="column">
                  <wp:posOffset>4660293</wp:posOffset>
                </wp:positionH>
                <wp:positionV relativeFrom="paragraph">
                  <wp:posOffset>1499594</wp:posOffset>
                </wp:positionV>
                <wp:extent cx="1160891" cy="246491"/>
                <wp:effectExtent l="0" t="0" r="1270" b="1270"/>
                <wp:wrapNone/>
                <wp:docPr id="2058704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accent1"/>
                        </a:solidFill>
                        <a:ln w="9525">
                          <a:noFill/>
                          <a:miter lim="800000"/>
                          <a:headEnd/>
                          <a:tailEnd/>
                        </a:ln>
                      </wps:spPr>
                      <wps:txbx>
                        <w:txbxContent>
                          <w:p w14:paraId="35044B41" w14:textId="127F8BE2" w:rsidR="00663CA2" w:rsidRPr="00663CA2" w:rsidRDefault="00663CA2" w:rsidP="00663CA2">
                            <w:pPr>
                              <w:jc w:val="center"/>
                              <w:rPr>
                                <w:b/>
                                <w:bCs/>
                                <w:color w:val="FFFFFF" w:themeColor="background1"/>
                                <w:sz w:val="14"/>
                                <w:szCs w:val="14"/>
                                <w:lang w:val="lv-LV"/>
                              </w:rPr>
                            </w:pPr>
                            <w:r>
                              <w:rPr>
                                <w:b/>
                                <w:bCs/>
                                <w:color w:val="FFFFFF" w:themeColor="background1"/>
                                <w:sz w:val="14"/>
                                <w:szCs w:val="14"/>
                                <w:lang w:val="lv-LV"/>
                              </w:rPr>
                              <w:t>Off balance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FF5B" id="_x0000_s1108" type="#_x0000_t202" style="position:absolute;margin-left:366.95pt;margin-top:118.1pt;width:91.4pt;height:19.4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" fillcolor="#86bc25 [3204]" stroked="f">
                <v:textbox>
                  <w:txbxContent>
                    <w:p w14:paraId="35044B41" w14:textId="127F8BE2" w:rsidR="00663CA2" w:rsidRPr="00663CA2" w:rsidRDefault="00663CA2" w:rsidP="00663CA2">
                      <w:pPr>
                        <w:jc w:val="center"/>
                        <w:rPr>
                          <w:b/>
                          <w:bCs/>
                          <w:color w:val="FFFFFF" w:themeColor="background1"/>
                          <w:sz w:val="14"/>
                          <w:szCs w:val="14"/>
                          <w:lang w:val="lv-LV"/>
                        </w:rPr>
                      </w:pPr>
                      <w:r>
                        <w:rPr>
                          <w:b/>
                          <w:bCs/>
                          <w:color w:val="FFFFFF" w:themeColor="background1"/>
                          <w:sz w:val="14"/>
                          <w:szCs w:val="14"/>
                          <w:lang w:val="lv-LV"/>
                        </w:rPr>
                        <w:t>Off balance sheet</w:t>
                      </w:r>
                    </w:p>
                  </w:txbxContent>
                </v:textbox>
              </v:shape>
            </w:pict>
          </mc:Fallback>
        </mc:AlternateContent>
      </w:r>
      <w:r w:rsidRPr="00977E06">
        <w:rPr>
          <w:noProof/>
          <w:sz w:val="18"/>
        </w:rPr>
        <mc:AlternateContent>
          <mc:Choice Requires="wps">
            <w:drawing>
              <wp:anchor distT="45720" distB="45720" distL="114300" distR="114300" simplePos="0" relativeHeight="251658374" behindDoc="0" locked="0" layoutInCell="1" allowOverlap="1" wp14:anchorId="5F59FA8D" wp14:editId="22765A24">
                <wp:simplePos x="0" y="0"/>
                <wp:positionH relativeFrom="column">
                  <wp:posOffset>4676499</wp:posOffset>
                </wp:positionH>
                <wp:positionV relativeFrom="paragraph">
                  <wp:posOffset>1125772</wp:posOffset>
                </wp:positionV>
                <wp:extent cx="1160891" cy="246491"/>
                <wp:effectExtent l="0" t="0" r="1270" b="1270"/>
                <wp:wrapNone/>
                <wp:docPr id="765544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tx1">
                            <a:lumMod val="65000"/>
                            <a:lumOff val="35000"/>
                          </a:schemeClr>
                        </a:solidFill>
                        <a:ln w="9525">
                          <a:noFill/>
                          <a:miter lim="800000"/>
                          <a:headEnd/>
                          <a:tailEnd/>
                        </a:ln>
                      </wps:spPr>
                      <wps:txbx>
                        <w:txbxContent>
                          <w:p w14:paraId="26CC2FA8" w14:textId="77777777" w:rsidR="00663CA2" w:rsidRPr="00663CA2" w:rsidRDefault="00663CA2" w:rsidP="00663CA2">
                            <w:pPr>
                              <w:jc w:val="center"/>
                              <w:rPr>
                                <w:b/>
                                <w:bCs/>
                                <w:color w:val="FFFFFF" w:themeColor="background1"/>
                                <w:sz w:val="14"/>
                                <w:szCs w:val="14"/>
                                <w:lang w:val="lv-LV"/>
                              </w:rPr>
                            </w:pPr>
                            <w:r>
                              <w:rPr>
                                <w:b/>
                                <w:bCs/>
                                <w:color w:val="FFFFFF" w:themeColor="background1"/>
                                <w:sz w:val="14"/>
                                <w:szCs w:val="14"/>
                                <w:lang w:val="lv-LV"/>
                              </w:rPr>
                              <w:t>On balance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9FA8D" id="_x0000_s1109" type="#_x0000_t202" style="position:absolute;margin-left:368.25pt;margin-top:88.65pt;width:91.4pt;height:19.4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" fillcolor="#5a5a5a [2109]" stroked="f">
                <v:textbox>
                  <w:txbxContent>
                    <w:p w14:paraId="26CC2FA8" w14:textId="77777777" w:rsidR="00663CA2" w:rsidRPr="00663CA2" w:rsidRDefault="00663CA2" w:rsidP="00663CA2">
                      <w:pPr>
                        <w:jc w:val="center"/>
                        <w:rPr>
                          <w:b/>
                          <w:bCs/>
                          <w:color w:val="FFFFFF" w:themeColor="background1"/>
                          <w:sz w:val="14"/>
                          <w:szCs w:val="14"/>
                          <w:lang w:val="lv-LV"/>
                        </w:rPr>
                      </w:pPr>
                      <w:r>
                        <w:rPr>
                          <w:b/>
                          <w:bCs/>
                          <w:color w:val="FFFFFF" w:themeColor="background1"/>
                          <w:sz w:val="14"/>
                          <w:szCs w:val="14"/>
                          <w:lang w:val="lv-LV"/>
                        </w:rPr>
                        <w:t>On balance sheet</w:t>
                      </w:r>
                    </w:p>
                  </w:txbxContent>
                </v:textbox>
              </v:shape>
            </w:pict>
          </mc:Fallback>
        </mc:AlternateContent>
      </w:r>
      <w:r w:rsidRPr="00977E06">
        <w:rPr>
          <w:noProof/>
          <w:sz w:val="18"/>
        </w:rPr>
        <mc:AlternateContent>
          <mc:Choice Requires="wps">
            <w:drawing>
              <wp:anchor distT="45720" distB="45720" distL="114300" distR="114300" simplePos="0" relativeHeight="251658373" behindDoc="0" locked="0" layoutInCell="1" allowOverlap="1" wp14:anchorId="7DBDECAC" wp14:editId="09B62875">
                <wp:simplePos x="0" y="0"/>
                <wp:positionH relativeFrom="column">
                  <wp:posOffset>4683843</wp:posOffset>
                </wp:positionH>
                <wp:positionV relativeFrom="paragraph">
                  <wp:posOffset>640246</wp:posOffset>
                </wp:positionV>
                <wp:extent cx="1160891" cy="246491"/>
                <wp:effectExtent l="0" t="0" r="1270" b="1270"/>
                <wp:wrapNone/>
                <wp:docPr id="1499838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tx1">
                            <a:lumMod val="65000"/>
                            <a:lumOff val="35000"/>
                          </a:schemeClr>
                        </a:solidFill>
                        <a:ln w="9525">
                          <a:noFill/>
                          <a:miter lim="800000"/>
                          <a:headEnd/>
                          <a:tailEnd/>
                        </a:ln>
                      </wps:spPr>
                      <wps:txbx>
                        <w:txbxContent>
                          <w:p w14:paraId="06BCA241" w14:textId="29854F84" w:rsidR="00663CA2" w:rsidRPr="00663CA2" w:rsidRDefault="00663CA2" w:rsidP="00663CA2">
                            <w:pPr>
                              <w:jc w:val="center"/>
                              <w:rPr>
                                <w:b/>
                                <w:bCs/>
                                <w:color w:val="FFFFFF" w:themeColor="background1"/>
                                <w:sz w:val="14"/>
                                <w:szCs w:val="14"/>
                                <w:lang w:val="lv-LV"/>
                              </w:rPr>
                            </w:pPr>
                            <w:r>
                              <w:rPr>
                                <w:b/>
                                <w:bCs/>
                                <w:color w:val="FFFFFF" w:themeColor="background1"/>
                                <w:sz w:val="14"/>
                                <w:szCs w:val="14"/>
                                <w:lang w:val="lv-LV"/>
                              </w:rPr>
                              <w:t>On balance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DECAC" id="_x0000_s1110" type="#_x0000_t202" style="position:absolute;margin-left:368.8pt;margin-top:50.4pt;width:91.4pt;height:19.4pt;z-index:2516583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" fillcolor="#5a5a5a [2109]" stroked="f">
                <v:textbox>
                  <w:txbxContent>
                    <w:p w14:paraId="06BCA241" w14:textId="29854F84" w:rsidR="00663CA2" w:rsidRPr="00663CA2" w:rsidRDefault="00663CA2" w:rsidP="00663CA2">
                      <w:pPr>
                        <w:jc w:val="center"/>
                        <w:rPr>
                          <w:b/>
                          <w:bCs/>
                          <w:color w:val="FFFFFF" w:themeColor="background1"/>
                          <w:sz w:val="14"/>
                          <w:szCs w:val="14"/>
                          <w:lang w:val="lv-LV"/>
                        </w:rPr>
                      </w:pPr>
                      <w:r>
                        <w:rPr>
                          <w:b/>
                          <w:bCs/>
                          <w:color w:val="FFFFFF" w:themeColor="background1"/>
                          <w:sz w:val="14"/>
                          <w:szCs w:val="14"/>
                          <w:lang w:val="lv-LV"/>
                        </w:rPr>
                        <w:t>On balance sheet</w:t>
                      </w:r>
                    </w:p>
                  </w:txbxContent>
                </v:textbox>
              </v:shape>
            </w:pict>
          </mc:Fallback>
        </mc:AlternateContent>
      </w:r>
      <w:r w:rsidRPr="00977E06">
        <w:rPr>
          <w:noProof/>
          <w:sz w:val="18"/>
        </w:rPr>
        <mc:AlternateContent>
          <mc:Choice Requires="wps">
            <w:drawing>
              <wp:anchor distT="45720" distB="45720" distL="114300" distR="114300" simplePos="0" relativeHeight="251658372" behindDoc="0" locked="0" layoutInCell="1" allowOverlap="1" wp14:anchorId="289BB7E1" wp14:editId="193E68A6">
                <wp:simplePos x="0" y="0"/>
                <wp:positionH relativeFrom="column">
                  <wp:posOffset>4668161</wp:posOffset>
                </wp:positionH>
                <wp:positionV relativeFrom="paragraph">
                  <wp:posOffset>36305</wp:posOffset>
                </wp:positionV>
                <wp:extent cx="1160891" cy="246491"/>
                <wp:effectExtent l="0" t="0" r="20320" b="20320"/>
                <wp:wrapNone/>
                <wp:docPr id="8944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bg1">
                            <a:lumMod val="75000"/>
                          </a:schemeClr>
                        </a:solidFill>
                        <a:ln w="9525">
                          <a:solidFill>
                            <a:srgbClr val="000000"/>
                          </a:solidFill>
                          <a:miter lim="800000"/>
                          <a:headEnd/>
                          <a:tailEnd/>
                        </a:ln>
                      </wps:spPr>
                      <wps:txbx>
                        <w:txbxContent>
                          <w:p w14:paraId="2249A0C9" w14:textId="5BD97A02" w:rsidR="00663CA2" w:rsidRPr="00977E06" w:rsidRDefault="00663CA2" w:rsidP="00663CA2">
                            <w:pPr>
                              <w:jc w:val="center"/>
                              <w:rPr>
                                <w:b/>
                                <w:bCs/>
                                <w:color w:val="404040" w:themeColor="text1" w:themeTint="BF"/>
                                <w:sz w:val="14"/>
                                <w:szCs w:val="14"/>
                                <w:lang w:val="lv-LV"/>
                              </w:rPr>
                            </w:pPr>
                            <w:r>
                              <w:rPr>
                                <w:b/>
                                <w:bCs/>
                                <w:color w:val="404040" w:themeColor="text1" w:themeTint="BF"/>
                                <w:sz w:val="14"/>
                                <w:szCs w:val="14"/>
                                <w:lang w:val="lv-LV"/>
                              </w:rPr>
                              <w:t>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BB7E1" id="_x0000_s1111" type="#_x0000_t202" style="position:absolute;margin-left:367.55pt;margin-top:2.85pt;width:91.4pt;height:19.4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" fillcolor="#bfbfbf [2412]">
                <v:textbox>
                  <w:txbxContent>
                    <w:p w14:paraId="2249A0C9" w14:textId="5BD97A02" w:rsidR="00663CA2" w:rsidRPr="00977E06" w:rsidRDefault="00663CA2" w:rsidP="00663CA2">
                      <w:pPr>
                        <w:jc w:val="center"/>
                        <w:rPr>
                          <w:b/>
                          <w:bCs/>
                          <w:color w:val="404040" w:themeColor="text1" w:themeTint="BF"/>
                          <w:sz w:val="14"/>
                          <w:szCs w:val="14"/>
                          <w:lang w:val="lv-LV"/>
                        </w:rPr>
                      </w:pPr>
                      <w:r>
                        <w:rPr>
                          <w:b/>
                          <w:bCs/>
                          <w:color w:val="404040" w:themeColor="text1" w:themeTint="BF"/>
                          <w:sz w:val="14"/>
                          <w:szCs w:val="14"/>
                          <w:lang w:val="lv-LV"/>
                        </w:rPr>
                        <w:t>Treatment</w:t>
                      </w:r>
                    </w:p>
                  </w:txbxContent>
                </v:textbox>
              </v:shape>
            </w:pict>
          </mc:Fallback>
        </mc:AlternateContent>
      </w:r>
      <w:r w:rsidR="002855A7" w:rsidRPr="00977E06">
        <w:rPr>
          <w:noProof/>
          <w:sz w:val="18"/>
        </w:rPr>
        <mc:AlternateContent>
          <mc:Choice Requires="wps">
            <w:drawing>
              <wp:anchor distT="45720" distB="45720" distL="114300" distR="114300" simplePos="0" relativeHeight="251658371" behindDoc="0" locked="0" layoutInCell="1" allowOverlap="1" wp14:anchorId="56FE5FD2" wp14:editId="0FF4448E">
                <wp:simplePos x="0" y="0"/>
                <wp:positionH relativeFrom="margin">
                  <wp:posOffset>262393</wp:posOffset>
                </wp:positionH>
                <wp:positionV relativeFrom="paragraph">
                  <wp:posOffset>589750</wp:posOffset>
                </wp:positionV>
                <wp:extent cx="723569" cy="198782"/>
                <wp:effectExtent l="0" t="0" r="635" b="0"/>
                <wp:wrapNone/>
                <wp:docPr id="75729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solidFill>
                        <a:ln w="9525">
                          <a:noFill/>
                          <a:miter lim="800000"/>
                          <a:headEnd/>
                          <a:tailEnd/>
                        </a:ln>
                      </wps:spPr>
                      <wps:txbx>
                        <w:txbxContent>
                          <w:p w14:paraId="341AD448" w14:textId="77777777" w:rsidR="002855A7" w:rsidRPr="00977E06" w:rsidRDefault="002855A7" w:rsidP="002855A7">
                            <w:pPr>
                              <w:jc w:val="center"/>
                              <w:rPr>
                                <w:b/>
                                <w:bCs/>
                                <w:color w:val="404040" w:themeColor="text1" w:themeTint="BF"/>
                                <w:sz w:val="12"/>
                                <w:szCs w:val="12"/>
                                <w:lang w:val="lv-LV"/>
                              </w:rPr>
                            </w:pPr>
                            <w:r>
                              <w:rPr>
                                <w:b/>
                                <w:bCs/>
                                <w:color w:val="404040" w:themeColor="text1" w:themeTint="BF"/>
                                <w:sz w:val="12"/>
                                <w:szCs w:val="12"/>
                                <w:lang w:val="lv-LV"/>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E5FD2" id="_x0000_s1112" type="#_x0000_t202" style="position:absolute;margin-left:20.65pt;margin-top:46.45pt;width:56.95pt;height:15.65pt;z-index:2516583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" fillcolor="white [3212]" stroked="f">
                <v:textbox>
                  <w:txbxContent>
                    <w:p w14:paraId="341AD448" w14:textId="77777777" w:rsidR="002855A7" w:rsidRPr="00977E06" w:rsidRDefault="002855A7" w:rsidP="002855A7">
                      <w:pPr>
                        <w:jc w:val="center"/>
                        <w:rPr>
                          <w:b/>
                          <w:bCs/>
                          <w:color w:val="404040" w:themeColor="text1" w:themeTint="BF"/>
                          <w:sz w:val="12"/>
                          <w:szCs w:val="12"/>
                          <w:lang w:val="lv-LV"/>
                        </w:rPr>
                      </w:pPr>
                      <w:r>
                        <w:rPr>
                          <w:b/>
                          <w:bCs/>
                          <w:color w:val="404040" w:themeColor="text1" w:themeTint="BF"/>
                          <w:sz w:val="12"/>
                          <w:szCs w:val="12"/>
                          <w:lang w:val="lv-LV"/>
                        </w:rPr>
                        <w:t>Public</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70" behindDoc="0" locked="0" layoutInCell="1" allowOverlap="1" wp14:anchorId="04EA14FC" wp14:editId="451317FE">
                <wp:simplePos x="0" y="0"/>
                <wp:positionH relativeFrom="margin">
                  <wp:posOffset>3284911</wp:posOffset>
                </wp:positionH>
                <wp:positionV relativeFrom="paragraph">
                  <wp:posOffset>1547053</wp:posOffset>
                </wp:positionV>
                <wp:extent cx="723569" cy="198782"/>
                <wp:effectExtent l="0" t="0" r="635" b="0"/>
                <wp:wrapNone/>
                <wp:docPr id="1231834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solidFill>
                        <a:ln w="9525">
                          <a:noFill/>
                          <a:miter lim="800000"/>
                          <a:headEnd/>
                          <a:tailEnd/>
                        </a:ln>
                      </wps:spPr>
                      <wps:txbx>
                        <w:txbxContent>
                          <w:p w14:paraId="5D8A8CC8"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A14FC" id="_x0000_s1113" type="#_x0000_t202" style="position:absolute;margin-left:258.65pt;margin-top:121.8pt;width:56.95pt;height:15.65pt;z-index:2516583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" fillcolor="white [3212]" stroked="f">
                <v:textbox>
                  <w:txbxContent>
                    <w:p w14:paraId="5D8A8CC8"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9" behindDoc="0" locked="0" layoutInCell="1" allowOverlap="1" wp14:anchorId="31F4C098" wp14:editId="6F20EF55">
                <wp:simplePos x="0" y="0"/>
                <wp:positionH relativeFrom="margin">
                  <wp:posOffset>3284938</wp:posOffset>
                </wp:positionH>
                <wp:positionV relativeFrom="paragraph">
                  <wp:posOffset>1118015</wp:posOffset>
                </wp:positionV>
                <wp:extent cx="723569" cy="198782"/>
                <wp:effectExtent l="0" t="0" r="635" b="0"/>
                <wp:wrapNone/>
                <wp:docPr id="644527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solidFill>
                        <a:ln w="9525">
                          <a:noFill/>
                          <a:miter lim="800000"/>
                          <a:headEnd/>
                          <a:tailEnd/>
                        </a:ln>
                      </wps:spPr>
                      <wps:txbx>
                        <w:txbxContent>
                          <w:p w14:paraId="46E05A0D"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4C098" id="_x0000_s1114" type="#_x0000_t202" style="position:absolute;margin-left:258.65pt;margin-top:88.05pt;width:56.95pt;height:15.65pt;z-index:2516583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" fillcolor="white [3212]" stroked="f">
                <v:textbox>
                  <w:txbxContent>
                    <w:p w14:paraId="46E05A0D"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8" behindDoc="0" locked="0" layoutInCell="1" allowOverlap="1" wp14:anchorId="207BA9B8" wp14:editId="5E6E41D4">
                <wp:simplePos x="0" y="0"/>
                <wp:positionH relativeFrom="margin">
                  <wp:posOffset>3268732</wp:posOffset>
                </wp:positionH>
                <wp:positionV relativeFrom="paragraph">
                  <wp:posOffset>712249</wp:posOffset>
                </wp:positionV>
                <wp:extent cx="723569" cy="198782"/>
                <wp:effectExtent l="0" t="0" r="635" b="0"/>
                <wp:wrapNone/>
                <wp:docPr id="1371830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solidFill>
                        <a:ln w="9525">
                          <a:noFill/>
                          <a:miter lim="800000"/>
                          <a:headEnd/>
                          <a:tailEnd/>
                        </a:ln>
                      </wps:spPr>
                      <wps:txbx>
                        <w:txbxContent>
                          <w:p w14:paraId="6DA20481"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BA9B8" id="_x0000_s1115" type="#_x0000_t202" style="position:absolute;margin-left:257.4pt;margin-top:56.1pt;width:56.95pt;height:15.65pt;z-index:25165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" fillcolor="white [3212]" stroked="f">
                <v:textbox>
                  <w:txbxContent>
                    <w:p w14:paraId="6DA20481"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7" behindDoc="0" locked="0" layoutInCell="1" allowOverlap="1" wp14:anchorId="6D8B9BC3" wp14:editId="067C67AD">
                <wp:simplePos x="0" y="0"/>
                <wp:positionH relativeFrom="margin">
                  <wp:posOffset>3260808</wp:posOffset>
                </wp:positionH>
                <wp:positionV relativeFrom="paragraph">
                  <wp:posOffset>306650</wp:posOffset>
                </wp:positionV>
                <wp:extent cx="723569" cy="198782"/>
                <wp:effectExtent l="0" t="0" r="635" b="0"/>
                <wp:wrapNone/>
                <wp:docPr id="451009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solidFill>
                        <a:ln w="9525">
                          <a:noFill/>
                          <a:miter lim="800000"/>
                          <a:headEnd/>
                          <a:tailEnd/>
                        </a:ln>
                      </wps:spPr>
                      <wps:txbx>
                        <w:txbxContent>
                          <w:p w14:paraId="23EE8EC7"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B9BC3" id="_x0000_s1116" type="#_x0000_t202" style="position:absolute;margin-left:256.75pt;margin-top:24.15pt;width:56.95pt;height:15.65pt;z-index:2516583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" fillcolor="white [3212]" stroked="f">
                <v:textbox>
                  <w:txbxContent>
                    <w:p w14:paraId="23EE8EC7"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6" behindDoc="0" locked="0" layoutInCell="1" allowOverlap="1" wp14:anchorId="7074E1BC" wp14:editId="6B887C9A">
                <wp:simplePos x="0" y="0"/>
                <wp:positionH relativeFrom="margin">
                  <wp:posOffset>1781865</wp:posOffset>
                </wp:positionH>
                <wp:positionV relativeFrom="paragraph">
                  <wp:posOffset>1220967</wp:posOffset>
                </wp:positionV>
                <wp:extent cx="723569" cy="198782"/>
                <wp:effectExtent l="0" t="0" r="635" b="0"/>
                <wp:wrapNone/>
                <wp:docPr id="1801743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solidFill>
                        <a:ln w="9525">
                          <a:noFill/>
                          <a:miter lim="800000"/>
                          <a:headEnd/>
                          <a:tailEnd/>
                        </a:ln>
                      </wps:spPr>
                      <wps:txbx>
                        <w:txbxContent>
                          <w:p w14:paraId="74C60750"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E1BC" id="_x0000_s1117" type="#_x0000_t202" style="position:absolute;margin-left:140.3pt;margin-top:96.15pt;width:56.95pt;height:15.65pt;z-index:2516583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" fillcolor="white [3212]" stroked="f">
                <v:textbox>
                  <w:txbxContent>
                    <w:p w14:paraId="74C60750" w14:textId="7777777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5" behindDoc="0" locked="0" layoutInCell="1" allowOverlap="1" wp14:anchorId="04B13E36" wp14:editId="15D411D3">
                <wp:simplePos x="0" y="0"/>
                <wp:positionH relativeFrom="margin">
                  <wp:posOffset>1789761</wp:posOffset>
                </wp:positionH>
                <wp:positionV relativeFrom="paragraph">
                  <wp:posOffset>417526</wp:posOffset>
                </wp:positionV>
                <wp:extent cx="723569" cy="198782"/>
                <wp:effectExtent l="0" t="0" r="635" b="0"/>
                <wp:wrapNone/>
                <wp:docPr id="1437099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solidFill>
                        <a:ln w="9525">
                          <a:noFill/>
                          <a:miter lim="800000"/>
                          <a:headEnd/>
                          <a:tailEnd/>
                        </a:ln>
                      </wps:spPr>
                      <wps:txbx>
                        <w:txbxContent>
                          <w:p w14:paraId="1EEE7A78" w14:textId="45EBE84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13E36" id="_x0000_s1118" type="#_x0000_t202" style="position:absolute;margin-left:140.95pt;margin-top:32.9pt;width:56.95pt;height:15.65pt;z-index:251658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" fillcolor="white [3212]" stroked="f">
                <v:textbox>
                  <w:txbxContent>
                    <w:p w14:paraId="1EEE7A78" w14:textId="45EBE847" w:rsidR="00977E06" w:rsidRPr="00977E06" w:rsidRDefault="00977E06" w:rsidP="00977E06">
                      <w:pPr>
                        <w:jc w:val="center"/>
                        <w:rPr>
                          <w:b/>
                          <w:bCs/>
                          <w:color w:val="404040" w:themeColor="text1" w:themeTint="BF"/>
                          <w:sz w:val="12"/>
                          <w:szCs w:val="12"/>
                          <w:lang w:val="lv-LV"/>
                        </w:rPr>
                      </w:pPr>
                      <w:r>
                        <w:rPr>
                          <w:b/>
                          <w:bCs/>
                          <w:color w:val="404040" w:themeColor="text1" w:themeTint="BF"/>
                          <w:sz w:val="12"/>
                          <w:szCs w:val="12"/>
                          <w:lang w:val="lv-LV"/>
                        </w:rPr>
                        <w:t>Public</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4" behindDoc="0" locked="0" layoutInCell="1" allowOverlap="1" wp14:anchorId="68300C7B" wp14:editId="03B702AE">
                <wp:simplePos x="0" y="0"/>
                <wp:positionH relativeFrom="margin">
                  <wp:posOffset>3316716</wp:posOffset>
                </wp:positionH>
                <wp:positionV relativeFrom="paragraph">
                  <wp:posOffset>1745753</wp:posOffset>
                </wp:positionV>
                <wp:extent cx="723569" cy="198782"/>
                <wp:effectExtent l="0" t="0" r="635" b="0"/>
                <wp:wrapNone/>
                <wp:docPr id="2141332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lumMod val="85000"/>
                          </a:schemeClr>
                        </a:solidFill>
                        <a:ln w="9525">
                          <a:noFill/>
                          <a:miter lim="800000"/>
                          <a:headEnd/>
                          <a:tailEnd/>
                        </a:ln>
                      </wps:spPr>
                      <wps:txbx>
                        <w:txbxContent>
                          <w:p w14:paraId="76C3E2EC"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00C7B" id="_x0000_s1119" type="#_x0000_t202" style="position:absolute;margin-left:261.15pt;margin-top:137.45pt;width:56.95pt;height:15.65pt;z-index:2516583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" fillcolor="#d8d8d8 [2732]" stroked="f">
                <v:textbox>
                  <w:txbxContent>
                    <w:p w14:paraId="76C3E2EC"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3" behindDoc="0" locked="0" layoutInCell="1" allowOverlap="1" wp14:anchorId="5880E630" wp14:editId="13030AD9">
                <wp:simplePos x="0" y="0"/>
                <wp:positionH relativeFrom="margin">
                  <wp:posOffset>3284911</wp:posOffset>
                </wp:positionH>
                <wp:positionV relativeFrom="paragraph">
                  <wp:posOffset>1332368</wp:posOffset>
                </wp:positionV>
                <wp:extent cx="723569" cy="198782"/>
                <wp:effectExtent l="0" t="0" r="635" b="0"/>
                <wp:wrapNone/>
                <wp:docPr id="1471304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lumMod val="85000"/>
                          </a:schemeClr>
                        </a:solidFill>
                        <a:ln w="9525">
                          <a:noFill/>
                          <a:miter lim="800000"/>
                          <a:headEnd/>
                          <a:tailEnd/>
                        </a:ln>
                      </wps:spPr>
                      <wps:txbx>
                        <w:txbxContent>
                          <w:p w14:paraId="6D573EE8"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E630" id="_x0000_s1120" type="#_x0000_t202" style="position:absolute;margin-left:258.65pt;margin-top:104.9pt;width:56.95pt;height:15.65pt;z-index:251658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" fillcolor="#d8d8d8 [2732]" stroked="f">
                <v:textbox>
                  <w:txbxContent>
                    <w:p w14:paraId="6D573EE8"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2" behindDoc="0" locked="0" layoutInCell="1" allowOverlap="1" wp14:anchorId="61A4C8A2" wp14:editId="5F08BD69">
                <wp:simplePos x="0" y="0"/>
                <wp:positionH relativeFrom="margin">
                  <wp:posOffset>3284911</wp:posOffset>
                </wp:positionH>
                <wp:positionV relativeFrom="paragraph">
                  <wp:posOffset>919287</wp:posOffset>
                </wp:positionV>
                <wp:extent cx="723569" cy="198782"/>
                <wp:effectExtent l="0" t="0" r="635" b="0"/>
                <wp:wrapNone/>
                <wp:docPr id="84283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lumMod val="85000"/>
                          </a:schemeClr>
                        </a:solidFill>
                        <a:ln w="9525">
                          <a:noFill/>
                          <a:miter lim="800000"/>
                          <a:headEnd/>
                          <a:tailEnd/>
                        </a:ln>
                      </wps:spPr>
                      <wps:txbx>
                        <w:txbxContent>
                          <w:p w14:paraId="523FFA9D"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4C8A2" id="_x0000_s1121" type="#_x0000_t202" style="position:absolute;margin-left:258.65pt;margin-top:72.4pt;width:56.95pt;height:15.65pt;z-index:2516583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" fillcolor="#d8d8d8 [2732]" stroked="f">
                <v:textbox>
                  <w:txbxContent>
                    <w:p w14:paraId="523FFA9D"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1" behindDoc="0" locked="0" layoutInCell="1" allowOverlap="1" wp14:anchorId="068B634B" wp14:editId="6755663C">
                <wp:simplePos x="0" y="0"/>
                <wp:positionH relativeFrom="margin">
                  <wp:posOffset>3284965</wp:posOffset>
                </wp:positionH>
                <wp:positionV relativeFrom="paragraph">
                  <wp:posOffset>513467</wp:posOffset>
                </wp:positionV>
                <wp:extent cx="723569" cy="198782"/>
                <wp:effectExtent l="0" t="0" r="635" b="0"/>
                <wp:wrapNone/>
                <wp:docPr id="1568395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lumMod val="85000"/>
                          </a:schemeClr>
                        </a:solidFill>
                        <a:ln w="9525">
                          <a:noFill/>
                          <a:miter lim="800000"/>
                          <a:headEnd/>
                          <a:tailEnd/>
                        </a:ln>
                      </wps:spPr>
                      <wps:txbx>
                        <w:txbxContent>
                          <w:p w14:paraId="53C36EEC"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B634B" id="_x0000_s1122" type="#_x0000_t202" style="position:absolute;margin-left:258.65pt;margin-top:40.45pt;width:56.95pt;height:15.65pt;z-index:251658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" fillcolor="#d8d8d8 [2732]" stroked="f">
                <v:textbox>
                  <w:txbxContent>
                    <w:p w14:paraId="53C36EEC"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60" behindDoc="0" locked="0" layoutInCell="1" allowOverlap="1" wp14:anchorId="5AEA6C44" wp14:editId="6A44281A">
                <wp:simplePos x="0" y="0"/>
                <wp:positionH relativeFrom="margin">
                  <wp:posOffset>1789816</wp:posOffset>
                </wp:positionH>
                <wp:positionV relativeFrom="paragraph">
                  <wp:posOffset>1602574</wp:posOffset>
                </wp:positionV>
                <wp:extent cx="723569" cy="198782"/>
                <wp:effectExtent l="0" t="0" r="635" b="0"/>
                <wp:wrapNone/>
                <wp:docPr id="528325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lumMod val="85000"/>
                          </a:schemeClr>
                        </a:solidFill>
                        <a:ln w="9525">
                          <a:noFill/>
                          <a:miter lim="800000"/>
                          <a:headEnd/>
                          <a:tailEnd/>
                        </a:ln>
                      </wps:spPr>
                      <wps:txbx>
                        <w:txbxContent>
                          <w:p w14:paraId="36502088"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A6C44" id="_x0000_s1123" type="#_x0000_t202" style="position:absolute;margin-left:140.95pt;margin-top:126.2pt;width:56.95pt;height:15.65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" fillcolor="#d8d8d8 [2732]" stroked="f">
                <v:textbox>
                  <w:txbxContent>
                    <w:p w14:paraId="36502088"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59" behindDoc="0" locked="0" layoutInCell="1" allowOverlap="1" wp14:anchorId="3DEDA1B1" wp14:editId="0CFF3991">
                <wp:simplePos x="0" y="0"/>
                <wp:positionH relativeFrom="margin">
                  <wp:posOffset>1782279</wp:posOffset>
                </wp:positionH>
                <wp:positionV relativeFrom="paragraph">
                  <wp:posOffset>815340</wp:posOffset>
                </wp:positionV>
                <wp:extent cx="723569" cy="198782"/>
                <wp:effectExtent l="0" t="0" r="635" b="0"/>
                <wp:wrapNone/>
                <wp:docPr id="129841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lumMod val="85000"/>
                          </a:schemeClr>
                        </a:solidFill>
                        <a:ln w="9525">
                          <a:noFill/>
                          <a:miter lim="800000"/>
                          <a:headEnd/>
                          <a:tailEnd/>
                        </a:ln>
                      </wps:spPr>
                      <wps:txbx>
                        <w:txbxContent>
                          <w:p w14:paraId="4B52C91E"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DA1B1" id="_x0000_s1124" type="#_x0000_t202" style="position:absolute;margin-left:140.35pt;margin-top:64.2pt;width:56.95pt;height:15.65pt;z-index:2516583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" fillcolor="#d8d8d8 [2732]" stroked="f">
                <v:textbox>
                  <w:txbxContent>
                    <w:p w14:paraId="4B52C91E" w14:textId="7777777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58" behindDoc="0" locked="0" layoutInCell="1" allowOverlap="1" wp14:anchorId="2B42DFA9" wp14:editId="4EDBC018">
                <wp:simplePos x="0" y="0"/>
                <wp:positionH relativeFrom="margin">
                  <wp:posOffset>262394</wp:posOffset>
                </wp:positionH>
                <wp:positionV relativeFrom="paragraph">
                  <wp:posOffset>1394737</wp:posOffset>
                </wp:positionV>
                <wp:extent cx="723569" cy="198782"/>
                <wp:effectExtent l="0" t="0" r="635" b="0"/>
                <wp:wrapNone/>
                <wp:docPr id="748479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198782"/>
                        </a:xfrm>
                        <a:prstGeom prst="rect">
                          <a:avLst/>
                        </a:prstGeom>
                        <a:solidFill>
                          <a:schemeClr val="bg1">
                            <a:lumMod val="85000"/>
                          </a:schemeClr>
                        </a:solidFill>
                        <a:ln w="9525">
                          <a:noFill/>
                          <a:miter lim="800000"/>
                          <a:headEnd/>
                          <a:tailEnd/>
                        </a:ln>
                      </wps:spPr>
                      <wps:txbx>
                        <w:txbxContent>
                          <w:p w14:paraId="149B97C1" w14:textId="32C9AAA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DFA9" id="_x0000_s1125" type="#_x0000_t202" style="position:absolute;margin-left:20.65pt;margin-top:109.8pt;width:56.95pt;height:15.65pt;z-index:2516583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" fillcolor="#d8d8d8 [2732]" stroked="f">
                <v:textbox>
                  <w:txbxContent>
                    <w:p w14:paraId="149B97C1" w14:textId="32C9AAA7" w:rsidR="00977E06" w:rsidRPr="00977E06" w:rsidRDefault="00977E06" w:rsidP="00977E06">
                      <w:pPr>
                        <w:jc w:val="center"/>
                        <w:rPr>
                          <w:b/>
                          <w:bCs/>
                          <w:color w:val="404040" w:themeColor="text1" w:themeTint="BF"/>
                          <w:sz w:val="12"/>
                          <w:szCs w:val="12"/>
                          <w:lang w:val="lv-LV"/>
                        </w:rPr>
                      </w:pPr>
                      <w:r w:rsidRPr="00977E06">
                        <w:rPr>
                          <w:b/>
                          <w:bCs/>
                          <w:color w:val="404040" w:themeColor="text1" w:themeTint="BF"/>
                          <w:sz w:val="12"/>
                          <w:szCs w:val="12"/>
                          <w:lang w:val="lv-LV"/>
                        </w:rPr>
                        <w:t>Private</w:t>
                      </w:r>
                    </w:p>
                  </w:txbxContent>
                </v:textbox>
                <w10:wrap anchorx="margin"/>
              </v:shape>
            </w:pict>
          </mc:Fallback>
        </mc:AlternateContent>
      </w:r>
      <w:r w:rsidR="00977E06" w:rsidRPr="00977E06">
        <w:rPr>
          <w:noProof/>
          <w:sz w:val="18"/>
        </w:rPr>
        <mc:AlternateContent>
          <mc:Choice Requires="wps">
            <w:drawing>
              <wp:anchor distT="45720" distB="45720" distL="114300" distR="114300" simplePos="0" relativeHeight="251658357" behindDoc="0" locked="0" layoutInCell="1" allowOverlap="1" wp14:anchorId="6D6B2869" wp14:editId="7548C548">
                <wp:simplePos x="0" y="0"/>
                <wp:positionH relativeFrom="column">
                  <wp:posOffset>3077955</wp:posOffset>
                </wp:positionH>
                <wp:positionV relativeFrom="paragraph">
                  <wp:posOffset>60435</wp:posOffset>
                </wp:positionV>
                <wp:extent cx="1160891" cy="246491"/>
                <wp:effectExtent l="0" t="0" r="20320" b="20320"/>
                <wp:wrapNone/>
                <wp:docPr id="1761341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bg1">
                            <a:lumMod val="75000"/>
                          </a:schemeClr>
                        </a:solidFill>
                        <a:ln w="9525">
                          <a:solidFill>
                            <a:srgbClr val="000000"/>
                          </a:solidFill>
                          <a:miter lim="800000"/>
                          <a:headEnd/>
                          <a:tailEnd/>
                        </a:ln>
                      </wps:spPr>
                      <wps:txbx>
                        <w:txbxContent>
                          <w:p w14:paraId="7798E4A7" w14:textId="4FADC2B0" w:rsidR="00977E06" w:rsidRPr="00977E06" w:rsidRDefault="00977E06" w:rsidP="00977E06">
                            <w:pPr>
                              <w:jc w:val="center"/>
                              <w:rPr>
                                <w:b/>
                                <w:bCs/>
                                <w:color w:val="404040" w:themeColor="text1" w:themeTint="BF"/>
                                <w:sz w:val="14"/>
                                <w:szCs w:val="14"/>
                                <w:lang w:val="lv-LV"/>
                              </w:rPr>
                            </w:pPr>
                            <w:r>
                              <w:rPr>
                                <w:b/>
                                <w:bCs/>
                                <w:color w:val="404040" w:themeColor="text1" w:themeTint="BF"/>
                                <w:sz w:val="14"/>
                                <w:szCs w:val="14"/>
                                <w:lang w:val="lv-LV"/>
                              </w:rPr>
                              <w:t>Availability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B2869" id="_x0000_s1126" type="#_x0000_t202" style="position:absolute;margin-left:242.35pt;margin-top:4.75pt;width:91.4pt;height:19.4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" fillcolor="#bfbfbf [2412]">
                <v:textbox>
                  <w:txbxContent>
                    <w:p w14:paraId="7798E4A7" w14:textId="4FADC2B0" w:rsidR="00977E06" w:rsidRPr="00977E06" w:rsidRDefault="00977E06" w:rsidP="00977E06">
                      <w:pPr>
                        <w:jc w:val="center"/>
                        <w:rPr>
                          <w:b/>
                          <w:bCs/>
                          <w:color w:val="404040" w:themeColor="text1" w:themeTint="BF"/>
                          <w:sz w:val="14"/>
                          <w:szCs w:val="14"/>
                          <w:lang w:val="lv-LV"/>
                        </w:rPr>
                      </w:pPr>
                      <w:r>
                        <w:rPr>
                          <w:b/>
                          <w:bCs/>
                          <w:color w:val="404040" w:themeColor="text1" w:themeTint="BF"/>
                          <w:sz w:val="14"/>
                          <w:szCs w:val="14"/>
                          <w:lang w:val="lv-LV"/>
                        </w:rPr>
                        <w:t>Availability risk</w:t>
                      </w:r>
                    </w:p>
                  </w:txbxContent>
                </v:textbox>
              </v:shape>
            </w:pict>
          </mc:Fallback>
        </mc:AlternateContent>
      </w:r>
      <w:r w:rsidR="00977E06" w:rsidRPr="00977E06">
        <w:rPr>
          <w:noProof/>
          <w:sz w:val="18"/>
        </w:rPr>
        <mc:AlternateContent>
          <mc:Choice Requires="wps">
            <w:drawing>
              <wp:anchor distT="45720" distB="45720" distL="114300" distR="114300" simplePos="0" relativeHeight="251658356" behindDoc="0" locked="0" layoutInCell="1" allowOverlap="1" wp14:anchorId="4CE51FE7" wp14:editId="58E2015D">
                <wp:simplePos x="0" y="0"/>
                <wp:positionH relativeFrom="column">
                  <wp:posOffset>1567152</wp:posOffset>
                </wp:positionH>
                <wp:positionV relativeFrom="paragraph">
                  <wp:posOffset>147320</wp:posOffset>
                </wp:positionV>
                <wp:extent cx="1160891" cy="246491"/>
                <wp:effectExtent l="0" t="0" r="20320" b="20320"/>
                <wp:wrapNone/>
                <wp:docPr id="58643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bg1">
                            <a:lumMod val="75000"/>
                          </a:schemeClr>
                        </a:solidFill>
                        <a:ln w="9525">
                          <a:solidFill>
                            <a:srgbClr val="000000"/>
                          </a:solidFill>
                          <a:miter lim="800000"/>
                          <a:headEnd/>
                          <a:tailEnd/>
                        </a:ln>
                      </wps:spPr>
                      <wps:txbx>
                        <w:txbxContent>
                          <w:p w14:paraId="262EF6DE" w14:textId="3B0B72E7" w:rsidR="00977E06" w:rsidRPr="00977E06" w:rsidRDefault="00977E06" w:rsidP="00977E06">
                            <w:pPr>
                              <w:jc w:val="center"/>
                              <w:rPr>
                                <w:b/>
                                <w:bCs/>
                                <w:color w:val="404040" w:themeColor="text1" w:themeTint="BF"/>
                                <w:sz w:val="14"/>
                                <w:szCs w:val="14"/>
                                <w:lang w:val="lv-LV"/>
                              </w:rPr>
                            </w:pPr>
                            <w:r>
                              <w:rPr>
                                <w:b/>
                                <w:bCs/>
                                <w:color w:val="404040" w:themeColor="text1" w:themeTint="BF"/>
                                <w:sz w:val="14"/>
                                <w:szCs w:val="14"/>
                                <w:lang w:val="lv-LV"/>
                              </w:rPr>
                              <w:t>Demand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51FE7" id="_x0000_s1127" type="#_x0000_t202" style="position:absolute;margin-left:123.4pt;margin-top:11.6pt;width:91.4pt;height:19.4pt;z-index:2516583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" fillcolor="#bfbfbf [2412]">
                <v:textbox>
                  <w:txbxContent>
                    <w:p w14:paraId="262EF6DE" w14:textId="3B0B72E7" w:rsidR="00977E06" w:rsidRPr="00977E06" w:rsidRDefault="00977E06" w:rsidP="00977E06">
                      <w:pPr>
                        <w:jc w:val="center"/>
                        <w:rPr>
                          <w:b/>
                          <w:bCs/>
                          <w:color w:val="404040" w:themeColor="text1" w:themeTint="BF"/>
                          <w:sz w:val="14"/>
                          <w:szCs w:val="14"/>
                          <w:lang w:val="lv-LV"/>
                        </w:rPr>
                      </w:pPr>
                      <w:r>
                        <w:rPr>
                          <w:b/>
                          <w:bCs/>
                          <w:color w:val="404040" w:themeColor="text1" w:themeTint="BF"/>
                          <w:sz w:val="14"/>
                          <w:szCs w:val="14"/>
                          <w:lang w:val="lv-LV"/>
                        </w:rPr>
                        <w:t>Demand risk</w:t>
                      </w:r>
                    </w:p>
                  </w:txbxContent>
                </v:textbox>
              </v:shape>
            </w:pict>
          </mc:Fallback>
        </mc:AlternateContent>
      </w:r>
      <w:r w:rsidR="00977E06" w:rsidRPr="00977E06">
        <w:rPr>
          <w:noProof/>
          <w:sz w:val="18"/>
        </w:rPr>
        <mc:AlternateContent>
          <mc:Choice Requires="wps">
            <w:drawing>
              <wp:anchor distT="45720" distB="45720" distL="114300" distR="114300" simplePos="0" relativeHeight="251658355" behindDoc="0" locked="0" layoutInCell="1" allowOverlap="1" wp14:anchorId="61EB1D1A" wp14:editId="72B0D525">
                <wp:simplePos x="0" y="0"/>
                <wp:positionH relativeFrom="column">
                  <wp:posOffset>40143</wp:posOffset>
                </wp:positionH>
                <wp:positionV relativeFrom="paragraph">
                  <wp:posOffset>91412</wp:posOffset>
                </wp:positionV>
                <wp:extent cx="1160891" cy="246491"/>
                <wp:effectExtent l="0" t="0" r="20320" b="20320"/>
                <wp:wrapNone/>
                <wp:docPr id="106950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246491"/>
                        </a:xfrm>
                        <a:prstGeom prst="rect">
                          <a:avLst/>
                        </a:prstGeom>
                        <a:solidFill>
                          <a:schemeClr val="bg1">
                            <a:lumMod val="75000"/>
                          </a:schemeClr>
                        </a:solidFill>
                        <a:ln w="9525">
                          <a:solidFill>
                            <a:srgbClr val="000000"/>
                          </a:solidFill>
                          <a:miter lim="800000"/>
                          <a:headEnd/>
                          <a:tailEnd/>
                        </a:ln>
                      </wps:spPr>
                      <wps:txbx>
                        <w:txbxContent>
                          <w:p w14:paraId="269B7864" w14:textId="4653D6B1" w:rsidR="00977E06" w:rsidRPr="00977E06" w:rsidRDefault="00977E06" w:rsidP="00977E06">
                            <w:pPr>
                              <w:jc w:val="center"/>
                              <w:rPr>
                                <w:b/>
                                <w:bCs/>
                                <w:color w:val="404040" w:themeColor="text1" w:themeTint="BF"/>
                                <w:sz w:val="14"/>
                                <w:szCs w:val="14"/>
                                <w:lang w:val="lv-LV"/>
                              </w:rPr>
                            </w:pPr>
                            <w:r>
                              <w:rPr>
                                <w:b/>
                                <w:bCs/>
                                <w:color w:val="404040" w:themeColor="text1" w:themeTint="BF"/>
                                <w:sz w:val="14"/>
                                <w:szCs w:val="14"/>
                                <w:lang w:val="lv-LV"/>
                              </w:rPr>
                              <w:t>Construction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B1D1A" id="_x0000_s1128" type="#_x0000_t202" style="position:absolute;margin-left:3.15pt;margin-top:7.2pt;width:91.4pt;height:19.4pt;z-index:2516583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" fillcolor="#bfbfbf [2412]">
                <v:textbox>
                  <w:txbxContent>
                    <w:p w14:paraId="269B7864" w14:textId="4653D6B1" w:rsidR="00977E06" w:rsidRPr="00977E06" w:rsidRDefault="00977E06" w:rsidP="00977E06">
                      <w:pPr>
                        <w:jc w:val="center"/>
                        <w:rPr>
                          <w:b/>
                          <w:bCs/>
                          <w:color w:val="404040" w:themeColor="text1" w:themeTint="BF"/>
                          <w:sz w:val="14"/>
                          <w:szCs w:val="14"/>
                          <w:lang w:val="lv-LV"/>
                        </w:rPr>
                      </w:pPr>
                      <w:r>
                        <w:rPr>
                          <w:b/>
                          <w:bCs/>
                          <w:color w:val="404040" w:themeColor="text1" w:themeTint="BF"/>
                          <w:sz w:val="14"/>
                          <w:szCs w:val="14"/>
                          <w:lang w:val="lv-LV"/>
                        </w:rPr>
                        <w:t>Construction risk</w:t>
                      </w:r>
                    </w:p>
                  </w:txbxContent>
                </v:textbox>
              </v:shape>
            </w:pict>
          </mc:Fallback>
        </mc:AlternateContent>
      </w:r>
      <w:r w:rsidR="00333B58">
        <w:rPr>
          <w:noProof/>
        </w:rPr>
        <w:drawing>
          <wp:inline distT="0" distB="0" distL="0" distR="0" wp14:anchorId="5582D502" wp14:editId="274912A9">
            <wp:extent cx="5875610" cy="1900555"/>
            <wp:effectExtent l="0" t="0" r="0" b="4445"/>
            <wp:docPr id="2127327479" name="Picture 212732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875610" cy="1900555"/>
                    </a:xfrm>
                    <a:prstGeom prst="rect">
                      <a:avLst/>
                    </a:prstGeom>
                  </pic:spPr>
                </pic:pic>
              </a:graphicData>
            </a:graphic>
          </wp:inline>
        </w:drawing>
      </w:r>
    </w:p>
    <w:p w14:paraId="3DFDB008" w14:textId="4C2DC7F5" w:rsidR="00485D2E" w:rsidRPr="00251B39" w:rsidRDefault="21D28A4C" w:rsidP="21D28A4C">
      <w:pPr>
        <w:pStyle w:val="Parakstszemobjekta"/>
        <w:jc w:val="right"/>
      </w:pPr>
      <w:r>
        <w:t xml:space="preserve"> Figure 2: Risk Allocation Combinations and Statistical Treatment</w:t>
      </w:r>
    </w:p>
    <w:p w14:paraId="2F0531C6" w14:textId="2AEAEB9D" w:rsidR="001F67D0" w:rsidRPr="00251B39" w:rsidRDefault="001F67D0" w:rsidP="001F67D0">
      <w:pPr>
        <w:jc w:val="both"/>
        <w:rPr>
          <w:sz w:val="18"/>
          <w:szCs w:val="18"/>
        </w:rPr>
      </w:pPr>
      <w:r>
        <w:rPr>
          <w:sz w:val="18"/>
        </w:rPr>
        <w:t>As illustrated in Figure 2, the Partnership Contract</w:t>
      </w:r>
      <w:r>
        <w:rPr>
          <w:color w:val="FF0000"/>
          <w:sz w:val="18"/>
        </w:rPr>
        <w:t xml:space="preserve"> </w:t>
      </w:r>
      <w:r>
        <w:rPr>
          <w:sz w:val="18"/>
        </w:rPr>
        <w:t xml:space="preserve">will automatically be </w:t>
      </w:r>
      <w:r w:rsidR="00B81ACE">
        <w:rPr>
          <w:sz w:val="18"/>
        </w:rPr>
        <w:t xml:space="preserve">recorded </w:t>
      </w:r>
      <w:r>
        <w:rPr>
          <w:sz w:val="18"/>
        </w:rPr>
        <w:t>on the balance sheet of the general government sector</w:t>
      </w:r>
      <w:r w:rsidR="00B81ACE">
        <w:rPr>
          <w:sz w:val="18"/>
        </w:rPr>
        <w:t xml:space="preserve"> assets</w:t>
      </w:r>
      <w:r>
        <w:rPr>
          <w:sz w:val="18"/>
        </w:rPr>
        <w:t xml:space="preserve"> if the public partner assumes the construction risk. In this case, it won't even matter how the risk of demand and availability is allocated. On the other hand, if the construction risk and the demand or availability risk have been effectively transferred to the private partner, the Partnership Contract will be </w:t>
      </w:r>
      <w:r w:rsidR="00B81ACE">
        <w:rPr>
          <w:sz w:val="18"/>
        </w:rPr>
        <w:t xml:space="preserve">recorded </w:t>
      </w:r>
      <w:r>
        <w:rPr>
          <w:sz w:val="18"/>
        </w:rPr>
        <w:t>off the balance sheet of the general government sector</w:t>
      </w:r>
      <w:r w:rsidR="00A6552A">
        <w:rPr>
          <w:sz w:val="18"/>
        </w:rPr>
        <w:t xml:space="preserve"> assets</w:t>
      </w:r>
      <w:r>
        <w:rPr>
          <w:sz w:val="18"/>
        </w:rPr>
        <w:t>.</w:t>
      </w:r>
    </w:p>
    <w:p w14:paraId="181FE5DA" w14:textId="696DAE74" w:rsidR="00244282" w:rsidRDefault="00244282" w:rsidP="00244282">
      <w:pPr>
        <w:jc w:val="both"/>
        <w:rPr>
          <w:sz w:val="18"/>
          <w:szCs w:val="18"/>
        </w:rPr>
      </w:pPr>
      <w:r>
        <w:rPr>
          <w:noProof/>
          <w:sz w:val="18"/>
        </w:rPr>
        <mc:AlternateContent>
          <mc:Choice Requires="wps">
            <w:drawing>
              <wp:anchor distT="118745" distB="118745" distL="114300" distR="114300" simplePos="0" relativeHeight="251658267" behindDoc="0" locked="0" layoutInCell="0" allowOverlap="1" wp14:anchorId="6E65F87A" wp14:editId="65122692">
                <wp:simplePos x="0" y="0"/>
                <wp:positionH relativeFrom="column">
                  <wp:posOffset>3752850</wp:posOffset>
                </wp:positionH>
                <wp:positionV relativeFrom="paragraph">
                  <wp:posOffset>825500</wp:posOffset>
                </wp:positionV>
                <wp:extent cx="2324100" cy="15557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55750"/>
                        </a:xfrm>
                        <a:prstGeom prst="rect">
                          <a:avLst/>
                        </a:prstGeom>
                        <a:noFill/>
                        <a:extLst>
                          <a:ext uri="{53640926-AAD7-44D8-BBD7-CCE9431645EC}">
                            <a14:shadowObscured xmlns:a14="http://schemas.microsoft.com/office/drawing/2010/main" val="1"/>
                          </a:ext>
                        </a:extLst>
                      </wps:spPr>
                      <wps:txbx>
                        <w:txbxContent>
                          <w:p w14:paraId="742D3A1F" w14:textId="4C0B6009" w:rsidR="00EF0F26" w:rsidRPr="00244282" w:rsidRDefault="00EF0F26" w:rsidP="002C2694">
                            <w:pPr>
                              <w:pBdr>
                                <w:left w:val="single" w:sz="12" w:space="9" w:color="86BC25" w:themeColor="accent1"/>
                              </w:pBdr>
                              <w:spacing w:after="0"/>
                              <w:jc w:val="both"/>
                              <w:rPr>
                                <w:i/>
                                <w:color w:val="767171" w:themeColor="background2" w:themeShade="80"/>
                                <w:sz w:val="16"/>
                                <w:szCs w:val="16"/>
                              </w:rPr>
                            </w:pPr>
                            <w:r>
                              <w:rPr>
                                <w:i/>
                                <w:color w:val="767171" w:themeColor="background2" w:themeShade="80"/>
                                <w:sz w:val="16"/>
                              </w:rPr>
                              <w:t>The Partnership Contract provisions with materiality "Automatically on BALANCE SHEET" and "VERY HIGH", as well as those that include a reference to a certain percentage threshold, are included in the FEC Financial Model worksheet "Statistical Treatment Checklist Questions", which serves as an example and shall not be considered as exhaustive. The FEC developers shall add to the list other identified provisions of the Partnership Contract that are relevant to the PPP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65F87A" id="_x0000_s1129" type="#_x0000_t202" style="position:absolute;left:0;text-align:left;margin-left:295.5pt;margin-top:65pt;width:183pt;height:122.5pt;z-index:251658267;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" o:allowincell="f" filled="f" stroked="f">
                <v:textbox>
                  <w:txbxContent>
                    <w:p w14:paraId="742D3A1F" w14:textId="4C0B6009" w:rsidR="00EF0F26" w:rsidRPr="00244282" w:rsidRDefault="00EF0F26" w:rsidP="002C2694">
                      <w:pPr>
                        <w:pBdr>
                          <w:left w:val="single" w:sz="12" w:space="9" w:color="86BC25" w:themeColor="accent1"/>
                        </w:pBdr>
                        <w:spacing w:after="0"/>
                        <w:jc w:val="both"/>
                        <w:rPr>
                          <w:i/>
                          <w:color w:val="767171" w:themeColor="background2" w:themeShade="80"/>
                          <w:sz w:val="16"/>
                          <w:szCs w:val="16"/>
                        </w:rPr>
                      </w:pPr>
                      <w:r>
                        <w:rPr>
                          <w:i/>
                          <w:color w:val="767171" w:themeColor="background2" w:themeShade="80"/>
                          <w:sz w:val="16"/>
                        </w:rPr>
                        <w:t>The Partnership Contract provisions with materiality "Automatically on BALANCE SHEET" and "VERY HIGH", as well as those that include a reference to a certain percentage threshold, are included in the FEC Financial Model worksheet "Statistical Treatment Checklist Questions", which serves as an example and shall not be considered as exhaustive. The FEC developers shall add to the list other identified provisions of the Partnership Contract that are relevant to the PPP project.</w:t>
                      </w:r>
                    </w:p>
                  </w:txbxContent>
                </v:textbox>
                <w10:wrap type="square"/>
              </v:shape>
            </w:pict>
          </mc:Fallback>
        </mc:AlternateContent>
      </w:r>
      <w:r>
        <w:rPr>
          <w:sz w:val="18"/>
        </w:rPr>
        <w:t xml:space="preserve">In addition to these risks, other terms and conditions of the Partnership Contract relating to the public partner's liabilities are also assessed, such as the amount of the public partner's financing, guarantees and early termination events, the residual value of the asset and the risk of obsolescence, which includes the risk that the asset will not be worth as much as expected at the end of the contract, and the extent to which the public partner has an option to acquire the asset. </w:t>
      </w:r>
    </w:p>
    <w:p w14:paraId="73640BEA" w14:textId="546D2030" w:rsidR="00244282" w:rsidRDefault="61C1A694" w:rsidP="00244282">
      <w:pPr>
        <w:jc w:val="both"/>
        <w:rPr>
          <w:sz w:val="18"/>
          <w:szCs w:val="18"/>
        </w:rPr>
      </w:pPr>
      <w:r>
        <w:rPr>
          <w:sz w:val="18"/>
        </w:rPr>
        <w:t>In assessing the potential statistical treatment of the Partnership Contract, the public partner shall identify all those terms and conditions of the Partnership Contract which, when ranked in order of materiality, have the following effect - "Automatically on BALANCE SHEET", "VERY HIGH", "HIGH" or "MEDIUM". Materiality shall be assessed in accordance with Chapter 3 of the "A Guide to the Statistical Treatment of PPPs".</w:t>
      </w:r>
    </w:p>
    <w:p w14:paraId="4ED8DDA0" w14:textId="06F486D2" w:rsidR="000F0B6F" w:rsidRPr="00251B39" w:rsidRDefault="5BEC1A52" w:rsidP="00244282">
      <w:pPr>
        <w:jc w:val="both"/>
        <w:rPr>
          <w:sz w:val="18"/>
          <w:szCs w:val="18"/>
        </w:rPr>
      </w:pPr>
      <w:r>
        <w:rPr>
          <w:sz w:val="18"/>
        </w:rPr>
        <w:t xml:space="preserve">If no terms and conditions of the Partnership Contract are identified that have an impact on the statistical treatment of the Partnership Contract, it follows that the Partnership Contract is off-balance sheet.    </w:t>
      </w:r>
    </w:p>
    <w:p w14:paraId="11EA1AAC" w14:textId="3DBCEA07" w:rsidR="00FB2750" w:rsidRPr="00251B39" w:rsidRDefault="3925175E" w:rsidP="00244282">
      <w:pPr>
        <w:jc w:val="both"/>
        <w:rPr>
          <w:sz w:val="18"/>
          <w:szCs w:val="18"/>
        </w:rPr>
      </w:pPr>
      <w:r>
        <w:rPr>
          <w:sz w:val="18"/>
        </w:rPr>
        <w:t xml:space="preserve">If </w:t>
      </w:r>
      <w:r>
        <w:rPr>
          <w:b/>
          <w:sz w:val="18"/>
        </w:rPr>
        <w:t>one or more</w:t>
      </w:r>
      <w:r>
        <w:rPr>
          <w:sz w:val="18"/>
        </w:rPr>
        <w:t xml:space="preserve"> terms and conditions of the Partnership Contract are identified as having a materiality of "Automatically on BALANCE SHEET", the Partnership Contract shall be on the balance sheet. </w:t>
      </w:r>
    </w:p>
    <w:p w14:paraId="15BBFB20" w14:textId="704B4329" w:rsidR="000F0B6F" w:rsidRPr="00251B39" w:rsidRDefault="61C1A694" w:rsidP="61C1A694">
      <w:pPr>
        <w:jc w:val="both"/>
        <w:rPr>
          <w:sz w:val="18"/>
          <w:szCs w:val="18"/>
        </w:rPr>
      </w:pPr>
      <w:r>
        <w:rPr>
          <w:sz w:val="18"/>
        </w:rPr>
        <w:t xml:space="preserve">If no terms and conditions of the Partnership Contract are identified as having a materiality of "Automatically on BALANCE SHEET", but </w:t>
      </w:r>
      <w:r>
        <w:rPr>
          <w:b/>
          <w:sz w:val="18"/>
        </w:rPr>
        <w:t>one or more</w:t>
      </w:r>
      <w:r>
        <w:rPr>
          <w:sz w:val="18"/>
        </w:rPr>
        <w:t xml:space="preserve"> terms and conditions of the Partnership Contract </w:t>
      </w:r>
      <w:r>
        <w:rPr>
          <w:sz w:val="18"/>
        </w:rPr>
        <w:lastRenderedPageBreak/>
        <w:t>are identified as having a materiality of "VERY HIGH", "HIGH" or "MEDIUM", the statistical treatment of the Partnership Contract shall depend on the combination of these criteria.</w:t>
      </w:r>
    </w:p>
    <w:p w14:paraId="252D32BA" w14:textId="695D1CE5" w:rsidR="00837EB8" w:rsidRPr="00251B39" w:rsidRDefault="00CA030E" w:rsidP="00C14EFB">
      <w:pPr>
        <w:jc w:val="both"/>
        <w:rPr>
          <w:sz w:val="18"/>
          <w:szCs w:val="18"/>
        </w:rPr>
      </w:pPr>
      <w:r>
        <w:rPr>
          <w:sz w:val="18"/>
        </w:rPr>
        <w:t xml:space="preserve">According to the "A Guide to the Statistical Treatment of PPPs", the </w:t>
      </w:r>
      <w:r>
        <w:rPr>
          <w:b/>
          <w:sz w:val="18"/>
        </w:rPr>
        <w:t xml:space="preserve">Partnership Contract is off-balance sheet </w:t>
      </w:r>
      <w:r>
        <w:rPr>
          <w:sz w:val="18"/>
        </w:rPr>
        <w:t xml:space="preserve">if any of the combinations of materiality criteria listed in Table 1 below is met.  </w:t>
      </w:r>
    </w:p>
    <w:p w14:paraId="3538DB2E" w14:textId="77777777" w:rsidR="002B315C" w:rsidRPr="00251B39" w:rsidRDefault="002B315C" w:rsidP="00C14EFB">
      <w:pPr>
        <w:jc w:val="both"/>
        <w:rPr>
          <w:sz w:val="18"/>
          <w:szCs w:val="18"/>
          <w:lang w:val="lv-LV"/>
        </w:rPr>
      </w:pPr>
    </w:p>
    <w:tbl>
      <w:tblPr>
        <w:tblStyle w:val="Reatabula"/>
        <w:tblW w:w="4986" w:type="dxa"/>
        <w:jc w:val="center"/>
        <w:tblBorders>
          <w:top w:val="single" w:sz="4" w:space="0" w:color="75787B" w:themeColor="accent6"/>
          <w:left w:val="single" w:sz="4" w:space="0" w:color="75787B" w:themeColor="accent6"/>
          <w:bottom w:val="single" w:sz="4" w:space="0" w:color="75787B" w:themeColor="accent6"/>
          <w:right w:val="single" w:sz="4" w:space="0" w:color="75787B" w:themeColor="accent6"/>
          <w:insideH w:val="single" w:sz="4" w:space="0" w:color="75787B" w:themeColor="accent6"/>
          <w:insideV w:val="single" w:sz="4" w:space="0" w:color="75787B" w:themeColor="accent6"/>
        </w:tblBorders>
        <w:tblLook w:val="04A0" w:firstRow="1" w:lastRow="0" w:firstColumn="1" w:lastColumn="0" w:noHBand="0" w:noVBand="1"/>
      </w:tblPr>
      <w:tblGrid>
        <w:gridCol w:w="396"/>
        <w:gridCol w:w="1440"/>
        <w:gridCol w:w="1680"/>
        <w:gridCol w:w="1470"/>
      </w:tblGrid>
      <w:tr w:rsidR="00837EB8" w:rsidRPr="00251B39" w14:paraId="7028ECE3" w14:textId="77777777" w:rsidTr="006A1BA9">
        <w:trPr>
          <w:trHeight w:val="247"/>
          <w:jc w:val="center"/>
        </w:trPr>
        <w:tc>
          <w:tcPr>
            <w:tcW w:w="396" w:type="dxa"/>
            <w:shd w:val="clear" w:color="auto" w:fill="C7C8CA" w:themeFill="accent6" w:themeFillTint="66"/>
          </w:tcPr>
          <w:p w14:paraId="51FFDBFE" w14:textId="77777777" w:rsidR="00837EB8" w:rsidRPr="00251B39" w:rsidRDefault="00837EB8" w:rsidP="00C14EFB">
            <w:pPr>
              <w:jc w:val="both"/>
              <w:rPr>
                <w:b/>
                <w:sz w:val="16"/>
                <w:szCs w:val="16"/>
                <w:lang w:val="lv-LV"/>
              </w:rPr>
            </w:pPr>
          </w:p>
        </w:tc>
        <w:tc>
          <w:tcPr>
            <w:tcW w:w="1440" w:type="dxa"/>
            <w:shd w:val="clear" w:color="auto" w:fill="C7C8CA" w:themeFill="accent6" w:themeFillTint="66"/>
            <w:vAlign w:val="center"/>
          </w:tcPr>
          <w:p w14:paraId="5FA7719E" w14:textId="14A26220" w:rsidR="00837EB8" w:rsidRPr="00251B39" w:rsidRDefault="72595D36" w:rsidP="0015600C">
            <w:pPr>
              <w:jc w:val="center"/>
              <w:rPr>
                <w:b/>
                <w:sz w:val="16"/>
                <w:szCs w:val="16"/>
              </w:rPr>
            </w:pPr>
            <w:r>
              <w:rPr>
                <w:b/>
                <w:sz w:val="16"/>
              </w:rPr>
              <w:t>VERY HIGH</w:t>
            </w:r>
          </w:p>
        </w:tc>
        <w:tc>
          <w:tcPr>
            <w:tcW w:w="1680" w:type="dxa"/>
            <w:shd w:val="clear" w:color="auto" w:fill="C7C8CA" w:themeFill="accent6" w:themeFillTint="66"/>
            <w:vAlign w:val="center"/>
          </w:tcPr>
          <w:p w14:paraId="35BEAC24" w14:textId="47545983" w:rsidR="00837EB8" w:rsidRPr="00251B39" w:rsidRDefault="72595D36" w:rsidP="00714F21">
            <w:pPr>
              <w:spacing w:line="259" w:lineRule="auto"/>
              <w:jc w:val="center"/>
              <w:rPr>
                <w:b/>
                <w:sz w:val="16"/>
                <w:szCs w:val="16"/>
              </w:rPr>
            </w:pPr>
            <w:r>
              <w:rPr>
                <w:b/>
                <w:sz w:val="16"/>
              </w:rPr>
              <w:t>HIGH</w:t>
            </w:r>
          </w:p>
        </w:tc>
        <w:tc>
          <w:tcPr>
            <w:tcW w:w="1470" w:type="dxa"/>
            <w:shd w:val="clear" w:color="auto" w:fill="C7C8CA" w:themeFill="accent6" w:themeFillTint="66"/>
            <w:vAlign w:val="center"/>
          </w:tcPr>
          <w:p w14:paraId="6EDEB093" w14:textId="76AE480D" w:rsidR="00837EB8" w:rsidRPr="00251B39" w:rsidRDefault="72595D36" w:rsidP="0015600C">
            <w:pPr>
              <w:jc w:val="center"/>
              <w:rPr>
                <w:b/>
                <w:sz w:val="16"/>
                <w:szCs w:val="16"/>
              </w:rPr>
            </w:pPr>
            <w:r>
              <w:rPr>
                <w:b/>
                <w:sz w:val="16"/>
              </w:rPr>
              <w:t>MEDIUM</w:t>
            </w:r>
          </w:p>
        </w:tc>
      </w:tr>
      <w:tr w:rsidR="00837EB8" w:rsidRPr="00251B39" w14:paraId="6FEC5DF8" w14:textId="77777777" w:rsidTr="006A1BA9">
        <w:trPr>
          <w:trHeight w:val="261"/>
          <w:jc w:val="center"/>
        </w:trPr>
        <w:tc>
          <w:tcPr>
            <w:tcW w:w="396" w:type="dxa"/>
          </w:tcPr>
          <w:p w14:paraId="6D14B979" w14:textId="77777777" w:rsidR="00837EB8" w:rsidRPr="00251B39" w:rsidRDefault="00837EB8" w:rsidP="00C14EFB">
            <w:pPr>
              <w:jc w:val="both"/>
              <w:rPr>
                <w:sz w:val="16"/>
                <w:szCs w:val="16"/>
              </w:rPr>
            </w:pPr>
            <w:r>
              <w:rPr>
                <w:sz w:val="16"/>
              </w:rPr>
              <w:t>1.</w:t>
            </w:r>
          </w:p>
        </w:tc>
        <w:tc>
          <w:tcPr>
            <w:tcW w:w="1440" w:type="dxa"/>
            <w:vAlign w:val="center"/>
          </w:tcPr>
          <w:p w14:paraId="4F1C3E48" w14:textId="2C69100D" w:rsidR="00837EB8" w:rsidRPr="00251B39" w:rsidRDefault="72595D36" w:rsidP="0015600C">
            <w:pPr>
              <w:jc w:val="center"/>
              <w:rPr>
                <w:sz w:val="16"/>
                <w:szCs w:val="16"/>
              </w:rPr>
            </w:pPr>
            <w:r>
              <w:rPr>
                <w:sz w:val="16"/>
              </w:rPr>
              <w:t>Not more than 1</w:t>
            </w:r>
          </w:p>
        </w:tc>
        <w:tc>
          <w:tcPr>
            <w:tcW w:w="1680" w:type="dxa"/>
            <w:vAlign w:val="center"/>
          </w:tcPr>
          <w:p w14:paraId="098E3C95" w14:textId="77777777" w:rsidR="00837EB8" w:rsidRPr="00251B39" w:rsidRDefault="00837EB8" w:rsidP="0015600C">
            <w:pPr>
              <w:jc w:val="center"/>
              <w:rPr>
                <w:sz w:val="16"/>
                <w:szCs w:val="16"/>
              </w:rPr>
            </w:pPr>
            <w:r>
              <w:rPr>
                <w:sz w:val="16"/>
              </w:rPr>
              <w:t>0</w:t>
            </w:r>
          </w:p>
        </w:tc>
        <w:tc>
          <w:tcPr>
            <w:tcW w:w="1470" w:type="dxa"/>
            <w:vAlign w:val="center"/>
          </w:tcPr>
          <w:p w14:paraId="30B6CD3D" w14:textId="453C14A3" w:rsidR="00837EB8" w:rsidRPr="00251B39" w:rsidRDefault="72595D36" w:rsidP="0015600C">
            <w:pPr>
              <w:jc w:val="center"/>
              <w:rPr>
                <w:sz w:val="16"/>
                <w:szCs w:val="16"/>
              </w:rPr>
            </w:pPr>
            <w:r>
              <w:rPr>
                <w:sz w:val="16"/>
              </w:rPr>
              <w:t>Not more than 2</w:t>
            </w:r>
          </w:p>
        </w:tc>
      </w:tr>
      <w:tr w:rsidR="00837EB8" w:rsidRPr="00251B39" w14:paraId="0F3ED542" w14:textId="77777777" w:rsidTr="006A1BA9">
        <w:trPr>
          <w:trHeight w:val="247"/>
          <w:jc w:val="center"/>
        </w:trPr>
        <w:tc>
          <w:tcPr>
            <w:tcW w:w="396" w:type="dxa"/>
          </w:tcPr>
          <w:p w14:paraId="59DDF7DE" w14:textId="77777777" w:rsidR="00837EB8" w:rsidRPr="00251B39" w:rsidRDefault="00837EB8" w:rsidP="00C14EFB">
            <w:pPr>
              <w:jc w:val="both"/>
              <w:rPr>
                <w:sz w:val="16"/>
                <w:szCs w:val="16"/>
              </w:rPr>
            </w:pPr>
            <w:r>
              <w:rPr>
                <w:sz w:val="16"/>
              </w:rPr>
              <w:t>2.</w:t>
            </w:r>
          </w:p>
        </w:tc>
        <w:tc>
          <w:tcPr>
            <w:tcW w:w="1440" w:type="dxa"/>
            <w:vAlign w:val="center"/>
          </w:tcPr>
          <w:p w14:paraId="337AD465" w14:textId="77777777" w:rsidR="00837EB8" w:rsidRPr="00251B39" w:rsidRDefault="00837EB8" w:rsidP="0015600C">
            <w:pPr>
              <w:jc w:val="center"/>
              <w:rPr>
                <w:sz w:val="16"/>
                <w:szCs w:val="16"/>
              </w:rPr>
            </w:pPr>
            <w:r>
              <w:rPr>
                <w:sz w:val="16"/>
              </w:rPr>
              <w:t>0</w:t>
            </w:r>
          </w:p>
        </w:tc>
        <w:tc>
          <w:tcPr>
            <w:tcW w:w="1680" w:type="dxa"/>
            <w:vAlign w:val="center"/>
          </w:tcPr>
          <w:p w14:paraId="0A32EAE1" w14:textId="0DB30C23" w:rsidR="00837EB8" w:rsidRPr="00251B39" w:rsidRDefault="72595D36" w:rsidP="0015600C">
            <w:pPr>
              <w:jc w:val="center"/>
              <w:rPr>
                <w:sz w:val="16"/>
                <w:szCs w:val="16"/>
              </w:rPr>
            </w:pPr>
            <w:r>
              <w:rPr>
                <w:sz w:val="16"/>
              </w:rPr>
              <w:t>Not more than 2</w:t>
            </w:r>
          </w:p>
        </w:tc>
        <w:tc>
          <w:tcPr>
            <w:tcW w:w="1470" w:type="dxa"/>
            <w:vAlign w:val="center"/>
          </w:tcPr>
          <w:p w14:paraId="5E697874" w14:textId="65D8CB39" w:rsidR="00837EB8" w:rsidRPr="00251B39" w:rsidRDefault="72595D36" w:rsidP="0015600C">
            <w:pPr>
              <w:jc w:val="center"/>
              <w:rPr>
                <w:sz w:val="16"/>
                <w:szCs w:val="16"/>
              </w:rPr>
            </w:pPr>
            <w:r>
              <w:rPr>
                <w:sz w:val="16"/>
              </w:rPr>
              <w:t>Not more than 1</w:t>
            </w:r>
          </w:p>
        </w:tc>
      </w:tr>
      <w:tr w:rsidR="00837EB8" w:rsidRPr="00251B39" w14:paraId="1923CDB8" w14:textId="77777777" w:rsidTr="006A1BA9">
        <w:trPr>
          <w:trHeight w:val="247"/>
          <w:jc w:val="center"/>
        </w:trPr>
        <w:tc>
          <w:tcPr>
            <w:tcW w:w="396" w:type="dxa"/>
          </w:tcPr>
          <w:p w14:paraId="7887F3A7" w14:textId="77777777" w:rsidR="00837EB8" w:rsidRPr="00251B39" w:rsidRDefault="00837EB8" w:rsidP="00C14EFB">
            <w:pPr>
              <w:jc w:val="both"/>
              <w:rPr>
                <w:sz w:val="16"/>
                <w:szCs w:val="16"/>
              </w:rPr>
            </w:pPr>
            <w:r>
              <w:rPr>
                <w:sz w:val="16"/>
              </w:rPr>
              <w:t>3.</w:t>
            </w:r>
          </w:p>
        </w:tc>
        <w:tc>
          <w:tcPr>
            <w:tcW w:w="1440" w:type="dxa"/>
            <w:vAlign w:val="center"/>
          </w:tcPr>
          <w:p w14:paraId="129B5418" w14:textId="77777777" w:rsidR="00837EB8" w:rsidRPr="00251B39" w:rsidRDefault="00837EB8" w:rsidP="0015600C">
            <w:pPr>
              <w:jc w:val="center"/>
              <w:rPr>
                <w:sz w:val="16"/>
                <w:szCs w:val="16"/>
              </w:rPr>
            </w:pPr>
            <w:r>
              <w:rPr>
                <w:sz w:val="16"/>
              </w:rPr>
              <w:t>0</w:t>
            </w:r>
          </w:p>
        </w:tc>
        <w:tc>
          <w:tcPr>
            <w:tcW w:w="1680" w:type="dxa"/>
            <w:vAlign w:val="center"/>
          </w:tcPr>
          <w:p w14:paraId="6BF5CB19" w14:textId="0DCB24A0" w:rsidR="00837EB8" w:rsidRPr="00251B39" w:rsidRDefault="72595D36" w:rsidP="0015600C">
            <w:pPr>
              <w:jc w:val="center"/>
              <w:rPr>
                <w:sz w:val="16"/>
                <w:szCs w:val="16"/>
              </w:rPr>
            </w:pPr>
            <w:r>
              <w:rPr>
                <w:sz w:val="16"/>
              </w:rPr>
              <w:t>Not more than 1</w:t>
            </w:r>
          </w:p>
        </w:tc>
        <w:tc>
          <w:tcPr>
            <w:tcW w:w="1470" w:type="dxa"/>
            <w:vAlign w:val="center"/>
          </w:tcPr>
          <w:p w14:paraId="4F7D68A1" w14:textId="4CFB4438" w:rsidR="00837EB8" w:rsidRPr="00251B39" w:rsidRDefault="72595D36" w:rsidP="0015600C">
            <w:pPr>
              <w:jc w:val="center"/>
              <w:rPr>
                <w:sz w:val="16"/>
                <w:szCs w:val="16"/>
              </w:rPr>
            </w:pPr>
            <w:r>
              <w:rPr>
                <w:sz w:val="16"/>
              </w:rPr>
              <w:t>Not more than 4</w:t>
            </w:r>
          </w:p>
        </w:tc>
      </w:tr>
      <w:tr w:rsidR="00837EB8" w:rsidRPr="00251B39" w14:paraId="4BFC468D" w14:textId="77777777" w:rsidTr="006A1BA9">
        <w:trPr>
          <w:trHeight w:val="247"/>
          <w:jc w:val="center"/>
        </w:trPr>
        <w:tc>
          <w:tcPr>
            <w:tcW w:w="396" w:type="dxa"/>
          </w:tcPr>
          <w:p w14:paraId="0D97CE89" w14:textId="77777777" w:rsidR="00837EB8" w:rsidRPr="00251B39" w:rsidRDefault="00837EB8" w:rsidP="00C14EFB">
            <w:pPr>
              <w:jc w:val="both"/>
              <w:rPr>
                <w:sz w:val="16"/>
                <w:szCs w:val="16"/>
              </w:rPr>
            </w:pPr>
            <w:r>
              <w:rPr>
                <w:sz w:val="16"/>
              </w:rPr>
              <w:t>4.</w:t>
            </w:r>
          </w:p>
        </w:tc>
        <w:tc>
          <w:tcPr>
            <w:tcW w:w="1440" w:type="dxa"/>
            <w:vAlign w:val="center"/>
          </w:tcPr>
          <w:p w14:paraId="13DB0436" w14:textId="77777777" w:rsidR="00837EB8" w:rsidRPr="00251B39" w:rsidRDefault="00837EB8" w:rsidP="0015600C">
            <w:pPr>
              <w:jc w:val="center"/>
              <w:rPr>
                <w:sz w:val="16"/>
                <w:szCs w:val="16"/>
              </w:rPr>
            </w:pPr>
            <w:r>
              <w:rPr>
                <w:sz w:val="16"/>
              </w:rPr>
              <w:t>0</w:t>
            </w:r>
          </w:p>
        </w:tc>
        <w:tc>
          <w:tcPr>
            <w:tcW w:w="1680" w:type="dxa"/>
            <w:vAlign w:val="center"/>
          </w:tcPr>
          <w:p w14:paraId="543D460F" w14:textId="77777777" w:rsidR="00837EB8" w:rsidRPr="00251B39" w:rsidRDefault="00837EB8" w:rsidP="0015600C">
            <w:pPr>
              <w:jc w:val="center"/>
              <w:rPr>
                <w:sz w:val="16"/>
                <w:szCs w:val="16"/>
              </w:rPr>
            </w:pPr>
            <w:r>
              <w:rPr>
                <w:sz w:val="16"/>
              </w:rPr>
              <w:t>0</w:t>
            </w:r>
          </w:p>
        </w:tc>
        <w:tc>
          <w:tcPr>
            <w:tcW w:w="1470" w:type="dxa"/>
            <w:vAlign w:val="center"/>
          </w:tcPr>
          <w:p w14:paraId="4DB5A15D" w14:textId="206C6FE3" w:rsidR="00837EB8" w:rsidRPr="00251B39" w:rsidRDefault="72595D36" w:rsidP="0015600C">
            <w:pPr>
              <w:keepNext/>
              <w:jc w:val="center"/>
              <w:rPr>
                <w:sz w:val="16"/>
                <w:szCs w:val="16"/>
              </w:rPr>
            </w:pPr>
            <w:r>
              <w:rPr>
                <w:sz w:val="16"/>
              </w:rPr>
              <w:t>Not more than 7</w:t>
            </w:r>
          </w:p>
        </w:tc>
      </w:tr>
    </w:tbl>
    <w:p w14:paraId="282B59EE" w14:textId="115DAFB1" w:rsidR="003C1995" w:rsidRPr="00244282" w:rsidRDefault="002155A9" w:rsidP="00575DE1">
      <w:pPr>
        <w:pStyle w:val="Parakstszemobjekta"/>
        <w:ind w:left="1980"/>
        <w:jc w:val="right"/>
      </w:pPr>
      <w:bookmarkStart w:id="148" w:name="_Ref2896891"/>
      <w:r>
        <w:t>Table 1</w:t>
      </w:r>
      <w:bookmarkEnd w:id="148"/>
      <w:r>
        <w:t xml:space="preserve">: Combinations of Materiality Criteria that Lead to Off-Balance Sheet </w:t>
      </w:r>
      <w:r w:rsidR="00B81ACE">
        <w:t>Recording</w:t>
      </w:r>
    </w:p>
    <w:p w14:paraId="2FBBA604" w14:textId="449BD31E" w:rsidR="00D02D88" w:rsidRPr="00251B39" w:rsidRDefault="00D02D88" w:rsidP="007863EE">
      <w:pPr>
        <w:jc w:val="both"/>
        <w:rPr>
          <w:sz w:val="18"/>
          <w:szCs w:val="18"/>
        </w:rPr>
      </w:pPr>
      <w:r>
        <w:rPr>
          <w:sz w:val="18"/>
        </w:rPr>
        <w:t>As follows from Table 1, the Partnership Contract is off-balance sheet, if there are:</w:t>
      </w:r>
    </w:p>
    <w:p w14:paraId="4CD341B3" w14:textId="5229E1FB" w:rsidR="00D02D88" w:rsidRPr="00251B39" w:rsidRDefault="00D02D88" w:rsidP="008B6449">
      <w:pPr>
        <w:pStyle w:val="Sarakstarindkopa"/>
        <w:numPr>
          <w:ilvl w:val="0"/>
          <w:numId w:val="21"/>
        </w:numPr>
        <w:spacing w:after="0"/>
        <w:contextualSpacing w:val="0"/>
        <w:jc w:val="both"/>
        <w:rPr>
          <w:sz w:val="18"/>
          <w:szCs w:val="18"/>
        </w:rPr>
      </w:pPr>
      <w:r>
        <w:rPr>
          <w:sz w:val="18"/>
        </w:rPr>
        <w:t>no more than one "Very High", no "High", no more than two "Medium" materiality criteria</w:t>
      </w:r>
    </w:p>
    <w:p w14:paraId="236AE98A" w14:textId="2BCF3B5E" w:rsidR="00D02D88" w:rsidRPr="00251B39" w:rsidRDefault="008B4CD8" w:rsidP="008B6449">
      <w:pPr>
        <w:pStyle w:val="Sarakstarindkopa"/>
        <w:numPr>
          <w:ilvl w:val="0"/>
          <w:numId w:val="21"/>
        </w:numPr>
        <w:spacing w:after="0"/>
        <w:contextualSpacing w:val="0"/>
        <w:jc w:val="both"/>
        <w:rPr>
          <w:sz w:val="18"/>
          <w:szCs w:val="18"/>
        </w:rPr>
      </w:pPr>
      <w:r>
        <w:rPr>
          <w:sz w:val="18"/>
        </w:rPr>
        <w:t>no "Very High", no more than two "High", no more than one "Medium" materiality criteria</w:t>
      </w:r>
    </w:p>
    <w:p w14:paraId="5415A4EC" w14:textId="48254F2D" w:rsidR="008B4CD8" w:rsidRPr="00251B39" w:rsidRDefault="008B4CD8" w:rsidP="008B6449">
      <w:pPr>
        <w:pStyle w:val="Sarakstarindkopa"/>
        <w:numPr>
          <w:ilvl w:val="0"/>
          <w:numId w:val="21"/>
        </w:numPr>
        <w:spacing w:after="0"/>
        <w:contextualSpacing w:val="0"/>
        <w:jc w:val="both"/>
        <w:rPr>
          <w:sz w:val="18"/>
          <w:szCs w:val="18"/>
        </w:rPr>
      </w:pPr>
      <w:r>
        <w:rPr>
          <w:sz w:val="18"/>
        </w:rPr>
        <w:t>no "Very High", no more than one "High", no more than four "Medium" materiality criteria</w:t>
      </w:r>
    </w:p>
    <w:p w14:paraId="02B15759" w14:textId="5A5B5CDE" w:rsidR="008B4CD8" w:rsidRPr="00251B39" w:rsidRDefault="008B4CD8" w:rsidP="008B6449">
      <w:pPr>
        <w:pStyle w:val="Sarakstarindkopa"/>
        <w:numPr>
          <w:ilvl w:val="0"/>
          <w:numId w:val="21"/>
        </w:numPr>
        <w:spacing w:after="0"/>
        <w:contextualSpacing w:val="0"/>
        <w:jc w:val="both"/>
        <w:rPr>
          <w:sz w:val="18"/>
          <w:szCs w:val="18"/>
        </w:rPr>
      </w:pPr>
      <w:r>
        <w:rPr>
          <w:sz w:val="18"/>
        </w:rPr>
        <w:t>no "Very High", no "High", no more than seven "Medium" materiality criteria</w:t>
      </w:r>
    </w:p>
    <w:p w14:paraId="2225B69C" w14:textId="5427BD05" w:rsidR="000F0B6F" w:rsidRPr="00251B39" w:rsidRDefault="7BF5FD67" w:rsidP="21D28A4C">
      <w:pPr>
        <w:spacing w:before="240"/>
        <w:jc w:val="both"/>
        <w:rPr>
          <w:sz w:val="18"/>
          <w:szCs w:val="18"/>
        </w:rPr>
      </w:pPr>
      <w:r>
        <w:rPr>
          <w:sz w:val="18"/>
        </w:rPr>
        <w:t xml:space="preserve">If the highest number of criteria in Table 1 is achieved in each combination or the combinations of materiality criteria in Table 1 are exceeded, there is a high probability that the Partnership Contract will be on the balance sheet. In either of these cases, the analysis produced by the public partner may be considered inconclusive by the Central Statistical Bureau or Eurostat. Therefore, in addition to the terms and conditions of the Partnership Contract, an in-depth assessment of the Partnership Contract may be carried out in order to decide on the statistical treatment of the Partnership Contract. In addition, the practical ability of the public partner to decide on (determine over) the asset during its economic life may be one of the elements to be assessed, assessing at least the following:  </w:t>
      </w:r>
    </w:p>
    <w:p w14:paraId="1BDB4C86" w14:textId="7E06A396" w:rsidR="00353D60" w:rsidRPr="00251B39" w:rsidRDefault="402179AB" w:rsidP="008B6449">
      <w:pPr>
        <w:pStyle w:val="Sarakstarindkopa"/>
        <w:numPr>
          <w:ilvl w:val="0"/>
          <w:numId w:val="6"/>
        </w:numPr>
        <w:jc w:val="both"/>
        <w:rPr>
          <w:sz w:val="18"/>
          <w:szCs w:val="18"/>
        </w:rPr>
      </w:pPr>
      <w:r>
        <w:rPr>
          <w:sz w:val="18"/>
        </w:rPr>
        <w:t>the degree to which the public partner determines, for example, the design, quality, maintenance and operation</w:t>
      </w:r>
    </w:p>
    <w:p w14:paraId="6F2E1319" w14:textId="5FBEA3C2" w:rsidR="00841FF0" w:rsidRDefault="00353D60" w:rsidP="008B6449">
      <w:pPr>
        <w:pStyle w:val="Sarakstarindkopa"/>
        <w:numPr>
          <w:ilvl w:val="0"/>
          <w:numId w:val="6"/>
        </w:numPr>
        <w:rPr>
          <w:sz w:val="18"/>
          <w:szCs w:val="18"/>
        </w:rPr>
      </w:pPr>
      <w:r>
        <w:rPr>
          <w:sz w:val="18"/>
        </w:rPr>
        <w:t>the extent to which the public partner will benefit from the asset if it continues its economic life after the end of the Partnership Contract</w:t>
      </w:r>
    </w:p>
    <w:p w14:paraId="04C28D97" w14:textId="7631D496" w:rsidR="008D11A7" w:rsidRPr="008D11A7" w:rsidRDefault="008D11A7" w:rsidP="008D11A7">
      <w:pPr>
        <w:jc w:val="both"/>
        <w:rPr>
          <w:sz w:val="18"/>
          <w:szCs w:val="18"/>
        </w:rPr>
      </w:pPr>
      <w:r>
        <w:rPr>
          <w:sz w:val="18"/>
        </w:rPr>
        <w:t xml:space="preserve">If, in the course of the statistical treatment analysis of the PPP project, the public partner concludes that the Partnership Contract should be </w:t>
      </w:r>
      <w:r w:rsidR="00B25B39">
        <w:rPr>
          <w:sz w:val="18"/>
        </w:rPr>
        <w:t>recorded on</w:t>
      </w:r>
      <w:r>
        <w:rPr>
          <w:sz w:val="18"/>
        </w:rPr>
        <w:t xml:space="preserve"> the balance sheet of the general government sector</w:t>
      </w:r>
      <w:r w:rsidR="00B25B39">
        <w:rPr>
          <w:sz w:val="18"/>
        </w:rPr>
        <w:t xml:space="preserve"> assets</w:t>
      </w:r>
      <w:r>
        <w:rPr>
          <w:sz w:val="18"/>
        </w:rPr>
        <w:t xml:space="preserve">, but that such </w:t>
      </w:r>
      <w:r w:rsidR="00440743">
        <w:rPr>
          <w:sz w:val="18"/>
        </w:rPr>
        <w:t xml:space="preserve">recording </w:t>
      </w:r>
      <w:r>
        <w:rPr>
          <w:sz w:val="18"/>
        </w:rPr>
        <w:t>treatment makes a PPP arrangement infeasible, the public partner may review not only the terms and conditions of the Partnership Contract, but also whether certain activities under the PPP project could be separated from the PPP project and implemented separately through traditional procurement.</w:t>
      </w:r>
    </w:p>
    <w:p w14:paraId="2181BADB" w14:textId="535BB399" w:rsidR="000B78EC" w:rsidRPr="000B78EC" w:rsidRDefault="00841FF0" w:rsidP="00265DE4">
      <w:pPr>
        <w:pStyle w:val="Sarakstarindkopa"/>
        <w:ind w:left="0"/>
        <w:rPr>
          <w:sz w:val="18"/>
          <w:szCs w:val="18"/>
        </w:rPr>
      </w:pPr>
      <w:r>
        <w:rPr>
          <w:sz w:val="18"/>
        </w:rPr>
        <w:t>The statistical treatment analysis may lead to the conclusion that one of the PPP arrangements or PPP models analysed above is not suitable for the project.</w:t>
      </w:r>
      <w:bookmarkStart w:id="149" w:name="_Risku_analīze"/>
      <w:bookmarkStart w:id="150" w:name="_Toc3205488"/>
      <w:bookmarkStart w:id="151" w:name="_Toc3246838"/>
      <w:bookmarkStart w:id="152" w:name="_Toc3249547"/>
      <w:bookmarkEnd w:id="149"/>
    </w:p>
    <w:p w14:paraId="1C6C1B7C" w14:textId="669B9088" w:rsidR="0011394B" w:rsidRPr="0011394B" w:rsidRDefault="00C72C48" w:rsidP="008B6449">
      <w:pPr>
        <w:pStyle w:val="Virsraksts2"/>
        <w:numPr>
          <w:ilvl w:val="1"/>
          <w:numId w:val="16"/>
        </w:numPr>
        <w:spacing w:after="240"/>
        <w:rPr>
          <w:rFonts w:asciiTheme="minorHAnsi" w:hAnsiTheme="minorHAnsi"/>
        </w:rPr>
      </w:pPr>
      <w:bookmarkStart w:id="153" w:name="_Risku_analīze_1"/>
      <w:bookmarkStart w:id="154" w:name="_Toc3805006"/>
      <w:bookmarkStart w:id="155" w:name="_Toc178586369"/>
      <w:bookmarkStart w:id="156" w:name="_Toc3759969"/>
      <w:bookmarkEnd w:id="153"/>
      <w:r w:rsidRPr="005D3F46">
        <w:rPr>
          <w:noProof/>
          <w:sz w:val="18"/>
        </w:rPr>
        <w:lastRenderedPageBreak/>
        <mc:AlternateContent>
          <mc:Choice Requires="wps">
            <w:drawing>
              <wp:anchor distT="45720" distB="45720" distL="114300" distR="114300" simplePos="0" relativeHeight="251658333" behindDoc="0" locked="0" layoutInCell="1" allowOverlap="1" wp14:anchorId="468293DB" wp14:editId="01ABC996">
                <wp:simplePos x="0" y="0"/>
                <wp:positionH relativeFrom="column">
                  <wp:posOffset>4165600</wp:posOffset>
                </wp:positionH>
                <wp:positionV relativeFrom="paragraph">
                  <wp:posOffset>641985</wp:posOffset>
                </wp:positionV>
                <wp:extent cx="1240155" cy="325755"/>
                <wp:effectExtent l="0" t="0" r="0" b="0"/>
                <wp:wrapNone/>
                <wp:docPr id="494976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5755"/>
                        </a:xfrm>
                        <a:prstGeom prst="rect">
                          <a:avLst/>
                        </a:prstGeom>
                        <a:solidFill>
                          <a:schemeClr val="bg1"/>
                        </a:solidFill>
                        <a:ln w="9525">
                          <a:noFill/>
                          <a:miter lim="800000"/>
                          <a:headEnd/>
                          <a:tailEnd/>
                        </a:ln>
                      </wps:spPr>
                      <wps:txbx>
                        <w:txbxContent>
                          <w:p w14:paraId="14C5F427" w14:textId="77777777" w:rsidR="00C72C48" w:rsidRPr="00A80C38" w:rsidRDefault="00C72C48" w:rsidP="00C72C48">
                            <w:pPr>
                              <w:rPr>
                                <w:color w:val="7F7F7F" w:themeColor="text1" w:themeTint="80"/>
                                <w:sz w:val="14"/>
                                <w:szCs w:val="14"/>
                                <w:lang w:val="en-GB"/>
                              </w:rPr>
                            </w:pPr>
                            <w:r w:rsidRPr="00A80C38">
                              <w:rPr>
                                <w:color w:val="7F7F7F" w:themeColor="text1" w:themeTint="80"/>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293DB" id="_x0000_s1130" type="#_x0000_t202" style="position:absolute;left:0;text-align:left;margin-left:328pt;margin-top:50.55pt;width:97.65pt;height:25.65pt;z-index:2516583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" fillcolor="white [3212]" stroked="f">
                <v:textbox>
                  <w:txbxContent>
                    <w:p w14:paraId="14C5F427" w14:textId="77777777" w:rsidR="00C72C48" w:rsidRPr="00A80C38" w:rsidRDefault="00C72C48" w:rsidP="00C72C48">
                      <w:pPr>
                        <w:rPr>
                          <w:color w:val="7F7F7F" w:themeColor="text1" w:themeTint="80"/>
                          <w:sz w:val="14"/>
                          <w:szCs w:val="14"/>
                          <w:lang w:val="en-GB"/>
                        </w:rPr>
                      </w:pPr>
                      <w:r w:rsidRPr="00A80C38">
                        <w:rPr>
                          <w:color w:val="7F7F7F" w:themeColor="text1" w:themeTint="80"/>
                          <w:sz w:val="14"/>
                          <w:szCs w:val="14"/>
                          <w:lang w:val="en-GB"/>
                        </w:rPr>
                        <w:t>Calculating value for money</w:t>
                      </w:r>
                    </w:p>
                  </w:txbxContent>
                </v:textbox>
              </v:shape>
            </w:pict>
          </mc:Fallback>
        </mc:AlternateContent>
      </w:r>
      <w:r w:rsidRPr="005D3F46">
        <w:rPr>
          <w:noProof/>
          <w:sz w:val="18"/>
        </w:rPr>
        <mc:AlternateContent>
          <mc:Choice Requires="wps">
            <w:drawing>
              <wp:anchor distT="45720" distB="45720" distL="114300" distR="114300" simplePos="0" relativeHeight="251658332" behindDoc="0" locked="0" layoutInCell="1" allowOverlap="1" wp14:anchorId="6ECAE444" wp14:editId="76003986">
                <wp:simplePos x="0" y="0"/>
                <wp:positionH relativeFrom="column">
                  <wp:posOffset>2185035</wp:posOffset>
                </wp:positionH>
                <wp:positionV relativeFrom="paragraph">
                  <wp:posOffset>607695</wp:posOffset>
                </wp:positionV>
                <wp:extent cx="1629410" cy="325755"/>
                <wp:effectExtent l="0" t="0" r="8890" b="0"/>
                <wp:wrapNone/>
                <wp:docPr id="1923482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25755"/>
                        </a:xfrm>
                        <a:prstGeom prst="rect">
                          <a:avLst/>
                        </a:prstGeom>
                        <a:solidFill>
                          <a:schemeClr val="bg1"/>
                        </a:solidFill>
                        <a:ln w="9525">
                          <a:noFill/>
                          <a:miter lim="800000"/>
                          <a:headEnd/>
                          <a:tailEnd/>
                        </a:ln>
                      </wps:spPr>
                      <wps:txbx>
                        <w:txbxContent>
                          <w:p w14:paraId="6585E8CB" w14:textId="77777777" w:rsidR="00C72C48" w:rsidRPr="00447980" w:rsidRDefault="00C72C48" w:rsidP="00C72C48">
                            <w:pPr>
                              <w:rPr>
                                <w:b/>
                                <w:bCs/>
                                <w:sz w:val="14"/>
                                <w:szCs w:val="14"/>
                                <w:lang w:val="en-GB"/>
                              </w:rPr>
                            </w:pPr>
                            <w:r w:rsidRPr="00447980">
                              <w:rPr>
                                <w:b/>
                                <w:bCs/>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AE444" id="_x0000_s1131" type="#_x0000_t202" style="position:absolute;left:0;text-align:left;margin-left:172.05pt;margin-top:47.85pt;width:128.3pt;height:25.65pt;z-index:251658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" fillcolor="white [3212]" stroked="f">
                <v:textbox>
                  <w:txbxContent>
                    <w:p w14:paraId="6585E8CB" w14:textId="77777777" w:rsidR="00C72C48" w:rsidRPr="00447980" w:rsidRDefault="00C72C48" w:rsidP="00C72C48">
                      <w:pPr>
                        <w:rPr>
                          <w:b/>
                          <w:bCs/>
                          <w:sz w:val="14"/>
                          <w:szCs w:val="14"/>
                          <w:lang w:val="en-GB"/>
                        </w:rPr>
                      </w:pPr>
                      <w:r w:rsidRPr="00447980">
                        <w:rPr>
                          <w:b/>
                          <w:bCs/>
                          <w:sz w:val="14"/>
                          <w:szCs w:val="14"/>
                          <w:lang w:val="en-GB"/>
                        </w:rPr>
                        <w:t>Assessing project implementation alternatives</w:t>
                      </w:r>
                    </w:p>
                  </w:txbxContent>
                </v:textbox>
              </v:shape>
            </w:pict>
          </mc:Fallback>
        </mc:AlternateContent>
      </w:r>
      <w:r w:rsidRPr="005D3F46">
        <w:rPr>
          <w:noProof/>
          <w:sz w:val="18"/>
        </w:rPr>
        <mc:AlternateContent>
          <mc:Choice Requires="wps">
            <w:drawing>
              <wp:anchor distT="45720" distB="45720" distL="114300" distR="114300" simplePos="0" relativeHeight="251658331" behindDoc="0" locked="0" layoutInCell="1" allowOverlap="1" wp14:anchorId="369784C3" wp14:editId="74157396">
                <wp:simplePos x="0" y="0"/>
                <wp:positionH relativeFrom="column">
                  <wp:posOffset>4316730</wp:posOffset>
                </wp:positionH>
                <wp:positionV relativeFrom="paragraph">
                  <wp:posOffset>292100</wp:posOffset>
                </wp:positionV>
                <wp:extent cx="1311910" cy="341630"/>
                <wp:effectExtent l="0" t="0" r="2540" b="1270"/>
                <wp:wrapNone/>
                <wp:docPr id="1907985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41630"/>
                        </a:xfrm>
                        <a:prstGeom prst="rect">
                          <a:avLst/>
                        </a:prstGeom>
                        <a:solidFill>
                          <a:schemeClr val="bg1">
                            <a:lumMod val="75000"/>
                          </a:schemeClr>
                        </a:solidFill>
                        <a:ln w="9525">
                          <a:noFill/>
                          <a:miter lim="800000"/>
                          <a:headEnd/>
                          <a:tailEnd/>
                        </a:ln>
                      </wps:spPr>
                      <wps:txbx>
                        <w:txbxContent>
                          <w:p w14:paraId="4E182AB5" w14:textId="77777777" w:rsidR="00C72C48" w:rsidRPr="00B431B1" w:rsidRDefault="00C72C48" w:rsidP="00C72C48">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84C3" id="_x0000_s1132" type="#_x0000_t202" style="position:absolute;left:0;text-align:left;margin-left:339.9pt;margin-top:23pt;width:103.3pt;height:26.9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" fillcolor="#bfbfbf [2412]" stroked="f">
                <v:textbox>
                  <w:txbxContent>
                    <w:p w14:paraId="4E182AB5" w14:textId="77777777" w:rsidR="00C72C48" w:rsidRPr="00B431B1" w:rsidRDefault="00C72C48" w:rsidP="00C72C48">
                      <w:pPr>
                        <w:jc w:val="center"/>
                        <w:rPr>
                          <w:b/>
                          <w:bCs/>
                          <w:color w:val="595959" w:themeColor="text1" w:themeTint="A6"/>
                          <w:sz w:val="14"/>
                          <w:szCs w:val="14"/>
                          <w:lang w:val="en-GB"/>
                          <w14:textOutline w14:w="9525" w14:cap="rnd" w14:cmpd="sng" w14:algn="ctr">
                            <w14:noFill/>
                            <w14:prstDash w14:val="solid"/>
                            <w14:bevel/>
                          </w14:textOutline>
                        </w:rPr>
                      </w:pPr>
                      <w:r w:rsidRPr="00B431B1">
                        <w:rPr>
                          <w:b/>
                          <w:bCs/>
                          <w:color w:val="595959" w:themeColor="text1" w:themeTint="A6"/>
                          <w:sz w:val="14"/>
                          <w:szCs w:val="14"/>
                          <w:lang w:val="en-GB"/>
                          <w14:textOutline w14:w="9525" w14:cap="rnd" w14:cmpd="sng" w14:algn="ctr">
                            <w14:noFill/>
                            <w14:prstDash w14:val="solid"/>
                            <w14:bevel/>
                          </w14:textOutline>
                        </w:rPr>
                        <w:t xml:space="preserve">Preparation of FEC </w:t>
                      </w:r>
                      <w:r>
                        <w:rPr>
                          <w:b/>
                          <w:bCs/>
                          <w:color w:val="595959" w:themeColor="text1" w:themeTint="A6"/>
                          <w:sz w:val="14"/>
                          <w:szCs w:val="14"/>
                          <w:lang w:val="en-GB"/>
                          <w14:textOutline w14:w="9525" w14:cap="rnd" w14:cmpd="sng" w14:algn="ctr">
                            <w14:noFill/>
                            <w14:prstDash w14:val="solid"/>
                            <w14:bevel/>
                          </w14:textOutline>
                        </w:rPr>
                        <w:t>quantifying</w:t>
                      </w:r>
                      <w:r w:rsidRPr="00B431B1">
                        <w:rPr>
                          <w:b/>
                          <w:bCs/>
                          <w:color w:val="595959" w:themeColor="text1" w:themeTint="A6"/>
                          <w:sz w:val="14"/>
                          <w:szCs w:val="14"/>
                          <w:lang w:val="en-GB"/>
                          <w14:textOutline w14:w="9525" w14:cap="rnd" w14:cmpd="sng" w14:algn="ctr">
                            <w14:noFill/>
                            <w14:prstDash w14:val="solid"/>
                            <w14:bevel/>
                          </w14:textOutline>
                        </w:rPr>
                        <w:t xml:space="preserve"> part</w:t>
                      </w:r>
                    </w:p>
                  </w:txbxContent>
                </v:textbox>
              </v:shape>
            </w:pict>
          </mc:Fallback>
        </mc:AlternateContent>
      </w:r>
      <w:r w:rsidRPr="005D3F46">
        <w:rPr>
          <w:noProof/>
          <w:sz w:val="18"/>
        </w:rPr>
        <mc:AlternateContent>
          <mc:Choice Requires="wps">
            <w:drawing>
              <wp:anchor distT="45720" distB="45720" distL="114300" distR="114300" simplePos="0" relativeHeight="251658330" behindDoc="0" locked="0" layoutInCell="1" allowOverlap="1" wp14:anchorId="7FC89522" wp14:editId="03B5E4C1">
                <wp:simplePos x="0" y="0"/>
                <wp:positionH relativeFrom="column">
                  <wp:posOffset>2392045</wp:posOffset>
                </wp:positionH>
                <wp:positionV relativeFrom="paragraph">
                  <wp:posOffset>292735</wp:posOffset>
                </wp:positionV>
                <wp:extent cx="1208405" cy="317500"/>
                <wp:effectExtent l="0" t="0" r="0" b="6350"/>
                <wp:wrapNone/>
                <wp:docPr id="823299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solidFill>
                          <a:schemeClr val="accent1"/>
                        </a:solidFill>
                        <a:ln w="9525">
                          <a:noFill/>
                          <a:miter lim="800000"/>
                          <a:headEnd/>
                          <a:tailEnd/>
                        </a:ln>
                      </wps:spPr>
                      <wps:txbx>
                        <w:txbxContent>
                          <w:p w14:paraId="61A5BE07" w14:textId="77777777" w:rsidR="00C72C48" w:rsidRPr="00447980" w:rsidRDefault="00C72C48" w:rsidP="00C72C48">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89522" id="_x0000_s1133" type="#_x0000_t202" style="position:absolute;left:0;text-align:left;margin-left:188.35pt;margin-top:23.05pt;width:95.15pt;height:25pt;z-index:2516583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" fillcolor="#86bc25 [3204]" stroked="f">
                <v:textbox>
                  <w:txbxContent>
                    <w:p w14:paraId="61A5BE07" w14:textId="77777777" w:rsidR="00C72C48" w:rsidRPr="00447980" w:rsidRDefault="00C72C48" w:rsidP="00C72C48">
                      <w:pPr>
                        <w:jc w:val="center"/>
                        <w:rPr>
                          <w:b/>
                          <w:bCs/>
                          <w:color w:val="FFFFFF" w:themeColor="background1"/>
                          <w:sz w:val="14"/>
                          <w:szCs w:val="14"/>
                          <w:lang w:val="en-GB"/>
                          <w14:textOutline w14:w="9525" w14:cap="rnd" w14:cmpd="sng" w14:algn="ctr">
                            <w14:noFill/>
                            <w14:prstDash w14:val="solid"/>
                            <w14:bevel/>
                          </w14:textOutline>
                        </w:rPr>
                      </w:pPr>
                      <w:r w:rsidRPr="00447980">
                        <w:rPr>
                          <w:b/>
                          <w:bCs/>
                          <w:color w:val="FFFFFF" w:themeColor="background1"/>
                          <w:sz w:val="14"/>
                          <w:szCs w:val="14"/>
                          <w:lang w:val="en-GB"/>
                          <w14:textOutline w14:w="9525" w14:cap="rnd" w14:cmpd="sng" w14:algn="ctr">
                            <w14:noFill/>
                            <w14:prstDash w14:val="solid"/>
                            <w14:bevel/>
                          </w14:textOutline>
                        </w:rPr>
                        <w:t>Preparation of FEC descriptive part</w:t>
                      </w:r>
                    </w:p>
                  </w:txbxContent>
                </v:textbox>
              </v:shape>
            </w:pict>
          </mc:Fallback>
        </mc:AlternateContent>
      </w:r>
      <w:r w:rsidRPr="005D3F46">
        <w:rPr>
          <w:noProof/>
          <w:sz w:val="18"/>
        </w:rPr>
        <mc:AlternateContent>
          <mc:Choice Requires="wps">
            <w:drawing>
              <wp:anchor distT="45720" distB="45720" distL="114300" distR="114300" simplePos="0" relativeHeight="251658328" behindDoc="0" locked="0" layoutInCell="1" allowOverlap="1" wp14:anchorId="18DE1903" wp14:editId="108512B7">
                <wp:simplePos x="0" y="0"/>
                <wp:positionH relativeFrom="column">
                  <wp:posOffset>324485</wp:posOffset>
                </wp:positionH>
                <wp:positionV relativeFrom="paragraph">
                  <wp:posOffset>410845</wp:posOffset>
                </wp:positionV>
                <wp:extent cx="1407160" cy="198755"/>
                <wp:effectExtent l="0" t="0" r="2540" b="0"/>
                <wp:wrapNone/>
                <wp:docPr id="1733489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bg1">
                            <a:lumMod val="75000"/>
                          </a:schemeClr>
                        </a:solidFill>
                        <a:ln w="9525">
                          <a:noFill/>
                          <a:miter lim="800000"/>
                          <a:headEnd/>
                          <a:tailEnd/>
                        </a:ln>
                      </wps:spPr>
                      <wps:txbx>
                        <w:txbxContent>
                          <w:p w14:paraId="0C135CA7" w14:textId="77777777" w:rsidR="00C72C48" w:rsidRPr="00447980" w:rsidRDefault="00C72C48" w:rsidP="00C72C48">
                            <w:pPr>
                              <w:jc w:val="center"/>
                              <w:rPr>
                                <w:b/>
                                <w:bCs/>
                                <w:color w:val="595959" w:themeColor="text1" w:themeTint="A6"/>
                                <w:sz w:val="14"/>
                                <w:szCs w:val="14"/>
                              </w:rPr>
                            </w:pPr>
                            <w:r w:rsidRPr="00447980">
                              <w:rPr>
                                <w:b/>
                                <w:bCs/>
                                <w:color w:val="595959" w:themeColor="text1" w:themeTint="A6"/>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E1903" id="_x0000_s1134" type="#_x0000_t202" style="position:absolute;left:0;text-align:left;margin-left:25.55pt;margin-top:32.35pt;width:110.8pt;height:15.65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" fillcolor="#bfbfbf [2412]" stroked="f">
                <v:textbox>
                  <w:txbxContent>
                    <w:p w14:paraId="0C135CA7" w14:textId="77777777" w:rsidR="00C72C48" w:rsidRPr="00447980" w:rsidRDefault="00C72C48" w:rsidP="00C72C48">
                      <w:pPr>
                        <w:jc w:val="center"/>
                        <w:rPr>
                          <w:b/>
                          <w:bCs/>
                          <w:color w:val="595959" w:themeColor="text1" w:themeTint="A6"/>
                          <w:sz w:val="14"/>
                          <w:szCs w:val="14"/>
                        </w:rPr>
                      </w:pPr>
                      <w:r w:rsidRPr="00447980">
                        <w:rPr>
                          <w:b/>
                          <w:bCs/>
                          <w:color w:val="595959" w:themeColor="text1" w:themeTint="A6"/>
                          <w:sz w:val="14"/>
                          <w:szCs w:val="14"/>
                        </w:rPr>
                        <w:t>Prior to FEC preparation</w:t>
                      </w:r>
                    </w:p>
                  </w:txbxContent>
                </v:textbox>
              </v:shape>
            </w:pict>
          </mc:Fallback>
        </mc:AlternateContent>
      </w:r>
      <w:r w:rsidR="00EC4DA6">
        <w:rPr>
          <w:rFonts w:asciiTheme="minorHAnsi" w:hAnsiTheme="minorHAnsi"/>
        </w:rPr>
        <w:t>Project Risk Analysis</w:t>
      </w:r>
      <w:bookmarkEnd w:id="150"/>
      <w:bookmarkEnd w:id="151"/>
      <w:bookmarkEnd w:id="152"/>
      <w:bookmarkEnd w:id="154"/>
      <w:bookmarkEnd w:id="155"/>
    </w:p>
    <w:bookmarkEnd w:id="156"/>
    <w:p w14:paraId="0C264BCA" w14:textId="69AB399B" w:rsidR="00CA0BB6" w:rsidRPr="00251B39" w:rsidRDefault="007D2212" w:rsidP="004F212F">
      <w:pPr>
        <w:spacing w:after="240"/>
        <w:ind w:firstLine="90"/>
        <w:jc w:val="both"/>
        <w:rPr>
          <w:sz w:val="20"/>
          <w:szCs w:val="20"/>
        </w:rPr>
      </w:pPr>
      <w:r>
        <w:rPr>
          <w:noProof/>
          <w:color w:val="002060"/>
          <w:sz w:val="24"/>
          <w:shd w:val="clear" w:color="auto" w:fill="E6E6E6"/>
        </w:rPr>
        <mc:AlternateContent>
          <mc:Choice Requires="wps">
            <w:drawing>
              <wp:anchor distT="45720" distB="45720" distL="114300" distR="114300" simplePos="0" relativeHeight="251658247" behindDoc="0" locked="0" layoutInCell="1" allowOverlap="1" wp14:anchorId="4FC80A37" wp14:editId="3FAC634A">
                <wp:simplePos x="0" y="0"/>
                <wp:positionH relativeFrom="column">
                  <wp:posOffset>88900</wp:posOffset>
                </wp:positionH>
                <wp:positionV relativeFrom="paragraph">
                  <wp:posOffset>691515</wp:posOffset>
                </wp:positionV>
                <wp:extent cx="5869305" cy="965200"/>
                <wp:effectExtent l="0" t="0" r="17145" b="2540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965200"/>
                        </a:xfrm>
                        <a:prstGeom prst="rect">
                          <a:avLst/>
                        </a:prstGeom>
                        <a:solidFill>
                          <a:srgbClr val="FFFFFF"/>
                        </a:solidFill>
                        <a:ln w="9525">
                          <a:solidFill>
                            <a:schemeClr val="tx2"/>
                          </a:solidFill>
                          <a:miter lim="800000"/>
                          <a:headEnd/>
                          <a:tailEnd/>
                        </a:ln>
                      </wps:spPr>
                      <wps:txbx>
                        <w:txbxContent>
                          <w:p w14:paraId="6D404C55" w14:textId="38604C44" w:rsidR="00EF0F26" w:rsidRPr="0015600C" w:rsidRDefault="00746F6D" w:rsidP="00B103B0">
                            <w:pPr>
                              <w:spacing w:after="120"/>
                              <w:rPr>
                                <w:sz w:val="20"/>
                              </w:rPr>
                            </w:pPr>
                            <w:hyperlink w:anchor="_Pielikums_B._Izmantoto" w:history="1">
                              <w:r>
                                <w:rPr>
                                  <w:rStyle w:val="Hipersaite"/>
                                  <w:sz w:val="18"/>
                                </w:rPr>
                                <w:t>Documents to be used</w:t>
                              </w:r>
                            </w:hyperlink>
                            <w:r>
                              <w:rPr>
                                <w:sz w:val="20"/>
                              </w:rPr>
                              <w:t>:</w:t>
                            </w:r>
                          </w:p>
                          <w:p w14:paraId="6CE60841" w14:textId="77777777" w:rsidR="007D2212" w:rsidRPr="007D2212" w:rsidRDefault="00EF0F26" w:rsidP="008B6449">
                            <w:pPr>
                              <w:pStyle w:val="Sarakstarindkopa"/>
                              <w:numPr>
                                <w:ilvl w:val="0"/>
                                <w:numId w:val="15"/>
                              </w:numPr>
                              <w:rPr>
                                <w:rStyle w:val="Hipersaite"/>
                                <w:rFonts w:ascii="Verdana" w:hAnsi="Verdana"/>
                                <w:color w:val="auto"/>
                                <w:sz w:val="18"/>
                                <w:szCs w:val="18"/>
                                <w:u w:val="none"/>
                              </w:rPr>
                            </w:pPr>
                            <w:r>
                              <w:rPr>
                                <w:rStyle w:val="Hipersaite"/>
                                <w:color w:val="auto"/>
                                <w:sz w:val="18"/>
                                <w:u w:val="none"/>
                              </w:rPr>
                              <w:t>A Guide to Preparing a PPP Project</w:t>
                            </w:r>
                          </w:p>
                          <w:p w14:paraId="235CAF4E" w14:textId="3C31B832" w:rsidR="00EF0F26" w:rsidRPr="00B103B0" w:rsidRDefault="007D2212" w:rsidP="008B6449">
                            <w:pPr>
                              <w:pStyle w:val="Sarakstarindkopa"/>
                              <w:numPr>
                                <w:ilvl w:val="0"/>
                                <w:numId w:val="15"/>
                              </w:numPr>
                              <w:rPr>
                                <w:rFonts w:ascii="Verdana" w:hAnsi="Verdana"/>
                                <w:sz w:val="18"/>
                                <w:szCs w:val="18"/>
                              </w:rPr>
                            </w:pPr>
                            <w:hyperlink r:id="rId83" w:history="1">
                              <w:r w:rsidRPr="007D2212">
                                <w:rPr>
                                  <w:rStyle w:val="Hipersaite"/>
                                  <w:sz w:val="18"/>
                                </w:rPr>
                                <w:t>Risk Tool</w:t>
                              </w:r>
                            </w:hyperlink>
                            <w:r w:rsidR="00EF0F26">
                              <w:rPr>
                                <w:sz w:val="18"/>
                              </w:rPr>
                              <w:t xml:space="preserve"> </w:t>
                            </w:r>
                          </w:p>
                          <w:p w14:paraId="4AEBFBF4" w14:textId="71D03807" w:rsidR="00EF0F26" w:rsidRPr="00B103B0" w:rsidRDefault="00EF0F26" w:rsidP="008B6449">
                            <w:pPr>
                              <w:pStyle w:val="Sarakstarindkopa"/>
                              <w:numPr>
                                <w:ilvl w:val="0"/>
                                <w:numId w:val="15"/>
                              </w:numPr>
                              <w:rPr>
                                <w:rFonts w:ascii="Verdana" w:hAnsi="Verdana"/>
                                <w:sz w:val="18"/>
                                <w:szCs w:val="20"/>
                              </w:rPr>
                            </w:pPr>
                            <w:r>
                              <w:rPr>
                                <w:rStyle w:val="Hipersaite"/>
                                <w:color w:val="auto"/>
                                <w:sz w:val="18"/>
                                <w:u w:val="none"/>
                              </w:rPr>
                              <w:t>A Guide to the Assessment of VFM</w:t>
                            </w:r>
                          </w:p>
                          <w:p w14:paraId="60AC023F" w14:textId="3ED0D90D" w:rsidR="00EF0F26" w:rsidRPr="00B103B0" w:rsidRDefault="00EF0F26" w:rsidP="008B6449">
                            <w:pPr>
                              <w:pStyle w:val="Sarakstarindkopa"/>
                              <w:numPr>
                                <w:ilvl w:val="0"/>
                                <w:numId w:val="15"/>
                              </w:numPr>
                              <w:rPr>
                                <w:rFonts w:ascii="Verdana" w:hAnsi="Verdana"/>
                                <w:sz w:val="18"/>
                                <w:szCs w:val="20"/>
                              </w:rPr>
                            </w:pPr>
                            <w:r>
                              <w:rPr>
                                <w:rStyle w:val="Hipersaite"/>
                                <w:rFonts w:ascii="Verdana" w:hAnsi="Verdana"/>
                                <w:color w:val="auto"/>
                                <w:sz w:val="18"/>
                                <w:u w:val="none"/>
                              </w:rPr>
                              <w:t>Allocating Risks in PPP Contracts</w:t>
                            </w:r>
                            <w:r>
                              <w:rPr>
                                <w:rFonts w:ascii="Verdana" w:hAnsi="Verdana"/>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80A37" id="_x0000_s1135" type="#_x0000_t202" style="position:absolute;left:0;text-align:left;margin-left:7pt;margin-top:54.45pt;width:462.15pt;height:7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" strokecolor="#44546a [3215]">
                <v:textbox>
                  <w:txbxContent>
                    <w:p w14:paraId="6D404C55" w14:textId="38604C44" w:rsidR="00EF0F26" w:rsidRPr="0015600C" w:rsidRDefault="00746F6D" w:rsidP="00B103B0">
                      <w:pPr>
                        <w:spacing w:after="120"/>
                        <w:rPr>
                          <w:sz w:val="20"/>
                        </w:rPr>
                      </w:pPr>
                      <w:hyperlink w:anchor="_Pielikums_B._Izmantoto" w:history="1">
                        <w:r>
                          <w:rPr>
                            <w:rStyle w:val="Hipersaite"/>
                            <w:sz w:val="18"/>
                          </w:rPr>
                          <w:t>Documents to be used</w:t>
                        </w:r>
                      </w:hyperlink>
                      <w:r>
                        <w:rPr>
                          <w:sz w:val="20"/>
                        </w:rPr>
                        <w:t>:</w:t>
                      </w:r>
                    </w:p>
                    <w:p w14:paraId="6CE60841" w14:textId="77777777" w:rsidR="007D2212" w:rsidRPr="007D2212" w:rsidRDefault="00EF0F26" w:rsidP="008B6449">
                      <w:pPr>
                        <w:pStyle w:val="Sarakstarindkopa"/>
                        <w:numPr>
                          <w:ilvl w:val="0"/>
                          <w:numId w:val="15"/>
                        </w:numPr>
                        <w:rPr>
                          <w:rStyle w:val="Hipersaite"/>
                          <w:rFonts w:ascii="Verdana" w:hAnsi="Verdana"/>
                          <w:color w:val="auto"/>
                          <w:sz w:val="18"/>
                          <w:szCs w:val="18"/>
                          <w:u w:val="none"/>
                        </w:rPr>
                      </w:pPr>
                      <w:r>
                        <w:rPr>
                          <w:rStyle w:val="Hipersaite"/>
                          <w:color w:val="auto"/>
                          <w:sz w:val="18"/>
                          <w:u w:val="none"/>
                        </w:rPr>
                        <w:t>A Guide to Preparing a PPP Project</w:t>
                      </w:r>
                    </w:p>
                    <w:p w14:paraId="235CAF4E" w14:textId="3C31B832" w:rsidR="00EF0F26" w:rsidRPr="00B103B0" w:rsidRDefault="007D2212" w:rsidP="008B6449">
                      <w:pPr>
                        <w:pStyle w:val="Sarakstarindkopa"/>
                        <w:numPr>
                          <w:ilvl w:val="0"/>
                          <w:numId w:val="15"/>
                        </w:numPr>
                        <w:rPr>
                          <w:rFonts w:ascii="Verdana" w:hAnsi="Verdana"/>
                          <w:sz w:val="18"/>
                          <w:szCs w:val="18"/>
                        </w:rPr>
                      </w:pPr>
                      <w:hyperlink r:id="rId84" w:history="1">
                        <w:r w:rsidRPr="007D2212">
                          <w:rPr>
                            <w:rStyle w:val="Hipersaite"/>
                            <w:sz w:val="18"/>
                          </w:rPr>
                          <w:t>Risk Tool</w:t>
                        </w:r>
                      </w:hyperlink>
                      <w:r w:rsidR="00EF0F26">
                        <w:rPr>
                          <w:sz w:val="18"/>
                        </w:rPr>
                        <w:t xml:space="preserve"> </w:t>
                      </w:r>
                    </w:p>
                    <w:p w14:paraId="4AEBFBF4" w14:textId="71D03807" w:rsidR="00EF0F26" w:rsidRPr="00B103B0" w:rsidRDefault="00EF0F26" w:rsidP="008B6449">
                      <w:pPr>
                        <w:pStyle w:val="Sarakstarindkopa"/>
                        <w:numPr>
                          <w:ilvl w:val="0"/>
                          <w:numId w:val="15"/>
                        </w:numPr>
                        <w:rPr>
                          <w:rFonts w:ascii="Verdana" w:hAnsi="Verdana"/>
                          <w:sz w:val="18"/>
                          <w:szCs w:val="20"/>
                        </w:rPr>
                      </w:pPr>
                      <w:r>
                        <w:rPr>
                          <w:rStyle w:val="Hipersaite"/>
                          <w:color w:val="auto"/>
                          <w:sz w:val="18"/>
                          <w:u w:val="none"/>
                        </w:rPr>
                        <w:t>A Guide to the Assessment of VFM</w:t>
                      </w:r>
                    </w:p>
                    <w:p w14:paraId="60AC023F" w14:textId="3ED0D90D" w:rsidR="00EF0F26" w:rsidRPr="00B103B0" w:rsidRDefault="00EF0F26" w:rsidP="008B6449">
                      <w:pPr>
                        <w:pStyle w:val="Sarakstarindkopa"/>
                        <w:numPr>
                          <w:ilvl w:val="0"/>
                          <w:numId w:val="15"/>
                        </w:numPr>
                        <w:rPr>
                          <w:rFonts w:ascii="Verdana" w:hAnsi="Verdana"/>
                          <w:sz w:val="18"/>
                          <w:szCs w:val="20"/>
                        </w:rPr>
                      </w:pPr>
                      <w:r>
                        <w:rPr>
                          <w:rStyle w:val="Hipersaite"/>
                          <w:rFonts w:ascii="Verdana" w:hAnsi="Verdana"/>
                          <w:color w:val="auto"/>
                          <w:sz w:val="18"/>
                          <w:u w:val="none"/>
                        </w:rPr>
                        <w:t>Allocating Risks in PPP Contracts</w:t>
                      </w:r>
                      <w:r>
                        <w:rPr>
                          <w:rFonts w:ascii="Verdana" w:hAnsi="Verdana"/>
                          <w:sz w:val="18"/>
                        </w:rPr>
                        <w:t xml:space="preserve"> </w:t>
                      </w:r>
                    </w:p>
                  </w:txbxContent>
                </v:textbox>
                <w10:wrap type="topAndBottom"/>
              </v:shape>
            </w:pict>
          </mc:Fallback>
        </mc:AlternateContent>
      </w:r>
      <w:r w:rsidR="00C72C48" w:rsidRPr="005D3F46">
        <w:rPr>
          <w:noProof/>
          <w:sz w:val="18"/>
        </w:rPr>
        <mc:AlternateContent>
          <mc:Choice Requires="wps">
            <w:drawing>
              <wp:anchor distT="45720" distB="45720" distL="114300" distR="114300" simplePos="0" relativeHeight="251658329" behindDoc="0" locked="0" layoutInCell="1" allowOverlap="1" wp14:anchorId="08D13670" wp14:editId="484F9BDD">
                <wp:simplePos x="0" y="0"/>
                <wp:positionH relativeFrom="column">
                  <wp:posOffset>166976</wp:posOffset>
                </wp:positionH>
                <wp:positionV relativeFrom="paragraph">
                  <wp:posOffset>275121</wp:posOffset>
                </wp:positionV>
                <wp:extent cx="1574359" cy="325755"/>
                <wp:effectExtent l="0" t="0" r="6985" b="0"/>
                <wp:wrapNone/>
                <wp:docPr id="1700113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325755"/>
                        </a:xfrm>
                        <a:prstGeom prst="rect">
                          <a:avLst/>
                        </a:prstGeom>
                        <a:solidFill>
                          <a:schemeClr val="bg1"/>
                        </a:solidFill>
                        <a:ln w="9525">
                          <a:noFill/>
                          <a:miter lim="800000"/>
                          <a:headEnd/>
                          <a:tailEnd/>
                        </a:ln>
                      </wps:spPr>
                      <wps:txbx>
                        <w:txbxContent>
                          <w:p w14:paraId="7C2603BD" w14:textId="77777777" w:rsidR="00C72C48" w:rsidRPr="00447980" w:rsidRDefault="00C72C48" w:rsidP="00C72C48">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13670" id="_x0000_s1136" type="#_x0000_t202" style="position:absolute;left:0;text-align:left;margin-left:13.15pt;margin-top:21.65pt;width:123.95pt;height:25.6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" fillcolor="white [3212]" stroked="f">
                <v:textbox>
                  <w:txbxContent>
                    <w:p w14:paraId="7C2603BD" w14:textId="77777777" w:rsidR="00C72C48" w:rsidRPr="00447980" w:rsidRDefault="00C72C48" w:rsidP="00C72C48">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v:textbox>
              </v:shape>
            </w:pict>
          </mc:Fallback>
        </mc:AlternateContent>
      </w:r>
      <w:r w:rsidR="00395710">
        <w:rPr>
          <w:noProof/>
        </w:rPr>
        <w:drawing>
          <wp:inline distT="0" distB="0" distL="0" distR="0" wp14:anchorId="72CAC20C" wp14:editId="794CAD61">
            <wp:extent cx="5943600" cy="586105"/>
            <wp:effectExtent l="0" t="0" r="0" b="4445"/>
            <wp:docPr id="803084719" name="Picture 80308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586105"/>
                    </a:xfrm>
                    <a:prstGeom prst="rect">
                      <a:avLst/>
                    </a:prstGeom>
                  </pic:spPr>
                </pic:pic>
              </a:graphicData>
            </a:graphic>
          </wp:inline>
        </w:drawing>
      </w:r>
    </w:p>
    <w:p w14:paraId="5325C487" w14:textId="68CDF13B" w:rsidR="402179AB" w:rsidRPr="00251B39" w:rsidRDefault="007D2212" w:rsidP="004F212F">
      <w:pPr>
        <w:ind w:firstLine="90"/>
        <w:jc w:val="both"/>
      </w:pPr>
      <w:r w:rsidRPr="00CC7CF8">
        <w:rPr>
          <w:rFonts w:ascii="Verdana" w:hAnsi="Verdana"/>
          <w:noProof/>
          <w:sz w:val="18"/>
        </w:rPr>
        <mc:AlternateContent>
          <mc:Choice Requires="wps">
            <w:drawing>
              <wp:anchor distT="45720" distB="45720" distL="114300" distR="114300" simplePos="0" relativeHeight="251658377" behindDoc="0" locked="0" layoutInCell="1" allowOverlap="1" wp14:anchorId="7659A89F" wp14:editId="1E2575D3">
                <wp:simplePos x="0" y="0"/>
                <wp:positionH relativeFrom="margin">
                  <wp:posOffset>3473450</wp:posOffset>
                </wp:positionH>
                <wp:positionV relativeFrom="paragraph">
                  <wp:posOffset>970280</wp:posOffset>
                </wp:positionV>
                <wp:extent cx="2546350" cy="568960"/>
                <wp:effectExtent l="19050" t="19050" r="25400" b="21590"/>
                <wp:wrapNone/>
                <wp:docPr id="961673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568960"/>
                        </a:xfrm>
                        <a:prstGeom prst="rect">
                          <a:avLst/>
                        </a:prstGeom>
                        <a:solidFill>
                          <a:srgbClr val="FFFFFF"/>
                        </a:solidFill>
                        <a:ln w="28575">
                          <a:solidFill>
                            <a:schemeClr val="accent1"/>
                          </a:solidFill>
                          <a:miter lim="800000"/>
                          <a:headEnd/>
                          <a:tailEnd/>
                        </a:ln>
                      </wps:spPr>
                      <wps:txbx>
                        <w:txbxContent>
                          <w:p w14:paraId="2F442664" w14:textId="77777777" w:rsidR="00001AF3" w:rsidRDefault="00001AF3" w:rsidP="00001AF3">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64818AB1" w14:textId="76E95B5D" w:rsidR="00001AF3" w:rsidRPr="007217EE" w:rsidRDefault="00001AF3" w:rsidP="00001AF3">
                            <w:pPr>
                              <w:jc w:val="center"/>
                              <w:rPr>
                                <w:b/>
                                <w:bCs/>
                                <w:sz w:val="12"/>
                                <w:szCs w:val="12"/>
                              </w:rPr>
                            </w:pPr>
                            <w:r>
                              <w:rPr>
                                <w:b/>
                                <w:bCs/>
                                <w:sz w:val="12"/>
                                <w:szCs w:val="12"/>
                              </w:rPr>
                              <w:t>PPP project risks identified and optimum risk allocation determined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9A89F" id="_x0000_s1137" type="#_x0000_t202" style="position:absolute;left:0;text-align:left;margin-left:273.5pt;margin-top:76.4pt;width:200.5pt;height:44.8pt;z-index:2516583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" strokecolor="#86bc25 [3204]" strokeweight="2.25pt">
                <v:textbox>
                  <w:txbxContent>
                    <w:p w14:paraId="2F442664" w14:textId="77777777" w:rsidR="00001AF3" w:rsidRDefault="00001AF3" w:rsidP="00001AF3">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64818AB1" w14:textId="76E95B5D" w:rsidR="00001AF3" w:rsidRPr="007217EE" w:rsidRDefault="00001AF3" w:rsidP="00001AF3">
                      <w:pPr>
                        <w:jc w:val="center"/>
                        <w:rPr>
                          <w:b/>
                          <w:bCs/>
                          <w:sz w:val="12"/>
                          <w:szCs w:val="12"/>
                        </w:rPr>
                      </w:pPr>
                      <w:r>
                        <w:rPr>
                          <w:b/>
                          <w:bCs/>
                          <w:sz w:val="12"/>
                          <w:szCs w:val="12"/>
                        </w:rPr>
                        <w:t>PPP project risks identified and optimum risk allocation determined</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376" behindDoc="0" locked="0" layoutInCell="1" allowOverlap="1" wp14:anchorId="070D8381" wp14:editId="6BD12FEC">
                <wp:simplePos x="0" y="0"/>
                <wp:positionH relativeFrom="margin">
                  <wp:posOffset>95250</wp:posOffset>
                </wp:positionH>
                <wp:positionV relativeFrom="paragraph">
                  <wp:posOffset>971550</wp:posOffset>
                </wp:positionV>
                <wp:extent cx="2397760" cy="521639"/>
                <wp:effectExtent l="19050" t="19050" r="21590" b="12065"/>
                <wp:wrapNone/>
                <wp:docPr id="48907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21639"/>
                        </a:xfrm>
                        <a:prstGeom prst="rect">
                          <a:avLst/>
                        </a:prstGeom>
                        <a:solidFill>
                          <a:srgbClr val="FFFFFF"/>
                        </a:solidFill>
                        <a:ln w="28575">
                          <a:solidFill>
                            <a:srgbClr val="92D050"/>
                          </a:solidFill>
                          <a:miter lim="800000"/>
                          <a:headEnd/>
                          <a:tailEnd/>
                        </a:ln>
                      </wps:spPr>
                      <wps:txbx>
                        <w:txbxContent>
                          <w:p w14:paraId="53032555" w14:textId="77777777" w:rsidR="00001AF3" w:rsidRDefault="00001AF3" w:rsidP="00001AF3">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3ABC04F2" w14:textId="71E43375" w:rsidR="00001AF3" w:rsidRPr="007217EE" w:rsidRDefault="00001AF3" w:rsidP="00001AF3">
                            <w:pPr>
                              <w:jc w:val="center"/>
                              <w:rPr>
                                <w:b/>
                                <w:bCs/>
                                <w:sz w:val="12"/>
                                <w:szCs w:val="12"/>
                              </w:rPr>
                            </w:pPr>
                            <w:r>
                              <w:rPr>
                                <w:b/>
                                <w:bCs/>
                                <w:sz w:val="12"/>
                                <w:szCs w:val="12"/>
                              </w:rPr>
                              <w:t xml:space="preserve">Assess potential PPP project risks and their effects on VFM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D8381" id="_x0000_s1138" type="#_x0000_t202" style="position:absolute;left:0;text-align:left;margin-left:7.5pt;margin-top:76.5pt;width:188.8pt;height:41.05pt;z-index:251658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" strokecolor="#92d050" strokeweight="2.25pt">
                <v:textbox>
                  <w:txbxContent>
                    <w:p w14:paraId="53032555" w14:textId="77777777" w:rsidR="00001AF3" w:rsidRDefault="00001AF3" w:rsidP="00001AF3">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3ABC04F2" w14:textId="71E43375" w:rsidR="00001AF3" w:rsidRPr="007217EE" w:rsidRDefault="00001AF3" w:rsidP="00001AF3">
                      <w:pPr>
                        <w:jc w:val="center"/>
                        <w:rPr>
                          <w:b/>
                          <w:bCs/>
                          <w:sz w:val="12"/>
                          <w:szCs w:val="12"/>
                        </w:rPr>
                      </w:pPr>
                      <w:r>
                        <w:rPr>
                          <w:b/>
                          <w:bCs/>
                          <w:sz w:val="12"/>
                          <w:szCs w:val="12"/>
                        </w:rPr>
                        <w:t xml:space="preserve">Assess potential PPP project risks and their effects on VFM </w:t>
                      </w:r>
                    </w:p>
                  </w:txbxContent>
                </v:textbox>
                <w10:wrap anchorx="margin"/>
              </v:shape>
            </w:pict>
          </mc:Fallback>
        </mc:AlternateContent>
      </w:r>
      <w:r w:rsidR="004F212F">
        <w:rPr>
          <w:noProof/>
        </w:rPr>
        <w:drawing>
          <wp:inline distT="0" distB="0" distL="0" distR="0" wp14:anchorId="12D0BFAE" wp14:editId="31FD50D2">
            <wp:extent cx="5943600" cy="554355"/>
            <wp:effectExtent l="0" t="0" r="0" b="0"/>
            <wp:docPr id="733658576" name="Picture 73365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943600" cy="554355"/>
                    </a:xfrm>
                    <a:prstGeom prst="rect">
                      <a:avLst/>
                    </a:prstGeom>
                  </pic:spPr>
                </pic:pic>
              </a:graphicData>
            </a:graphic>
          </wp:inline>
        </w:drawing>
      </w:r>
    </w:p>
    <w:p w14:paraId="5EF00F48" w14:textId="593F85EE" w:rsidR="00CA0BB6" w:rsidRPr="00251B39" w:rsidRDefault="00CA0BB6" w:rsidP="00CA0BB6">
      <w:pPr>
        <w:jc w:val="both"/>
        <w:rPr>
          <w:sz w:val="18"/>
          <w:szCs w:val="18"/>
        </w:rPr>
      </w:pPr>
      <w:r>
        <w:rPr>
          <w:sz w:val="18"/>
        </w:rPr>
        <w:t>Appropriate and well-considered risk identification, assessment and allocation is one of the key factors in achieving value for money in a PPP project.</w:t>
      </w:r>
      <w:r w:rsidR="00001AF3" w:rsidRPr="00001AF3">
        <w:rPr>
          <w:rFonts w:ascii="Verdana" w:hAnsi="Verdana"/>
          <w:noProof/>
          <w:sz w:val="18"/>
        </w:rPr>
        <w:t xml:space="preserve"> </w:t>
      </w:r>
    </w:p>
    <w:p w14:paraId="3A8734F8" w14:textId="62D9D8DE" w:rsidR="00CA0BB6" w:rsidRPr="00251B39" w:rsidRDefault="004F212F" w:rsidP="00CA0BB6">
      <w:pPr>
        <w:jc w:val="both"/>
        <w:rPr>
          <w:sz w:val="18"/>
          <w:szCs w:val="18"/>
        </w:rPr>
      </w:pPr>
      <w:r>
        <w:rPr>
          <w:sz w:val="18"/>
        </w:rPr>
        <w:t xml:space="preserve">PPP project risk analysis includes: </w:t>
      </w:r>
    </w:p>
    <w:p w14:paraId="7007D293" w14:textId="70B56990" w:rsidR="00CA0BB6" w:rsidRPr="00251B39" w:rsidRDefault="66C1D3B3" w:rsidP="008B6449">
      <w:pPr>
        <w:pStyle w:val="Sarakstarindkopa"/>
        <w:numPr>
          <w:ilvl w:val="0"/>
          <w:numId w:val="3"/>
        </w:numPr>
        <w:spacing w:after="0"/>
        <w:contextualSpacing w:val="0"/>
        <w:jc w:val="both"/>
        <w:rPr>
          <w:sz w:val="18"/>
          <w:szCs w:val="18"/>
        </w:rPr>
      </w:pPr>
      <w:r>
        <w:rPr>
          <w:sz w:val="18"/>
        </w:rPr>
        <w:t xml:space="preserve">qualifying (identifying and defining) risks </w:t>
      </w:r>
    </w:p>
    <w:p w14:paraId="7726525A" w14:textId="5F77BF2D" w:rsidR="00CA0BB6" w:rsidRPr="00251B39" w:rsidRDefault="66C1D3B3" w:rsidP="008B6449">
      <w:pPr>
        <w:pStyle w:val="Sarakstarindkopa"/>
        <w:numPr>
          <w:ilvl w:val="0"/>
          <w:numId w:val="3"/>
        </w:numPr>
        <w:spacing w:after="0"/>
        <w:contextualSpacing w:val="0"/>
        <w:jc w:val="both"/>
        <w:rPr>
          <w:sz w:val="18"/>
          <w:szCs w:val="18"/>
        </w:rPr>
      </w:pPr>
      <w:r>
        <w:rPr>
          <w:sz w:val="18"/>
        </w:rPr>
        <w:t xml:space="preserve">quantifying risks (determining impact, probability, baseline and potential costs) </w:t>
      </w:r>
    </w:p>
    <w:p w14:paraId="143237C4" w14:textId="7A9FA8E1" w:rsidR="00CA0BB6" w:rsidRPr="00251B39" w:rsidRDefault="33D8F618" w:rsidP="008B6449">
      <w:pPr>
        <w:pStyle w:val="Sarakstarindkopa"/>
        <w:numPr>
          <w:ilvl w:val="0"/>
          <w:numId w:val="3"/>
        </w:numPr>
        <w:spacing w:after="0"/>
        <w:contextualSpacing w:val="0"/>
        <w:jc w:val="both"/>
        <w:rPr>
          <w:sz w:val="18"/>
          <w:szCs w:val="18"/>
        </w:rPr>
      </w:pPr>
      <w:r>
        <w:rPr>
          <w:sz w:val="18"/>
        </w:rPr>
        <w:t>risk allocation (determining individual and shared risks of the public partner and the private partner)</w:t>
      </w:r>
    </w:p>
    <w:p w14:paraId="6592116C" w14:textId="5A1EAB69" w:rsidR="00CA0BB6" w:rsidRPr="00251B39" w:rsidRDefault="402179AB" w:rsidP="008B6449">
      <w:pPr>
        <w:pStyle w:val="Sarakstarindkopa"/>
        <w:numPr>
          <w:ilvl w:val="0"/>
          <w:numId w:val="3"/>
        </w:numPr>
        <w:spacing w:after="0"/>
        <w:contextualSpacing w:val="0"/>
        <w:jc w:val="both"/>
        <w:rPr>
          <w:sz w:val="18"/>
          <w:szCs w:val="18"/>
        </w:rPr>
      </w:pPr>
      <w:r>
        <w:rPr>
          <w:sz w:val="18"/>
        </w:rPr>
        <w:t>mitigating the impact of risks</w:t>
      </w:r>
    </w:p>
    <w:p w14:paraId="2FB3576B" w14:textId="65A2B5BB" w:rsidR="00977FE4" w:rsidRPr="00977FE4" w:rsidRDefault="33D8F618" w:rsidP="008B6449">
      <w:pPr>
        <w:pStyle w:val="Sarakstarindkopa"/>
        <w:numPr>
          <w:ilvl w:val="0"/>
          <w:numId w:val="3"/>
        </w:numPr>
        <w:contextualSpacing w:val="0"/>
        <w:jc w:val="both"/>
        <w:rPr>
          <w:sz w:val="18"/>
          <w:szCs w:val="18"/>
        </w:rPr>
      </w:pPr>
      <w:r>
        <w:rPr>
          <w:sz w:val="18"/>
        </w:rPr>
        <w:t xml:space="preserve">monitoring and managing risks during the life cycle of the PPP project  </w:t>
      </w:r>
    </w:p>
    <w:p w14:paraId="5656B490" w14:textId="749B5E3E" w:rsidR="00244282" w:rsidRPr="00972C85" w:rsidRDefault="00972C85" w:rsidP="7FCE2F6D">
      <w:pPr>
        <w:jc w:val="both"/>
        <w:rPr>
          <w:sz w:val="18"/>
        </w:rPr>
      </w:pPr>
      <w:r>
        <w:rPr>
          <w:sz w:val="18"/>
        </w:rPr>
        <w:t xml:space="preserve">Within the framework of the Risk Tool and the FEC, the initial qualification, quantification and allocation of the risks of the PPP project shall be carried out. </w:t>
      </w:r>
      <w:r w:rsidR="33D8F618">
        <w:rPr>
          <w:sz w:val="18"/>
        </w:rPr>
        <w:t xml:space="preserve">It </w:t>
      </w:r>
      <w:r w:rsidR="006D5E60">
        <w:rPr>
          <w:sz w:val="18"/>
        </w:rPr>
        <w:t>shall be</w:t>
      </w:r>
      <w:r w:rsidR="33D8F618">
        <w:rPr>
          <w:sz w:val="18"/>
        </w:rPr>
        <w:t xml:space="preserve"> refined and developed during the private partner selection process by identifying and assessing new risks not previously identified in the FEC. </w:t>
      </w:r>
    </w:p>
    <w:p w14:paraId="3B9498CA" w14:textId="34CE6231" w:rsidR="00244282" w:rsidRPr="00251B39" w:rsidRDefault="00972C85" w:rsidP="7FCE2F6D">
      <w:pPr>
        <w:jc w:val="both"/>
        <w:rPr>
          <w:sz w:val="18"/>
          <w:szCs w:val="18"/>
        </w:rPr>
      </w:pPr>
      <w:r>
        <w:rPr>
          <w:noProof/>
          <w:sz w:val="18"/>
        </w:rPr>
        <mc:AlternateContent>
          <mc:Choice Requires="wps">
            <w:drawing>
              <wp:anchor distT="118745" distB="118745" distL="114300" distR="114300" simplePos="0" relativeHeight="251658268" behindDoc="0" locked="0" layoutInCell="0" allowOverlap="1" wp14:anchorId="0A6C6629" wp14:editId="565FB566">
                <wp:simplePos x="0" y="0"/>
                <wp:positionH relativeFrom="column">
                  <wp:posOffset>4616450</wp:posOffset>
                </wp:positionH>
                <wp:positionV relativeFrom="paragraph">
                  <wp:posOffset>45085</wp:posOffset>
                </wp:positionV>
                <wp:extent cx="1314450" cy="9474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47420"/>
                        </a:xfrm>
                        <a:prstGeom prst="rect">
                          <a:avLst/>
                        </a:prstGeom>
                        <a:noFill/>
                        <a:extLst>
                          <a:ext uri="{53640926-AAD7-44D8-BBD7-CCE9431645EC}">
                            <a14:shadowObscured xmlns:a14="http://schemas.microsoft.com/office/drawing/2010/main" val="1"/>
                          </a:ext>
                        </a:extLst>
                      </wps:spPr>
                      <wps:txbx>
                        <w:txbxContent>
                          <w:p w14:paraId="4BD4CB74" w14:textId="5898C0E5" w:rsidR="00EF0F26" w:rsidRPr="00244282" w:rsidRDefault="00EF0F26" w:rsidP="002C2694">
                            <w:pPr>
                              <w:pBdr>
                                <w:left w:val="single" w:sz="12" w:space="9" w:color="86BC25" w:themeColor="accent1"/>
                              </w:pBdr>
                              <w:spacing w:after="0"/>
                              <w:jc w:val="both"/>
                              <w:rPr>
                                <w:i/>
                                <w:color w:val="767171" w:themeColor="background2" w:themeShade="80"/>
                                <w:sz w:val="16"/>
                                <w:szCs w:val="16"/>
                              </w:rPr>
                            </w:pPr>
                            <w:r>
                              <w:rPr>
                                <w:i/>
                                <w:color w:val="767171" w:themeColor="background2" w:themeShade="80"/>
                                <w:sz w:val="16"/>
                              </w:rPr>
                              <w:t xml:space="preserve">The most common risks are included in the </w:t>
                            </w:r>
                            <w:r w:rsidR="00972C85">
                              <w:rPr>
                                <w:i/>
                                <w:color w:val="767171" w:themeColor="background2" w:themeShade="80"/>
                                <w:sz w:val="16"/>
                              </w:rPr>
                              <w:t>Risk Tool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A6C6629" id="_x0000_s1139" type="#_x0000_t202" style="position:absolute;left:0;text-align:left;margin-left:363.5pt;margin-top:3.55pt;width:103.5pt;height:74.6pt;z-index:251658268;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" o:allowincell="f" filled="f" stroked="f">
                <v:textbox style="mso-fit-shape-to-text:t">
                  <w:txbxContent>
                    <w:p w14:paraId="4BD4CB74" w14:textId="5898C0E5" w:rsidR="00EF0F26" w:rsidRPr="00244282" w:rsidRDefault="00EF0F26" w:rsidP="002C2694">
                      <w:pPr>
                        <w:pBdr>
                          <w:left w:val="single" w:sz="12" w:space="9" w:color="86BC25" w:themeColor="accent1"/>
                        </w:pBdr>
                        <w:spacing w:after="0"/>
                        <w:jc w:val="both"/>
                        <w:rPr>
                          <w:i/>
                          <w:color w:val="767171" w:themeColor="background2" w:themeShade="80"/>
                          <w:sz w:val="16"/>
                          <w:szCs w:val="16"/>
                        </w:rPr>
                      </w:pPr>
                      <w:r>
                        <w:rPr>
                          <w:i/>
                          <w:color w:val="767171" w:themeColor="background2" w:themeShade="80"/>
                          <w:sz w:val="16"/>
                        </w:rPr>
                        <w:t xml:space="preserve">The most common risks are included in the </w:t>
                      </w:r>
                      <w:r w:rsidR="00972C85">
                        <w:rPr>
                          <w:i/>
                          <w:color w:val="767171" w:themeColor="background2" w:themeShade="80"/>
                          <w:sz w:val="16"/>
                        </w:rPr>
                        <w:t>Risk Tool</w:t>
                      </w:r>
                    </w:p>
                  </w:txbxContent>
                </v:textbox>
                <w10:wrap type="square"/>
              </v:shape>
            </w:pict>
          </mc:Fallback>
        </mc:AlternateContent>
      </w:r>
      <w:r w:rsidR="00E22E8B">
        <w:rPr>
          <w:sz w:val="18"/>
        </w:rPr>
        <w:t xml:space="preserve">The aim of risk qualification is to anticipate existing and potential threats to the successful implementation of the PPP project. Risks need to be separated into the different phases of the PPP project (e.g. construction and maintenance). Further quantification and allocation of risks shall be made depending on the phase in which it has been qualified. </w:t>
      </w:r>
    </w:p>
    <w:p w14:paraId="783C8C33" w14:textId="421CFE98" w:rsidR="00CA0BB6" w:rsidRPr="00251B39" w:rsidRDefault="5BEC1A52" w:rsidP="00CA0BB6">
      <w:pPr>
        <w:jc w:val="both"/>
        <w:rPr>
          <w:sz w:val="18"/>
          <w:szCs w:val="18"/>
        </w:rPr>
      </w:pPr>
      <w:r>
        <w:rPr>
          <w:sz w:val="18"/>
        </w:rPr>
        <w:t>One or more of the following approaches may be used to qualify risks:</w:t>
      </w:r>
    </w:p>
    <w:p w14:paraId="45DB786A" w14:textId="700A5150" w:rsidR="00CA0BB6" w:rsidRPr="00DF7888" w:rsidRDefault="00CA0BB6" w:rsidP="008B6449">
      <w:pPr>
        <w:pStyle w:val="Sarakstarindkopa"/>
        <w:numPr>
          <w:ilvl w:val="0"/>
          <w:numId w:val="14"/>
        </w:numPr>
        <w:jc w:val="both"/>
        <w:rPr>
          <w:sz w:val="18"/>
          <w:szCs w:val="18"/>
        </w:rPr>
      </w:pPr>
      <w:r>
        <w:rPr>
          <w:b/>
          <w:sz w:val="18"/>
        </w:rPr>
        <w:t>risk Working Group meetings.</w:t>
      </w:r>
      <w:r>
        <w:rPr>
          <w:sz w:val="18"/>
        </w:rPr>
        <w:t xml:space="preserve"> Their aim is to identify the main risks, their likelihood of occurrence and potential impact. In order to get the broadest possible view of the risks, it is important to include all parties involved in the structuring and planning of the PPP project - the public partner's project team, the consultants involved, if any, other stakeholders and representatives of the end-users - in the working group. </w:t>
      </w:r>
    </w:p>
    <w:p w14:paraId="789861A7" w14:textId="1EFE02C3" w:rsidR="00DF7888" w:rsidRPr="00251B39" w:rsidRDefault="00DF7888" w:rsidP="008B6449">
      <w:pPr>
        <w:pStyle w:val="Sarakstarindkopa"/>
        <w:numPr>
          <w:ilvl w:val="0"/>
          <w:numId w:val="14"/>
        </w:numPr>
        <w:jc w:val="both"/>
        <w:rPr>
          <w:sz w:val="18"/>
          <w:szCs w:val="18"/>
        </w:rPr>
      </w:pPr>
      <w:r w:rsidRPr="00DF7888">
        <w:rPr>
          <w:b/>
          <w:bCs/>
          <w:sz w:val="18"/>
          <w:szCs w:val="18"/>
        </w:rPr>
        <w:t>list of risks in the Risk Tool.</w:t>
      </w:r>
      <w:r w:rsidRPr="00DF7888">
        <w:rPr>
          <w:sz w:val="18"/>
          <w:szCs w:val="18"/>
        </w:rPr>
        <w:t xml:space="preserve"> The Risk Tool contains a sufficiently broad list of risks for initial risk identification. However, the specific circumstances of each PPP project sh</w:t>
      </w:r>
      <w:r w:rsidR="00D810B1">
        <w:rPr>
          <w:sz w:val="18"/>
          <w:szCs w:val="18"/>
        </w:rPr>
        <w:t>all</w:t>
      </w:r>
      <w:r w:rsidRPr="00DF7888">
        <w:rPr>
          <w:sz w:val="18"/>
          <w:szCs w:val="18"/>
        </w:rPr>
        <w:t xml:space="preserve"> be taken into account when preparing the risk analysis for </w:t>
      </w:r>
      <w:r w:rsidR="00D810B1">
        <w:rPr>
          <w:sz w:val="18"/>
          <w:szCs w:val="18"/>
        </w:rPr>
        <w:t>the</w:t>
      </w:r>
      <w:r w:rsidRPr="00DF7888">
        <w:rPr>
          <w:sz w:val="18"/>
          <w:szCs w:val="18"/>
        </w:rPr>
        <w:t xml:space="preserve"> PPP project. The list of risks in Table 2 is not exhaustive and the risks in the table are presented to give a general idea, and not all risks in the table will be applicable to </w:t>
      </w:r>
      <w:r w:rsidR="00A936EE">
        <w:rPr>
          <w:sz w:val="18"/>
          <w:szCs w:val="18"/>
        </w:rPr>
        <w:t>the</w:t>
      </w:r>
      <w:r w:rsidRPr="00DF7888">
        <w:rPr>
          <w:sz w:val="18"/>
          <w:szCs w:val="18"/>
        </w:rPr>
        <w:t xml:space="preserve"> specific PPP project (</w:t>
      </w:r>
      <w:r w:rsidR="00A936EE" w:rsidRPr="00713FA2">
        <w:rPr>
          <w:i/>
          <w:iCs/>
          <w:sz w:val="18"/>
          <w:szCs w:val="18"/>
        </w:rPr>
        <w:t>with updates to the FEC Guidelines on 25.09.2024</w:t>
      </w:r>
      <w:r w:rsidRPr="00DF7888">
        <w:rPr>
          <w:sz w:val="18"/>
          <w:szCs w:val="18"/>
        </w:rPr>
        <w:t>).</w:t>
      </w:r>
    </w:p>
    <w:p w14:paraId="2144AD0A" w14:textId="700A5150" w:rsidR="00CA0BB6" w:rsidRPr="00251B39" w:rsidRDefault="7FCE2F6D" w:rsidP="008B6449">
      <w:pPr>
        <w:pStyle w:val="Sarakstarindkopa"/>
        <w:numPr>
          <w:ilvl w:val="0"/>
          <w:numId w:val="14"/>
        </w:numPr>
        <w:jc w:val="both"/>
        <w:rPr>
          <w:b/>
          <w:sz w:val="18"/>
          <w:szCs w:val="18"/>
        </w:rPr>
      </w:pPr>
      <w:r>
        <w:rPr>
          <w:b/>
          <w:sz w:val="18"/>
        </w:rPr>
        <w:t xml:space="preserve">experience of similar projects. </w:t>
      </w:r>
      <w:r>
        <w:rPr>
          <w:sz w:val="18"/>
        </w:rPr>
        <w:t>It provides</w:t>
      </w:r>
      <w:r>
        <w:rPr>
          <w:b/>
          <w:sz w:val="18"/>
        </w:rPr>
        <w:t xml:space="preserve"> </w:t>
      </w:r>
      <w:r>
        <w:rPr>
          <w:sz w:val="18"/>
        </w:rPr>
        <w:t>empirical data on actual risks and their costs. This makes it possible, for example, to identify a previously unrecognised risk.</w:t>
      </w:r>
    </w:p>
    <w:p w14:paraId="06643253" w14:textId="2E0C9CE6" w:rsidR="00CA0BB6" w:rsidRPr="00244282" w:rsidRDefault="00CA0BB6" w:rsidP="008B6449">
      <w:pPr>
        <w:pStyle w:val="Sarakstarindkopa"/>
        <w:numPr>
          <w:ilvl w:val="0"/>
          <w:numId w:val="14"/>
        </w:numPr>
        <w:jc w:val="both"/>
        <w:rPr>
          <w:b/>
          <w:sz w:val="18"/>
          <w:szCs w:val="18"/>
        </w:rPr>
      </w:pPr>
      <w:r>
        <w:rPr>
          <w:b/>
          <w:sz w:val="18"/>
        </w:rPr>
        <w:lastRenderedPageBreak/>
        <w:t xml:space="preserve">related documents and guidelines. </w:t>
      </w:r>
      <w:r>
        <w:rPr>
          <w:sz w:val="18"/>
        </w:rPr>
        <w:t xml:space="preserve">Standardised Partnership Contracts, various EPEC and Eurostat guidelines on statistical treatment of Partnership Contracts can prove to be an important source of information on the potential risks of PPP projects and their allocation.  </w:t>
      </w:r>
    </w:p>
    <w:tbl>
      <w:tblPr>
        <w:tblStyle w:val="Reatabula"/>
        <w:tblW w:w="5000" w:type="pct"/>
        <w:tblBorders>
          <w:top w:val="single" w:sz="4" w:space="0" w:color="75787B" w:themeColor="accent6"/>
          <w:left w:val="single" w:sz="4" w:space="0" w:color="75787B" w:themeColor="accent6"/>
          <w:bottom w:val="single" w:sz="4" w:space="0" w:color="75787B" w:themeColor="accent6"/>
          <w:right w:val="single" w:sz="4" w:space="0" w:color="75787B" w:themeColor="accent6"/>
          <w:insideH w:val="single" w:sz="4" w:space="0" w:color="75787B" w:themeColor="accent6"/>
          <w:insideV w:val="single" w:sz="4" w:space="0" w:color="75787B" w:themeColor="accent6"/>
        </w:tblBorders>
        <w:tblLook w:val="04A0" w:firstRow="1" w:lastRow="0" w:firstColumn="1" w:lastColumn="0" w:noHBand="0" w:noVBand="1"/>
      </w:tblPr>
      <w:tblGrid>
        <w:gridCol w:w="2965"/>
        <w:gridCol w:w="6385"/>
      </w:tblGrid>
      <w:tr w:rsidR="00103218" w:rsidRPr="00251B39" w14:paraId="36B9313D" w14:textId="77777777" w:rsidTr="04AF385F">
        <w:trPr>
          <w:tblHeader/>
        </w:trPr>
        <w:tc>
          <w:tcPr>
            <w:tcW w:w="2965" w:type="dxa"/>
            <w:shd w:val="clear" w:color="auto" w:fill="C7C8CA" w:themeFill="accent6" w:themeFillTint="66"/>
          </w:tcPr>
          <w:p w14:paraId="2ED06B82" w14:textId="04FAA95C" w:rsidR="00103218" w:rsidRPr="00251B39" w:rsidRDefault="00103218" w:rsidP="0015600C">
            <w:pPr>
              <w:spacing w:before="120" w:after="120"/>
              <w:jc w:val="both"/>
              <w:rPr>
                <w:b/>
                <w:sz w:val="16"/>
                <w:szCs w:val="16"/>
              </w:rPr>
            </w:pPr>
            <w:r>
              <w:rPr>
                <w:b/>
                <w:sz w:val="16"/>
              </w:rPr>
              <w:t>Risk category</w:t>
            </w:r>
          </w:p>
        </w:tc>
        <w:tc>
          <w:tcPr>
            <w:tcW w:w="6385" w:type="dxa"/>
            <w:shd w:val="clear" w:color="auto" w:fill="C7C8CA" w:themeFill="accent6" w:themeFillTint="66"/>
          </w:tcPr>
          <w:p w14:paraId="0CB92B27" w14:textId="0ACB5864" w:rsidR="00103218" w:rsidRPr="00251B39" w:rsidRDefault="002155A9" w:rsidP="0015600C">
            <w:pPr>
              <w:spacing w:before="120" w:after="120"/>
              <w:jc w:val="both"/>
              <w:rPr>
                <w:b/>
                <w:sz w:val="16"/>
                <w:szCs w:val="16"/>
              </w:rPr>
            </w:pPr>
            <w:r>
              <w:rPr>
                <w:b/>
                <w:sz w:val="16"/>
              </w:rPr>
              <w:t>Risk description</w:t>
            </w:r>
          </w:p>
        </w:tc>
      </w:tr>
      <w:tr w:rsidR="00103218" w:rsidRPr="00251B39" w14:paraId="15568ABE" w14:textId="77777777" w:rsidTr="00714F21">
        <w:tc>
          <w:tcPr>
            <w:tcW w:w="9350" w:type="dxa"/>
            <w:gridSpan w:val="2"/>
            <w:shd w:val="clear" w:color="auto" w:fill="E3E3E4" w:themeFill="accent6" w:themeFillTint="33"/>
            <w:vAlign w:val="center"/>
          </w:tcPr>
          <w:p w14:paraId="74023FCD" w14:textId="4694F4AA" w:rsidR="00103218" w:rsidRPr="00251B39" w:rsidRDefault="002155A9" w:rsidP="0015600C">
            <w:pPr>
              <w:spacing w:before="120" w:after="120"/>
              <w:rPr>
                <w:b/>
                <w:sz w:val="16"/>
                <w:szCs w:val="16"/>
              </w:rPr>
            </w:pPr>
            <w:r>
              <w:rPr>
                <w:b/>
                <w:sz w:val="16"/>
              </w:rPr>
              <w:t>Location risks</w:t>
            </w:r>
          </w:p>
        </w:tc>
      </w:tr>
      <w:tr w:rsidR="00103218" w:rsidRPr="00746F6D" w14:paraId="5AFC0A0B" w14:textId="77777777" w:rsidTr="04AF385F">
        <w:tc>
          <w:tcPr>
            <w:tcW w:w="2965" w:type="dxa"/>
          </w:tcPr>
          <w:p w14:paraId="34156AD3" w14:textId="7DE17939" w:rsidR="00103218" w:rsidRPr="00251B39" w:rsidRDefault="00103218" w:rsidP="0015600C">
            <w:pPr>
              <w:spacing w:before="60" w:after="60"/>
              <w:jc w:val="both"/>
              <w:rPr>
                <w:sz w:val="16"/>
                <w:szCs w:val="16"/>
              </w:rPr>
            </w:pPr>
            <w:r>
              <w:rPr>
                <w:sz w:val="16"/>
              </w:rPr>
              <w:t>Acquisition/use of land/buildings</w:t>
            </w:r>
          </w:p>
        </w:tc>
        <w:tc>
          <w:tcPr>
            <w:tcW w:w="6385" w:type="dxa"/>
          </w:tcPr>
          <w:p w14:paraId="34AFE54A" w14:textId="727DF353" w:rsidR="00103218" w:rsidRPr="00251B39" w:rsidRDefault="00103218" w:rsidP="0015600C">
            <w:pPr>
              <w:spacing w:before="60" w:after="60"/>
              <w:jc w:val="both"/>
              <w:rPr>
                <w:sz w:val="16"/>
                <w:szCs w:val="16"/>
              </w:rPr>
            </w:pPr>
            <w:r>
              <w:rPr>
                <w:sz w:val="16"/>
              </w:rPr>
              <w:t>Availability of the land/building to be used for the project; ownership or usufruct rights, obligations arising therefrom; loss of land value due to the project.</w:t>
            </w:r>
          </w:p>
        </w:tc>
      </w:tr>
      <w:tr w:rsidR="00103218" w:rsidRPr="00746F6D" w14:paraId="7CBA6C23" w14:textId="77777777" w:rsidTr="04AF385F">
        <w:tc>
          <w:tcPr>
            <w:tcW w:w="2965" w:type="dxa"/>
          </w:tcPr>
          <w:p w14:paraId="121A30C0" w14:textId="44FF3661" w:rsidR="00103218" w:rsidRPr="00251B39" w:rsidRDefault="003D484E" w:rsidP="0015600C">
            <w:pPr>
              <w:spacing w:before="60" w:after="60"/>
              <w:jc w:val="both"/>
              <w:rPr>
                <w:sz w:val="16"/>
                <w:szCs w:val="16"/>
              </w:rPr>
            </w:pPr>
            <w:r>
              <w:rPr>
                <w:sz w:val="16"/>
              </w:rPr>
              <w:t>Consents/permits</w:t>
            </w:r>
          </w:p>
        </w:tc>
        <w:tc>
          <w:tcPr>
            <w:tcW w:w="6385" w:type="dxa"/>
          </w:tcPr>
          <w:p w14:paraId="11CCE6AE" w14:textId="2E7239F7" w:rsidR="00103218" w:rsidRPr="00251B39" w:rsidRDefault="473A5817" w:rsidP="0015600C">
            <w:pPr>
              <w:spacing w:before="60" w:after="60"/>
              <w:jc w:val="both"/>
              <w:rPr>
                <w:sz w:val="16"/>
                <w:szCs w:val="16"/>
              </w:rPr>
            </w:pPr>
            <w:r>
              <w:rPr>
                <w:sz w:val="16"/>
              </w:rPr>
              <w:t>Construction permit; environmental impact assessment; negative outcome of public consultation on environmental impact; public objection to project implementation on the proposed land.</w:t>
            </w:r>
          </w:p>
        </w:tc>
      </w:tr>
      <w:tr w:rsidR="00103218" w:rsidRPr="00746F6D" w14:paraId="6D5B525F" w14:textId="77777777" w:rsidTr="04AF385F">
        <w:tc>
          <w:tcPr>
            <w:tcW w:w="2965" w:type="dxa"/>
          </w:tcPr>
          <w:p w14:paraId="16D36D22" w14:textId="5F455B62" w:rsidR="00103218" w:rsidRPr="00251B39" w:rsidRDefault="003D484E" w:rsidP="0015600C">
            <w:pPr>
              <w:spacing w:before="60" w:after="60"/>
              <w:jc w:val="both"/>
              <w:rPr>
                <w:sz w:val="16"/>
                <w:szCs w:val="16"/>
              </w:rPr>
            </w:pPr>
            <w:r>
              <w:rPr>
                <w:sz w:val="16"/>
              </w:rPr>
              <w:t>Access to land, easements</w:t>
            </w:r>
          </w:p>
        </w:tc>
        <w:tc>
          <w:tcPr>
            <w:tcW w:w="6385" w:type="dxa"/>
          </w:tcPr>
          <w:p w14:paraId="480E72EA" w14:textId="3DB1129D" w:rsidR="00103218" w:rsidRPr="00251B39" w:rsidRDefault="009B5A9A" w:rsidP="0015600C">
            <w:pPr>
              <w:spacing w:before="60" w:after="60"/>
              <w:jc w:val="both"/>
              <w:rPr>
                <w:sz w:val="16"/>
                <w:szCs w:val="16"/>
              </w:rPr>
            </w:pPr>
            <w:r>
              <w:rPr>
                <w:sz w:val="16"/>
              </w:rPr>
              <w:t>Cost and delay risks caused by the need to obtain consents or permits from adjacent landowners.</w:t>
            </w:r>
          </w:p>
        </w:tc>
      </w:tr>
      <w:tr w:rsidR="00103218" w:rsidRPr="00746F6D" w14:paraId="0146F506" w14:textId="77777777" w:rsidTr="04AF385F">
        <w:tc>
          <w:tcPr>
            <w:tcW w:w="2965" w:type="dxa"/>
          </w:tcPr>
          <w:p w14:paraId="6373FEC5" w14:textId="3FCDF733" w:rsidR="00103218" w:rsidRPr="00714F21" w:rsidRDefault="009B5A9A" w:rsidP="00714F21">
            <w:pPr>
              <w:spacing w:before="60" w:after="60"/>
              <w:jc w:val="both"/>
              <w:rPr>
                <w:sz w:val="16"/>
              </w:rPr>
            </w:pPr>
            <w:r>
              <w:rPr>
                <w:sz w:val="16"/>
              </w:rPr>
              <w:t>Geological and topographical conditions</w:t>
            </w:r>
          </w:p>
        </w:tc>
        <w:tc>
          <w:tcPr>
            <w:tcW w:w="6385" w:type="dxa"/>
          </w:tcPr>
          <w:p w14:paraId="7401B9EF" w14:textId="5B912F1A" w:rsidR="00103218" w:rsidRPr="00714F21" w:rsidRDefault="009B5A9A" w:rsidP="00714F21">
            <w:pPr>
              <w:spacing w:before="60" w:after="60"/>
              <w:jc w:val="both"/>
              <w:rPr>
                <w:sz w:val="16"/>
              </w:rPr>
            </w:pPr>
            <w:r>
              <w:rPr>
                <w:sz w:val="16"/>
              </w:rPr>
              <w:t>Geological and topographical conditions on the construction site, which may lead to additional costs, including due to inaccurate site surveys or the use of outdated data.</w:t>
            </w:r>
          </w:p>
        </w:tc>
      </w:tr>
      <w:tr w:rsidR="00103218" w:rsidRPr="00746F6D" w14:paraId="385FBF36" w14:textId="77777777" w:rsidTr="04AF385F">
        <w:tc>
          <w:tcPr>
            <w:tcW w:w="2965" w:type="dxa"/>
          </w:tcPr>
          <w:p w14:paraId="1A328993" w14:textId="4F8F97DF" w:rsidR="00103218" w:rsidRPr="00251B39" w:rsidRDefault="00B6400A" w:rsidP="0015600C">
            <w:pPr>
              <w:spacing w:before="60" w:after="60"/>
              <w:jc w:val="both"/>
              <w:rPr>
                <w:sz w:val="16"/>
                <w:szCs w:val="16"/>
              </w:rPr>
            </w:pPr>
            <w:r>
              <w:rPr>
                <w:sz w:val="16"/>
              </w:rPr>
              <w:t>Environmental and social risks</w:t>
            </w:r>
          </w:p>
        </w:tc>
        <w:tc>
          <w:tcPr>
            <w:tcW w:w="6385" w:type="dxa"/>
          </w:tcPr>
          <w:p w14:paraId="1FD48E31" w14:textId="3CA498CB" w:rsidR="00103218" w:rsidRPr="00251B39" w:rsidRDefault="00B6400A" w:rsidP="0015600C">
            <w:pPr>
              <w:spacing w:before="60" w:after="60"/>
              <w:jc w:val="both"/>
              <w:rPr>
                <w:sz w:val="16"/>
                <w:szCs w:val="16"/>
              </w:rPr>
            </w:pPr>
            <w:r>
              <w:rPr>
                <w:sz w:val="16"/>
              </w:rPr>
              <w:t>Latent environmental conditions (e.g. previous pollution) and any risk of further harm to the environment or society.</w:t>
            </w:r>
          </w:p>
        </w:tc>
      </w:tr>
      <w:tr w:rsidR="00103218" w:rsidRPr="00746F6D" w14:paraId="4D25930E" w14:textId="77777777" w:rsidTr="04AF385F">
        <w:tc>
          <w:tcPr>
            <w:tcW w:w="2965" w:type="dxa"/>
          </w:tcPr>
          <w:p w14:paraId="4C374ECC" w14:textId="5964E243" w:rsidR="00103218" w:rsidRPr="00251B39" w:rsidRDefault="79D8D9DC" w:rsidP="0015600C">
            <w:pPr>
              <w:spacing w:before="60" w:after="60"/>
              <w:jc w:val="both"/>
              <w:rPr>
                <w:sz w:val="16"/>
                <w:szCs w:val="16"/>
              </w:rPr>
            </w:pPr>
            <w:r>
              <w:rPr>
                <w:sz w:val="16"/>
              </w:rPr>
              <w:t>Public service risk</w:t>
            </w:r>
          </w:p>
        </w:tc>
        <w:tc>
          <w:tcPr>
            <w:tcW w:w="6385" w:type="dxa"/>
          </w:tcPr>
          <w:p w14:paraId="00D6D7E8" w14:textId="49A2087A" w:rsidR="00103218" w:rsidRPr="00251B39" w:rsidRDefault="002215CB" w:rsidP="0015600C">
            <w:pPr>
              <w:spacing w:before="60" w:after="60"/>
              <w:jc w:val="both"/>
              <w:rPr>
                <w:sz w:val="16"/>
                <w:szCs w:val="16"/>
              </w:rPr>
            </w:pPr>
            <w:r>
              <w:rPr>
                <w:sz w:val="16"/>
              </w:rPr>
              <w:t xml:space="preserve">Risk of default by the third party responsible for the connection to the public service network; risk of temporary diversion of public services during construction or damage to existing public service networks (e.g. pipes and cables on site). </w:t>
            </w:r>
          </w:p>
        </w:tc>
      </w:tr>
      <w:tr w:rsidR="002215CB" w:rsidRPr="00746F6D" w14:paraId="2AEC80D8" w14:textId="77777777" w:rsidTr="04AF385F">
        <w:tc>
          <w:tcPr>
            <w:tcW w:w="2965" w:type="dxa"/>
          </w:tcPr>
          <w:p w14:paraId="0C07D040" w14:textId="71C0D031" w:rsidR="002215CB" w:rsidRPr="00251B39" w:rsidRDefault="002215CB" w:rsidP="0015600C">
            <w:pPr>
              <w:spacing w:before="60" w:after="60"/>
              <w:jc w:val="both"/>
              <w:rPr>
                <w:sz w:val="16"/>
                <w:szCs w:val="16"/>
              </w:rPr>
            </w:pPr>
            <w:r>
              <w:rPr>
                <w:sz w:val="16"/>
              </w:rPr>
              <w:t>Archaeological finds</w:t>
            </w:r>
          </w:p>
        </w:tc>
        <w:tc>
          <w:tcPr>
            <w:tcW w:w="6385" w:type="dxa"/>
          </w:tcPr>
          <w:p w14:paraId="22CCEEA9" w14:textId="7DF46476" w:rsidR="002215CB" w:rsidRPr="00251B39" w:rsidRDefault="0004484C" w:rsidP="0015600C">
            <w:pPr>
              <w:spacing w:before="60" w:after="60"/>
              <w:jc w:val="both"/>
              <w:rPr>
                <w:sz w:val="16"/>
                <w:szCs w:val="16"/>
              </w:rPr>
            </w:pPr>
            <w:r>
              <w:rPr>
                <w:sz w:val="16"/>
              </w:rPr>
              <w:t>Cost and delay risks associated with possible archaeological finds on the site</w:t>
            </w:r>
          </w:p>
        </w:tc>
      </w:tr>
      <w:tr w:rsidR="002215CB" w:rsidRPr="00746F6D" w14:paraId="41B8FF4A" w14:textId="77777777" w:rsidTr="04AF385F">
        <w:tc>
          <w:tcPr>
            <w:tcW w:w="2965" w:type="dxa"/>
          </w:tcPr>
          <w:p w14:paraId="5B1B0099" w14:textId="3B56DE77" w:rsidR="002215CB" w:rsidRPr="00251B39" w:rsidRDefault="00AF300A" w:rsidP="0015600C">
            <w:pPr>
              <w:spacing w:before="60" w:after="60"/>
              <w:rPr>
                <w:sz w:val="16"/>
                <w:szCs w:val="16"/>
              </w:rPr>
            </w:pPr>
            <w:r>
              <w:rPr>
                <w:sz w:val="16"/>
              </w:rPr>
              <w:t>Use of vacated property</w:t>
            </w:r>
          </w:p>
        </w:tc>
        <w:tc>
          <w:tcPr>
            <w:tcW w:w="6385" w:type="dxa"/>
          </w:tcPr>
          <w:p w14:paraId="35F2E146" w14:textId="5412DA9C" w:rsidR="002215CB" w:rsidRPr="00251B39" w:rsidRDefault="00AF300A" w:rsidP="0015600C">
            <w:pPr>
              <w:spacing w:before="60" w:after="60"/>
              <w:jc w:val="both"/>
              <w:rPr>
                <w:sz w:val="16"/>
                <w:szCs w:val="16"/>
              </w:rPr>
            </w:pPr>
            <w:r>
              <w:rPr>
                <w:sz w:val="16"/>
              </w:rPr>
              <w:t xml:space="preserve">Risks associated with the continued use of the vacated property; risks associated with the relocation of users from previous premises to new premises. </w:t>
            </w:r>
          </w:p>
        </w:tc>
      </w:tr>
      <w:tr w:rsidR="00AF300A" w:rsidRPr="00251B39" w14:paraId="56C37392" w14:textId="77777777" w:rsidTr="00714F21">
        <w:tc>
          <w:tcPr>
            <w:tcW w:w="9350" w:type="dxa"/>
            <w:gridSpan w:val="2"/>
            <w:shd w:val="clear" w:color="auto" w:fill="E3E3E4" w:themeFill="accent6" w:themeFillTint="33"/>
          </w:tcPr>
          <w:p w14:paraId="71AB615F" w14:textId="30F73785" w:rsidR="00AF300A" w:rsidRPr="00251B39" w:rsidRDefault="00E74115" w:rsidP="0015600C">
            <w:pPr>
              <w:spacing w:before="120" w:after="120"/>
              <w:rPr>
                <w:sz w:val="16"/>
                <w:szCs w:val="16"/>
              </w:rPr>
            </w:pPr>
            <w:r>
              <w:rPr>
                <w:b/>
                <w:sz w:val="16"/>
              </w:rPr>
              <w:t>Construction risks</w:t>
            </w:r>
          </w:p>
        </w:tc>
      </w:tr>
      <w:tr w:rsidR="002215CB" w:rsidRPr="00746F6D" w14:paraId="2B4E7AF3" w14:textId="77777777" w:rsidTr="04AF385F">
        <w:tc>
          <w:tcPr>
            <w:tcW w:w="2965" w:type="dxa"/>
          </w:tcPr>
          <w:p w14:paraId="4AFBA946" w14:textId="56C31313" w:rsidR="002215CB" w:rsidRPr="00251B39" w:rsidRDefault="00C33555" w:rsidP="0015600C">
            <w:pPr>
              <w:spacing w:before="60" w:after="60"/>
              <w:jc w:val="both"/>
              <w:rPr>
                <w:sz w:val="16"/>
                <w:szCs w:val="16"/>
              </w:rPr>
            </w:pPr>
            <w:r>
              <w:rPr>
                <w:sz w:val="16"/>
              </w:rPr>
              <w:t>Designing</w:t>
            </w:r>
          </w:p>
        </w:tc>
        <w:tc>
          <w:tcPr>
            <w:tcW w:w="6385" w:type="dxa"/>
          </w:tcPr>
          <w:p w14:paraId="3399B8AC" w14:textId="365DC2F0" w:rsidR="002215CB" w:rsidRPr="00251B39" w:rsidRDefault="00A93DD7" w:rsidP="0015600C">
            <w:pPr>
              <w:spacing w:before="60" w:after="60"/>
              <w:jc w:val="both"/>
              <w:rPr>
                <w:sz w:val="16"/>
                <w:szCs w:val="16"/>
              </w:rPr>
            </w:pPr>
            <w:r>
              <w:rPr>
                <w:sz w:val="16"/>
              </w:rPr>
              <w:t>Risks related to inappropriate project design, project changes and delays in project approval.</w:t>
            </w:r>
          </w:p>
        </w:tc>
      </w:tr>
      <w:tr w:rsidR="002215CB" w:rsidRPr="00746F6D" w14:paraId="1C2B7E8C" w14:textId="77777777" w:rsidTr="04AF385F">
        <w:tc>
          <w:tcPr>
            <w:tcW w:w="2965" w:type="dxa"/>
          </w:tcPr>
          <w:p w14:paraId="6BCDCC9B" w14:textId="20ABD792" w:rsidR="002215CB" w:rsidRPr="00251B39" w:rsidRDefault="00C33555" w:rsidP="0015600C">
            <w:pPr>
              <w:spacing w:before="60" w:after="60"/>
              <w:jc w:val="both"/>
              <w:rPr>
                <w:sz w:val="16"/>
                <w:szCs w:val="16"/>
              </w:rPr>
            </w:pPr>
            <w:r>
              <w:rPr>
                <w:sz w:val="16"/>
              </w:rPr>
              <w:t>Construction</w:t>
            </w:r>
          </w:p>
        </w:tc>
        <w:tc>
          <w:tcPr>
            <w:tcW w:w="6385" w:type="dxa"/>
          </w:tcPr>
          <w:p w14:paraId="512F3C5C" w14:textId="44DBEC73" w:rsidR="002215CB" w:rsidRPr="00251B39" w:rsidRDefault="007806E4" w:rsidP="0015600C">
            <w:pPr>
              <w:spacing w:before="60" w:after="60"/>
              <w:jc w:val="both"/>
              <w:rPr>
                <w:sz w:val="16"/>
                <w:szCs w:val="16"/>
              </w:rPr>
            </w:pPr>
            <w:r>
              <w:rPr>
                <w:sz w:val="16"/>
              </w:rPr>
              <w:t>Risks related to construction cost overruns and delays in completion and commissioning (e.g. labour disputes, poor project management and supervision, inadequate quality, defects, problems with subcontractors, permitting).</w:t>
            </w:r>
          </w:p>
        </w:tc>
      </w:tr>
      <w:tr w:rsidR="00E11B79" w:rsidRPr="00746F6D" w14:paraId="7F272F31" w14:textId="77777777" w:rsidTr="04AF385F">
        <w:tc>
          <w:tcPr>
            <w:tcW w:w="2965" w:type="dxa"/>
          </w:tcPr>
          <w:p w14:paraId="0D4DE005" w14:textId="05B7127D" w:rsidR="00E11B79" w:rsidRPr="00251B39" w:rsidRDefault="00E11B79" w:rsidP="0015600C">
            <w:pPr>
              <w:spacing w:before="60" w:after="60"/>
              <w:jc w:val="both"/>
              <w:rPr>
                <w:sz w:val="16"/>
                <w:szCs w:val="16"/>
              </w:rPr>
            </w:pPr>
            <w:r>
              <w:rPr>
                <w:sz w:val="16"/>
              </w:rPr>
              <w:t>Technology</w:t>
            </w:r>
          </w:p>
        </w:tc>
        <w:tc>
          <w:tcPr>
            <w:tcW w:w="6385" w:type="dxa"/>
          </w:tcPr>
          <w:p w14:paraId="7F97D72F" w14:textId="19B30759" w:rsidR="00E11B79" w:rsidRPr="00251B39" w:rsidRDefault="00E11B79" w:rsidP="0015600C">
            <w:pPr>
              <w:spacing w:before="60" w:after="60"/>
              <w:jc w:val="both"/>
              <w:rPr>
                <w:sz w:val="16"/>
                <w:szCs w:val="16"/>
              </w:rPr>
            </w:pPr>
            <w:r>
              <w:rPr>
                <w:sz w:val="16"/>
              </w:rPr>
              <w:t>Risks associated with the use of new and untested technologies in construction or operation, with the obsolescence of the technology used, with the emergence of new technologies that change the way the asset is used.</w:t>
            </w:r>
          </w:p>
        </w:tc>
      </w:tr>
      <w:tr w:rsidR="00E11B79" w:rsidRPr="00746F6D" w14:paraId="75AB60E7" w14:textId="77777777" w:rsidTr="04AF385F">
        <w:tc>
          <w:tcPr>
            <w:tcW w:w="2965" w:type="dxa"/>
          </w:tcPr>
          <w:p w14:paraId="008B956F" w14:textId="413509B7" w:rsidR="00E11B79" w:rsidRPr="00251B39" w:rsidRDefault="00FF1E8E" w:rsidP="0015600C">
            <w:pPr>
              <w:spacing w:before="60" w:after="60"/>
              <w:jc w:val="both"/>
              <w:rPr>
                <w:sz w:val="16"/>
                <w:szCs w:val="16"/>
              </w:rPr>
            </w:pPr>
            <w:r>
              <w:rPr>
                <w:sz w:val="16"/>
              </w:rPr>
              <w:t>Supply risk</w:t>
            </w:r>
          </w:p>
        </w:tc>
        <w:tc>
          <w:tcPr>
            <w:tcW w:w="6385" w:type="dxa"/>
          </w:tcPr>
          <w:p w14:paraId="05F07B00" w14:textId="2C2288B1" w:rsidR="00E11B79" w:rsidRPr="00251B39" w:rsidRDefault="001D419B" w:rsidP="0015600C">
            <w:pPr>
              <w:spacing w:before="60" w:after="60"/>
              <w:jc w:val="both"/>
              <w:rPr>
                <w:sz w:val="16"/>
                <w:szCs w:val="16"/>
              </w:rPr>
            </w:pPr>
            <w:r>
              <w:rPr>
                <w:sz w:val="16"/>
              </w:rPr>
              <w:t>The risk of default by the private partner, as well as risks related to the quality, cost and timing of the resources supplied.</w:t>
            </w:r>
          </w:p>
        </w:tc>
      </w:tr>
      <w:tr w:rsidR="00E11B79" w:rsidRPr="00746F6D" w14:paraId="301F968E" w14:textId="77777777" w:rsidTr="04AF385F">
        <w:tc>
          <w:tcPr>
            <w:tcW w:w="2965" w:type="dxa"/>
          </w:tcPr>
          <w:p w14:paraId="7A1F4180" w14:textId="46215B0D" w:rsidR="00E11B79" w:rsidRPr="00251B39" w:rsidRDefault="002A1128" w:rsidP="0015600C">
            <w:pPr>
              <w:spacing w:before="60" w:after="60"/>
              <w:rPr>
                <w:sz w:val="16"/>
                <w:szCs w:val="16"/>
              </w:rPr>
            </w:pPr>
            <w:r>
              <w:rPr>
                <w:sz w:val="16"/>
              </w:rPr>
              <w:t>Revenue risk during construction</w:t>
            </w:r>
          </w:p>
        </w:tc>
        <w:tc>
          <w:tcPr>
            <w:tcW w:w="6385" w:type="dxa"/>
          </w:tcPr>
          <w:p w14:paraId="1C20C483" w14:textId="58979962" w:rsidR="00E11B79" w:rsidRPr="00251B39" w:rsidRDefault="002A1128" w:rsidP="0015600C">
            <w:pPr>
              <w:spacing w:before="60" w:after="60"/>
              <w:jc w:val="both"/>
              <w:rPr>
                <w:sz w:val="16"/>
                <w:szCs w:val="16"/>
              </w:rPr>
            </w:pPr>
            <w:r>
              <w:rPr>
                <w:sz w:val="16"/>
              </w:rPr>
              <w:t xml:space="preserve">Risk that the revenue earmarked to finance the project will be lower than expected in case the project involves taking over and operating an existing project as part of an overall project (e.g. renovation/extension of an existing facility).  </w:t>
            </w:r>
          </w:p>
        </w:tc>
      </w:tr>
      <w:tr w:rsidR="00067F62" w:rsidRPr="00251B39" w14:paraId="092DA523" w14:textId="77777777" w:rsidTr="00714F21">
        <w:tc>
          <w:tcPr>
            <w:tcW w:w="9350" w:type="dxa"/>
            <w:gridSpan w:val="2"/>
            <w:shd w:val="clear" w:color="auto" w:fill="E3E3E4" w:themeFill="accent6" w:themeFillTint="33"/>
          </w:tcPr>
          <w:p w14:paraId="4AAA7A96" w14:textId="4ED8C02D" w:rsidR="00067F62" w:rsidRPr="00251B39" w:rsidRDefault="00067F62" w:rsidP="0015600C">
            <w:pPr>
              <w:spacing w:before="120" w:after="120"/>
              <w:rPr>
                <w:sz w:val="16"/>
                <w:szCs w:val="16"/>
              </w:rPr>
            </w:pPr>
            <w:r>
              <w:rPr>
                <w:b/>
                <w:sz w:val="16"/>
              </w:rPr>
              <w:t>Operational/ performance risks</w:t>
            </w:r>
          </w:p>
        </w:tc>
      </w:tr>
      <w:tr w:rsidR="00E11B79" w:rsidRPr="00746F6D" w14:paraId="7D830E51" w14:textId="77777777" w:rsidTr="04AF385F">
        <w:tc>
          <w:tcPr>
            <w:tcW w:w="2965" w:type="dxa"/>
          </w:tcPr>
          <w:p w14:paraId="4D8029B6" w14:textId="36802ECC" w:rsidR="00E11B79" w:rsidRPr="00251B39" w:rsidRDefault="00067F62" w:rsidP="0015600C">
            <w:pPr>
              <w:spacing w:before="60" w:after="60"/>
              <w:jc w:val="both"/>
              <w:rPr>
                <w:sz w:val="16"/>
                <w:szCs w:val="16"/>
              </w:rPr>
            </w:pPr>
            <w:r>
              <w:rPr>
                <w:sz w:val="16"/>
              </w:rPr>
              <w:t>Availability risk</w:t>
            </w:r>
          </w:p>
        </w:tc>
        <w:tc>
          <w:tcPr>
            <w:tcW w:w="6385" w:type="dxa"/>
          </w:tcPr>
          <w:p w14:paraId="48CD0D46" w14:textId="2F21F429" w:rsidR="00E11B79" w:rsidRPr="00251B39" w:rsidRDefault="00067F62" w:rsidP="0015600C">
            <w:pPr>
              <w:spacing w:before="60" w:after="60"/>
              <w:jc w:val="both"/>
              <w:rPr>
                <w:sz w:val="16"/>
                <w:szCs w:val="16"/>
              </w:rPr>
            </w:pPr>
            <w:r>
              <w:rPr>
                <w:sz w:val="16"/>
              </w:rPr>
              <w:t>The risk of disruption to the availability of the site and/or the provision of services in accordance with the quality standards, scope and price of the contract.</w:t>
            </w:r>
          </w:p>
        </w:tc>
      </w:tr>
      <w:tr w:rsidR="00E11B79" w:rsidRPr="00746F6D" w14:paraId="25F284DA" w14:textId="77777777" w:rsidTr="04AF385F">
        <w:tc>
          <w:tcPr>
            <w:tcW w:w="2965" w:type="dxa"/>
          </w:tcPr>
          <w:p w14:paraId="15A8F871" w14:textId="79AE90C9" w:rsidR="00E11B79" w:rsidRPr="00251B39" w:rsidRDefault="00E309B9" w:rsidP="0015600C">
            <w:pPr>
              <w:spacing w:before="60" w:after="60"/>
              <w:rPr>
                <w:sz w:val="16"/>
                <w:szCs w:val="16"/>
              </w:rPr>
            </w:pPr>
            <w:r>
              <w:rPr>
                <w:sz w:val="16"/>
              </w:rPr>
              <w:t>Operational, performance and maintenance risk</w:t>
            </w:r>
          </w:p>
        </w:tc>
        <w:tc>
          <w:tcPr>
            <w:tcW w:w="6385" w:type="dxa"/>
          </w:tcPr>
          <w:p w14:paraId="0E4FC984" w14:textId="12002D77" w:rsidR="00E11B79" w:rsidRPr="00251B39" w:rsidRDefault="00E309B9" w:rsidP="0015600C">
            <w:pPr>
              <w:spacing w:before="60" w:after="60"/>
              <w:jc w:val="both"/>
              <w:rPr>
                <w:sz w:val="16"/>
                <w:szCs w:val="16"/>
              </w:rPr>
            </w:pPr>
            <w:r>
              <w:rPr>
                <w:sz w:val="16"/>
              </w:rPr>
              <w:t>Risks related to planned cost increases during the maintenance phase (service provision, maintenance of the facility at the required quality level, accidents, pollution, higher than planned demand/use levels)</w:t>
            </w:r>
          </w:p>
        </w:tc>
      </w:tr>
      <w:tr w:rsidR="00E11B79" w:rsidRPr="00746F6D" w14:paraId="4BFBC59F" w14:textId="77777777" w:rsidTr="04AF385F">
        <w:tc>
          <w:tcPr>
            <w:tcW w:w="2965" w:type="dxa"/>
          </w:tcPr>
          <w:p w14:paraId="3D6A80FA" w14:textId="362E36EE" w:rsidR="00E11B79" w:rsidRPr="00251B39" w:rsidRDefault="00D34224" w:rsidP="0015600C">
            <w:pPr>
              <w:spacing w:before="60" w:after="60"/>
              <w:jc w:val="both"/>
              <w:rPr>
                <w:sz w:val="16"/>
                <w:szCs w:val="16"/>
              </w:rPr>
            </w:pPr>
            <w:r>
              <w:rPr>
                <w:sz w:val="16"/>
              </w:rPr>
              <w:lastRenderedPageBreak/>
              <w:t>Demand risk</w:t>
            </w:r>
          </w:p>
        </w:tc>
        <w:tc>
          <w:tcPr>
            <w:tcW w:w="6385" w:type="dxa"/>
          </w:tcPr>
          <w:p w14:paraId="39E2C712" w14:textId="01CC77C3" w:rsidR="00E11B79" w:rsidRPr="00251B39" w:rsidRDefault="00D34224" w:rsidP="0015600C">
            <w:pPr>
              <w:spacing w:before="60" w:after="60"/>
              <w:jc w:val="both"/>
              <w:rPr>
                <w:sz w:val="16"/>
                <w:szCs w:val="16"/>
              </w:rPr>
            </w:pPr>
            <w:r>
              <w:rPr>
                <w:sz w:val="16"/>
              </w:rPr>
              <w:t>Risks associated with lower than expected demand (e.g. due to demographic changes or a decrease in users' ability to pay). In the case of availability payments, the public partner runs the risk of paying for an amount of services that is not actually needed. In the case of end-user charges, this creates a revenue risk (see below).</w:t>
            </w:r>
          </w:p>
        </w:tc>
      </w:tr>
      <w:tr w:rsidR="00F57FDC" w:rsidRPr="00746F6D" w14:paraId="3B4F25C8" w14:textId="77777777" w:rsidTr="04AF385F">
        <w:tc>
          <w:tcPr>
            <w:tcW w:w="2965" w:type="dxa"/>
          </w:tcPr>
          <w:p w14:paraId="0B3FA063" w14:textId="7144EFD1" w:rsidR="00F57FDC" w:rsidRPr="00251B39" w:rsidRDefault="00F57FDC" w:rsidP="0015600C">
            <w:pPr>
              <w:spacing w:before="60" w:after="60"/>
              <w:jc w:val="both"/>
              <w:rPr>
                <w:sz w:val="16"/>
                <w:szCs w:val="16"/>
              </w:rPr>
            </w:pPr>
            <w:r>
              <w:rPr>
                <w:sz w:val="16"/>
              </w:rPr>
              <w:t>Revenue risk</w:t>
            </w:r>
          </w:p>
        </w:tc>
        <w:tc>
          <w:tcPr>
            <w:tcW w:w="6385" w:type="dxa"/>
          </w:tcPr>
          <w:p w14:paraId="22F8BBF3" w14:textId="1B6D9C9E" w:rsidR="00F57FDC" w:rsidRPr="00251B39" w:rsidRDefault="0058247C" w:rsidP="0015600C">
            <w:pPr>
              <w:spacing w:before="60" w:after="60"/>
              <w:jc w:val="both"/>
              <w:rPr>
                <w:sz w:val="16"/>
                <w:szCs w:val="16"/>
              </w:rPr>
            </w:pPr>
            <w:r>
              <w:rPr>
                <w:sz w:val="16"/>
              </w:rPr>
              <w:t>In the case of user charges, the risk that revenues will be lower than expected due to lower demand, changes in users' ability/willingness to pay or price changes. In the case of availability payments, the risk that the public partner will not be able to meet its financial commitments in the long term.</w:t>
            </w:r>
          </w:p>
        </w:tc>
      </w:tr>
      <w:tr w:rsidR="00F57FDC" w:rsidRPr="00746F6D" w14:paraId="074DB4DD" w14:textId="77777777" w:rsidTr="04AF385F">
        <w:tc>
          <w:tcPr>
            <w:tcW w:w="2965" w:type="dxa"/>
          </w:tcPr>
          <w:p w14:paraId="3270B48A" w14:textId="4AF42363" w:rsidR="00F57FDC" w:rsidRPr="00251B39" w:rsidRDefault="0058247C" w:rsidP="0015600C">
            <w:pPr>
              <w:spacing w:before="60" w:after="60"/>
              <w:jc w:val="both"/>
              <w:rPr>
                <w:sz w:val="16"/>
                <w:szCs w:val="16"/>
              </w:rPr>
            </w:pPr>
            <w:r>
              <w:rPr>
                <w:sz w:val="16"/>
              </w:rPr>
              <w:t>Cooperation risk</w:t>
            </w:r>
          </w:p>
        </w:tc>
        <w:tc>
          <w:tcPr>
            <w:tcW w:w="6385" w:type="dxa"/>
          </w:tcPr>
          <w:p w14:paraId="28CACE01" w14:textId="2E5CD07C" w:rsidR="00F57FDC" w:rsidRPr="00251B39" w:rsidRDefault="00795681" w:rsidP="0015600C">
            <w:pPr>
              <w:spacing w:before="60" w:after="60"/>
              <w:jc w:val="both"/>
              <w:rPr>
                <w:sz w:val="16"/>
                <w:szCs w:val="16"/>
              </w:rPr>
            </w:pPr>
            <w:r>
              <w:rPr>
                <w:sz w:val="16"/>
              </w:rPr>
              <w:t xml:space="preserve">Risks related to the dependency of the PPP project on other services provided by the public partner, as well as risks related to the cooperation between all project stakeholders. </w:t>
            </w:r>
          </w:p>
        </w:tc>
      </w:tr>
      <w:tr w:rsidR="00F57FDC" w:rsidRPr="00746F6D" w14:paraId="365C5CB3" w14:textId="77777777" w:rsidTr="04AF385F">
        <w:tc>
          <w:tcPr>
            <w:tcW w:w="2965" w:type="dxa"/>
          </w:tcPr>
          <w:p w14:paraId="0D6E51B1" w14:textId="393C8341" w:rsidR="00F57FDC" w:rsidRPr="00251B39" w:rsidRDefault="002D3DD9" w:rsidP="0015600C">
            <w:pPr>
              <w:spacing w:before="60" w:after="60"/>
              <w:rPr>
                <w:sz w:val="16"/>
                <w:szCs w:val="16"/>
              </w:rPr>
            </w:pPr>
            <w:r>
              <w:rPr>
                <w:sz w:val="16"/>
              </w:rPr>
              <w:t>Defining the project specification</w:t>
            </w:r>
          </w:p>
        </w:tc>
        <w:tc>
          <w:tcPr>
            <w:tcW w:w="6385" w:type="dxa"/>
          </w:tcPr>
          <w:p w14:paraId="5C40A08E" w14:textId="137A1166" w:rsidR="00F57FDC" w:rsidRPr="00251B39" w:rsidRDefault="002D3DD9" w:rsidP="0015600C">
            <w:pPr>
              <w:spacing w:before="60" w:after="60"/>
              <w:jc w:val="both"/>
              <w:rPr>
                <w:sz w:val="16"/>
                <w:szCs w:val="16"/>
              </w:rPr>
            </w:pPr>
            <w:r>
              <w:rPr>
                <w:sz w:val="16"/>
              </w:rPr>
              <w:t>Risk related to insufficient definition of the project specification (e.g. quality of service delivery, payment mechanism).</w:t>
            </w:r>
          </w:p>
        </w:tc>
      </w:tr>
      <w:tr w:rsidR="00F57FDC" w:rsidRPr="00746F6D" w14:paraId="25E57704" w14:textId="77777777" w:rsidTr="04AF385F">
        <w:tc>
          <w:tcPr>
            <w:tcW w:w="2965" w:type="dxa"/>
          </w:tcPr>
          <w:p w14:paraId="0E800414" w14:textId="67CA33DE" w:rsidR="00F57FDC" w:rsidRPr="00251B39" w:rsidRDefault="00FF1E8E" w:rsidP="0015600C">
            <w:pPr>
              <w:spacing w:before="60" w:after="60"/>
              <w:jc w:val="both"/>
              <w:rPr>
                <w:sz w:val="16"/>
                <w:szCs w:val="16"/>
              </w:rPr>
            </w:pPr>
            <w:r>
              <w:rPr>
                <w:sz w:val="16"/>
              </w:rPr>
              <w:t>Supply risk</w:t>
            </w:r>
          </w:p>
        </w:tc>
        <w:tc>
          <w:tcPr>
            <w:tcW w:w="6385" w:type="dxa"/>
          </w:tcPr>
          <w:p w14:paraId="602927B7" w14:textId="6E32F517" w:rsidR="00F57FDC" w:rsidRPr="00251B39" w:rsidRDefault="00FF1E8E" w:rsidP="0015600C">
            <w:pPr>
              <w:spacing w:before="60" w:after="60"/>
              <w:jc w:val="both"/>
              <w:rPr>
                <w:sz w:val="16"/>
                <w:szCs w:val="16"/>
              </w:rPr>
            </w:pPr>
            <w:r>
              <w:rPr>
                <w:sz w:val="16"/>
              </w:rPr>
              <w:t>Risks related to the availability or price of resources needed to provide the service (e.g. availability and price of electricity), increase in insurance costs; risk of default by the private partner; changes in the composition or shareholding of the private partner.</w:t>
            </w:r>
          </w:p>
        </w:tc>
      </w:tr>
      <w:tr w:rsidR="00F57FDC" w:rsidRPr="00746F6D" w14:paraId="26147132" w14:textId="77777777" w:rsidTr="04AF385F">
        <w:tc>
          <w:tcPr>
            <w:tcW w:w="2965" w:type="dxa"/>
          </w:tcPr>
          <w:p w14:paraId="2E0386CD" w14:textId="03A2CED5" w:rsidR="00F57FDC" w:rsidRPr="00251B39" w:rsidRDefault="00E74115" w:rsidP="0015600C">
            <w:pPr>
              <w:spacing w:before="60" w:after="60"/>
              <w:jc w:val="both"/>
              <w:rPr>
                <w:sz w:val="16"/>
                <w:szCs w:val="16"/>
              </w:rPr>
            </w:pPr>
            <w:r>
              <w:rPr>
                <w:sz w:val="16"/>
              </w:rPr>
              <w:t>Residual value</w:t>
            </w:r>
          </w:p>
        </w:tc>
        <w:tc>
          <w:tcPr>
            <w:tcW w:w="6385" w:type="dxa"/>
          </w:tcPr>
          <w:p w14:paraId="58573EE3" w14:textId="72310FA0" w:rsidR="00F57FDC" w:rsidRPr="00251B39" w:rsidRDefault="00E74115" w:rsidP="0015600C">
            <w:pPr>
              <w:spacing w:before="60" w:after="60"/>
              <w:jc w:val="both"/>
              <w:rPr>
                <w:sz w:val="16"/>
                <w:szCs w:val="16"/>
              </w:rPr>
            </w:pPr>
            <w:r>
              <w:rPr>
                <w:sz w:val="16"/>
              </w:rPr>
              <w:t>Risk related to the quality and residual value of the facility at the end of the Partnership Contract.</w:t>
            </w:r>
          </w:p>
        </w:tc>
      </w:tr>
      <w:tr w:rsidR="00E74115" w:rsidRPr="00251B39" w14:paraId="5DF06BD6" w14:textId="77777777" w:rsidTr="00714F21">
        <w:tc>
          <w:tcPr>
            <w:tcW w:w="9350" w:type="dxa"/>
            <w:gridSpan w:val="2"/>
            <w:shd w:val="clear" w:color="auto" w:fill="E3E3E4" w:themeFill="accent6" w:themeFillTint="33"/>
          </w:tcPr>
          <w:p w14:paraId="2EFDE96B" w14:textId="75921644" w:rsidR="00E74115" w:rsidRPr="00251B39" w:rsidRDefault="00E74115" w:rsidP="0015600C">
            <w:pPr>
              <w:spacing w:before="120" w:after="120"/>
              <w:rPr>
                <w:sz w:val="16"/>
                <w:szCs w:val="16"/>
              </w:rPr>
            </w:pPr>
            <w:r>
              <w:rPr>
                <w:b/>
                <w:sz w:val="16"/>
              </w:rPr>
              <w:t>Economic/financial risks</w:t>
            </w:r>
          </w:p>
        </w:tc>
      </w:tr>
      <w:tr w:rsidR="00E74115" w:rsidRPr="00251B39" w14:paraId="799B90CA" w14:textId="77777777" w:rsidTr="04AF385F">
        <w:tc>
          <w:tcPr>
            <w:tcW w:w="2965" w:type="dxa"/>
          </w:tcPr>
          <w:p w14:paraId="748B1E44" w14:textId="65048031" w:rsidR="00E74115" w:rsidRPr="00251B39" w:rsidRDefault="006D54D3" w:rsidP="0015600C">
            <w:pPr>
              <w:spacing w:before="60" w:after="60"/>
              <w:jc w:val="both"/>
              <w:rPr>
                <w:sz w:val="16"/>
                <w:szCs w:val="16"/>
              </w:rPr>
            </w:pPr>
            <w:r>
              <w:rPr>
                <w:sz w:val="16"/>
              </w:rPr>
              <w:t>Financing risk</w:t>
            </w:r>
          </w:p>
        </w:tc>
        <w:tc>
          <w:tcPr>
            <w:tcW w:w="6385" w:type="dxa"/>
          </w:tcPr>
          <w:p w14:paraId="18150633" w14:textId="2E22B7ED" w:rsidR="00E74115" w:rsidRPr="00251B39" w:rsidRDefault="006D54D3" w:rsidP="0015600C">
            <w:pPr>
              <w:spacing w:before="60" w:after="60"/>
              <w:jc w:val="both"/>
              <w:rPr>
                <w:sz w:val="16"/>
                <w:szCs w:val="16"/>
              </w:rPr>
            </w:pPr>
            <w:r>
              <w:rPr>
                <w:sz w:val="16"/>
              </w:rPr>
              <w:t xml:space="preserve">The risk associated with </w:t>
            </w:r>
            <w:r w:rsidR="00D52A77">
              <w:rPr>
                <w:sz w:val="16"/>
              </w:rPr>
              <w:t xml:space="preserve">attracting </w:t>
            </w:r>
            <w:r>
              <w:rPr>
                <w:sz w:val="16"/>
              </w:rPr>
              <w:t xml:space="preserve">financing (loan and equity) on acceptable terms before financial close.  </w:t>
            </w:r>
          </w:p>
        </w:tc>
      </w:tr>
      <w:tr w:rsidR="00E74115" w:rsidRPr="00746F6D" w14:paraId="64326284" w14:textId="77777777" w:rsidTr="04AF385F">
        <w:tc>
          <w:tcPr>
            <w:tcW w:w="2965" w:type="dxa"/>
          </w:tcPr>
          <w:p w14:paraId="712CC71D" w14:textId="5CAEC356" w:rsidR="00E74115" w:rsidRPr="00251B39" w:rsidRDefault="00E74115" w:rsidP="0015600C">
            <w:pPr>
              <w:spacing w:before="60" w:after="60"/>
              <w:jc w:val="both"/>
              <w:rPr>
                <w:sz w:val="16"/>
                <w:szCs w:val="16"/>
              </w:rPr>
            </w:pPr>
            <w:r>
              <w:rPr>
                <w:sz w:val="16"/>
              </w:rPr>
              <w:t>Interest rate risk</w:t>
            </w:r>
          </w:p>
        </w:tc>
        <w:tc>
          <w:tcPr>
            <w:tcW w:w="6385" w:type="dxa"/>
          </w:tcPr>
          <w:p w14:paraId="5DDF8D08" w14:textId="32675966" w:rsidR="00E74115" w:rsidRPr="00251B39" w:rsidRDefault="004B673B" w:rsidP="0015600C">
            <w:pPr>
              <w:spacing w:before="60" w:after="60"/>
              <w:jc w:val="both"/>
              <w:rPr>
                <w:sz w:val="16"/>
                <w:szCs w:val="16"/>
              </w:rPr>
            </w:pPr>
            <w:r>
              <w:rPr>
                <w:sz w:val="16"/>
              </w:rPr>
              <w:t>Risks related to interest rate fluctuations and unexpected changes.</w:t>
            </w:r>
          </w:p>
        </w:tc>
      </w:tr>
      <w:tr w:rsidR="00E74115" w:rsidRPr="00251B39" w14:paraId="0FFF0301" w14:textId="77777777" w:rsidTr="04AF385F">
        <w:tc>
          <w:tcPr>
            <w:tcW w:w="2965" w:type="dxa"/>
          </w:tcPr>
          <w:p w14:paraId="33290AC0" w14:textId="6F26949B" w:rsidR="00E74115" w:rsidRPr="00251B39" w:rsidRDefault="00E74115" w:rsidP="0015600C">
            <w:pPr>
              <w:spacing w:before="60" w:after="60"/>
              <w:jc w:val="both"/>
              <w:rPr>
                <w:sz w:val="16"/>
                <w:szCs w:val="16"/>
              </w:rPr>
            </w:pPr>
            <w:r>
              <w:rPr>
                <w:sz w:val="16"/>
              </w:rPr>
              <w:t>Inflation risk</w:t>
            </w:r>
          </w:p>
        </w:tc>
        <w:tc>
          <w:tcPr>
            <w:tcW w:w="6385" w:type="dxa"/>
          </w:tcPr>
          <w:p w14:paraId="488E23C4" w14:textId="26AF8927" w:rsidR="00E74115" w:rsidRPr="00251B39" w:rsidRDefault="004B673B" w:rsidP="0015600C">
            <w:pPr>
              <w:spacing w:before="60" w:after="60"/>
              <w:jc w:val="both"/>
              <w:rPr>
                <w:sz w:val="16"/>
                <w:szCs w:val="16"/>
              </w:rPr>
            </w:pPr>
            <w:r>
              <w:rPr>
                <w:sz w:val="16"/>
              </w:rPr>
              <w:t>The risk that resource prices rise faster than expected.</w:t>
            </w:r>
          </w:p>
        </w:tc>
      </w:tr>
      <w:tr w:rsidR="00E74115" w:rsidRPr="00746F6D" w14:paraId="6D391DD7" w14:textId="77777777" w:rsidTr="04AF385F">
        <w:tc>
          <w:tcPr>
            <w:tcW w:w="2965" w:type="dxa"/>
          </w:tcPr>
          <w:p w14:paraId="7925A15B" w14:textId="1F6C762A" w:rsidR="00E74115" w:rsidRPr="00251B39" w:rsidRDefault="00E74115" w:rsidP="0015600C">
            <w:pPr>
              <w:spacing w:before="60" w:after="60"/>
              <w:jc w:val="both"/>
              <w:rPr>
                <w:sz w:val="16"/>
                <w:szCs w:val="16"/>
              </w:rPr>
            </w:pPr>
            <w:r>
              <w:rPr>
                <w:sz w:val="16"/>
              </w:rPr>
              <w:t>Currency risk</w:t>
            </w:r>
          </w:p>
        </w:tc>
        <w:tc>
          <w:tcPr>
            <w:tcW w:w="6385" w:type="dxa"/>
          </w:tcPr>
          <w:p w14:paraId="33AC1F4A" w14:textId="42A47E0C" w:rsidR="00E74115" w:rsidRPr="00251B39" w:rsidRDefault="004B673B" w:rsidP="0015600C">
            <w:pPr>
              <w:spacing w:before="60" w:after="60"/>
              <w:jc w:val="both"/>
              <w:rPr>
                <w:sz w:val="16"/>
                <w:szCs w:val="16"/>
              </w:rPr>
            </w:pPr>
            <w:r>
              <w:rPr>
                <w:sz w:val="16"/>
              </w:rPr>
              <w:t xml:space="preserve">Risk related to exchange rate fluctuations. </w:t>
            </w:r>
          </w:p>
        </w:tc>
      </w:tr>
      <w:tr w:rsidR="004B673B" w:rsidRPr="00251B39" w14:paraId="6B689FBE" w14:textId="77777777" w:rsidTr="00714F21">
        <w:tc>
          <w:tcPr>
            <w:tcW w:w="9350" w:type="dxa"/>
            <w:gridSpan w:val="2"/>
            <w:shd w:val="clear" w:color="auto" w:fill="E3E3E4" w:themeFill="accent6" w:themeFillTint="33"/>
          </w:tcPr>
          <w:p w14:paraId="2D3528BD" w14:textId="04C3C8B9" w:rsidR="004B673B" w:rsidRPr="00251B39" w:rsidRDefault="004B673B" w:rsidP="0015600C">
            <w:pPr>
              <w:spacing w:before="120" w:after="120"/>
              <w:rPr>
                <w:sz w:val="16"/>
                <w:szCs w:val="16"/>
              </w:rPr>
            </w:pPr>
            <w:r>
              <w:rPr>
                <w:b/>
                <w:sz w:val="16"/>
              </w:rPr>
              <w:t xml:space="preserve">Political, legal, </w:t>
            </w:r>
            <w:r>
              <w:rPr>
                <w:b/>
                <w:i/>
                <w:sz w:val="16"/>
              </w:rPr>
              <w:t>force majeure</w:t>
            </w:r>
            <w:r>
              <w:rPr>
                <w:b/>
                <w:sz w:val="16"/>
              </w:rPr>
              <w:t xml:space="preserve"> and other risks</w:t>
            </w:r>
          </w:p>
        </w:tc>
      </w:tr>
      <w:tr w:rsidR="004B673B" w:rsidRPr="00251B39" w14:paraId="35F64D53" w14:textId="77777777" w:rsidTr="04AF385F">
        <w:tc>
          <w:tcPr>
            <w:tcW w:w="2965" w:type="dxa"/>
          </w:tcPr>
          <w:p w14:paraId="66D2A7C9" w14:textId="2CDFA514" w:rsidR="004B673B" w:rsidRPr="00251B39" w:rsidRDefault="004B673B" w:rsidP="0015600C">
            <w:pPr>
              <w:spacing w:before="60" w:after="60"/>
              <w:jc w:val="both"/>
              <w:rPr>
                <w:sz w:val="16"/>
                <w:szCs w:val="16"/>
              </w:rPr>
            </w:pPr>
            <w:r>
              <w:rPr>
                <w:sz w:val="16"/>
              </w:rPr>
              <w:t xml:space="preserve">Political risk </w:t>
            </w:r>
          </w:p>
        </w:tc>
        <w:tc>
          <w:tcPr>
            <w:tcW w:w="6385" w:type="dxa"/>
          </w:tcPr>
          <w:p w14:paraId="3A7BAF06" w14:textId="7DA46D21" w:rsidR="004B673B" w:rsidRPr="00251B39" w:rsidRDefault="00F31E7A" w:rsidP="0015600C">
            <w:pPr>
              <w:spacing w:before="60" w:after="60"/>
              <w:jc w:val="both"/>
              <w:rPr>
                <w:sz w:val="16"/>
                <w:szCs w:val="16"/>
              </w:rPr>
            </w:pPr>
            <w:r>
              <w:rPr>
                <w:sz w:val="16"/>
              </w:rPr>
              <w:t>Risks related to political activity in the country.</w:t>
            </w:r>
          </w:p>
        </w:tc>
      </w:tr>
      <w:tr w:rsidR="004B673B" w:rsidRPr="00746F6D" w14:paraId="05505A36" w14:textId="77777777" w:rsidTr="04AF385F">
        <w:trPr>
          <w:trHeight w:val="818"/>
        </w:trPr>
        <w:tc>
          <w:tcPr>
            <w:tcW w:w="2965" w:type="dxa"/>
          </w:tcPr>
          <w:p w14:paraId="4CC48CD8" w14:textId="28749235" w:rsidR="004B673B" w:rsidRPr="00251B39" w:rsidRDefault="00F31E7A" w:rsidP="0015600C">
            <w:pPr>
              <w:spacing w:before="60" w:after="60"/>
              <w:jc w:val="both"/>
              <w:rPr>
                <w:sz w:val="16"/>
                <w:szCs w:val="16"/>
              </w:rPr>
            </w:pPr>
            <w:r>
              <w:rPr>
                <w:sz w:val="16"/>
              </w:rPr>
              <w:t>Legal risk</w:t>
            </w:r>
          </w:p>
        </w:tc>
        <w:tc>
          <w:tcPr>
            <w:tcW w:w="6385" w:type="dxa"/>
          </w:tcPr>
          <w:p w14:paraId="2B5C0C4B" w14:textId="7F737C5E" w:rsidR="004B673B" w:rsidRPr="00251B39" w:rsidRDefault="00F31E7A" w:rsidP="0015600C">
            <w:pPr>
              <w:spacing w:before="60" w:after="60"/>
              <w:jc w:val="both"/>
              <w:rPr>
                <w:sz w:val="16"/>
                <w:szCs w:val="16"/>
              </w:rPr>
            </w:pPr>
            <w:r>
              <w:rPr>
                <w:sz w:val="16"/>
              </w:rPr>
              <w:t>Risks related to regulatory changes that negatively affect the private partner, the project or the industry, general regulatory changes that affect the cost of operations (i.e. affect the market as a whole).</w:t>
            </w:r>
          </w:p>
        </w:tc>
      </w:tr>
      <w:tr w:rsidR="004B673B" w:rsidRPr="00746F6D" w14:paraId="1275EE49" w14:textId="77777777" w:rsidTr="04AF385F">
        <w:tc>
          <w:tcPr>
            <w:tcW w:w="2965" w:type="dxa"/>
          </w:tcPr>
          <w:p w14:paraId="1A77747A" w14:textId="5135B800" w:rsidR="004B673B" w:rsidRPr="00251B39" w:rsidRDefault="00E76B91" w:rsidP="0015600C">
            <w:pPr>
              <w:spacing w:before="60" w:after="60"/>
              <w:jc w:val="both"/>
              <w:rPr>
                <w:sz w:val="16"/>
                <w:szCs w:val="16"/>
              </w:rPr>
            </w:pPr>
            <w:r>
              <w:rPr>
                <w:sz w:val="16"/>
              </w:rPr>
              <w:t>Force majeure</w:t>
            </w:r>
          </w:p>
        </w:tc>
        <w:tc>
          <w:tcPr>
            <w:tcW w:w="6385" w:type="dxa"/>
          </w:tcPr>
          <w:p w14:paraId="73BC1B73" w14:textId="7F2FD616" w:rsidR="004B673B" w:rsidRPr="00251B39" w:rsidRDefault="79D8D9DC" w:rsidP="0015600C">
            <w:pPr>
              <w:spacing w:before="60" w:after="60"/>
              <w:jc w:val="both"/>
              <w:rPr>
                <w:rFonts w:eastAsiaTheme="minorEastAsia"/>
                <w:sz w:val="16"/>
                <w:szCs w:val="16"/>
              </w:rPr>
            </w:pPr>
            <w:r>
              <w:rPr>
                <w:sz w:val="16"/>
              </w:rPr>
              <w:t>Force majeure preventing performance of contractual obligations.</w:t>
            </w:r>
          </w:p>
        </w:tc>
      </w:tr>
      <w:tr w:rsidR="004B673B" w:rsidRPr="00746F6D" w14:paraId="0A85F98C" w14:textId="77777777" w:rsidTr="04AF385F">
        <w:tc>
          <w:tcPr>
            <w:tcW w:w="2965" w:type="dxa"/>
          </w:tcPr>
          <w:p w14:paraId="4A67CA14" w14:textId="3BE4F5C0" w:rsidR="004B673B" w:rsidRPr="00251B39" w:rsidRDefault="00E76B91" w:rsidP="0015600C">
            <w:pPr>
              <w:spacing w:before="60" w:after="60"/>
              <w:rPr>
                <w:sz w:val="16"/>
                <w:szCs w:val="16"/>
              </w:rPr>
            </w:pPr>
            <w:r>
              <w:rPr>
                <w:sz w:val="16"/>
              </w:rPr>
              <w:t>Early termination of the Contract</w:t>
            </w:r>
          </w:p>
        </w:tc>
        <w:tc>
          <w:tcPr>
            <w:tcW w:w="6385" w:type="dxa"/>
          </w:tcPr>
          <w:p w14:paraId="0AC0338A" w14:textId="51B37980" w:rsidR="004B673B" w:rsidRPr="00251B39" w:rsidRDefault="00325EC9" w:rsidP="0015600C">
            <w:pPr>
              <w:keepNext/>
              <w:spacing w:before="60" w:after="60"/>
              <w:jc w:val="both"/>
              <w:rPr>
                <w:sz w:val="16"/>
                <w:szCs w:val="16"/>
              </w:rPr>
            </w:pPr>
            <w:r>
              <w:rPr>
                <w:sz w:val="16"/>
              </w:rPr>
              <w:t>Financial losses resulting from the early termination of the Partnership Contract due to the insolvency of the private partner or the public partner.</w:t>
            </w:r>
          </w:p>
        </w:tc>
      </w:tr>
      <w:tr w:rsidR="00EC4DA6" w:rsidRPr="00746F6D" w14:paraId="3CDC8026" w14:textId="77777777" w:rsidTr="04AF385F">
        <w:tc>
          <w:tcPr>
            <w:tcW w:w="2965" w:type="dxa"/>
          </w:tcPr>
          <w:p w14:paraId="1C2FE5CB" w14:textId="6EA22D9E" w:rsidR="00EC4DA6" w:rsidRPr="00251B39" w:rsidRDefault="00EC4DA6" w:rsidP="0015600C">
            <w:pPr>
              <w:spacing w:before="60" w:after="60"/>
              <w:rPr>
                <w:sz w:val="16"/>
                <w:szCs w:val="16"/>
              </w:rPr>
            </w:pPr>
            <w:r>
              <w:rPr>
                <w:sz w:val="16"/>
              </w:rPr>
              <w:t>Other risks</w:t>
            </w:r>
          </w:p>
        </w:tc>
        <w:tc>
          <w:tcPr>
            <w:tcW w:w="6385" w:type="dxa"/>
          </w:tcPr>
          <w:p w14:paraId="748F69D8" w14:textId="4942A579" w:rsidR="00EC4DA6" w:rsidRPr="00251B39" w:rsidRDefault="00EC4DA6" w:rsidP="00EC4DA6">
            <w:pPr>
              <w:keepNext/>
              <w:spacing w:before="60" w:after="60"/>
              <w:jc w:val="both"/>
              <w:rPr>
                <w:sz w:val="16"/>
                <w:szCs w:val="16"/>
              </w:rPr>
            </w:pPr>
            <w:r>
              <w:rPr>
                <w:sz w:val="16"/>
              </w:rPr>
              <w:t>Other risks that could have a negative impact on project implementation, such as a negative report from the State Audit Office.</w:t>
            </w:r>
          </w:p>
        </w:tc>
      </w:tr>
    </w:tbl>
    <w:p w14:paraId="6392A7A9" w14:textId="32819E7F" w:rsidR="002215CB" w:rsidRPr="00251B39" w:rsidRDefault="002155A9" w:rsidP="00575DE1">
      <w:pPr>
        <w:pStyle w:val="Parakstszemobjekta"/>
        <w:ind w:left="2880"/>
        <w:jc w:val="right"/>
      </w:pPr>
      <w:bookmarkStart w:id="157" w:name="_Ref2897314"/>
      <w:r>
        <w:t>Table 2</w:t>
      </w:r>
      <w:bookmarkEnd w:id="157"/>
      <w:r>
        <w:t>: Description of Risk Categories</w:t>
      </w:r>
    </w:p>
    <w:p w14:paraId="15793F69" w14:textId="42217C15" w:rsidR="00CA0BB6" w:rsidRPr="00251B39" w:rsidRDefault="5BEC1A52" w:rsidP="00CA0BB6">
      <w:pPr>
        <w:jc w:val="both"/>
        <w:rPr>
          <w:sz w:val="18"/>
          <w:szCs w:val="18"/>
        </w:rPr>
      </w:pPr>
      <w:r>
        <w:rPr>
          <w:sz w:val="18"/>
        </w:rPr>
        <w:t xml:space="preserve">The allocation of risks shall be carried out in such a way that the specific risk is borne by the counterparty that is better able to influence or manage the likelihood of the occurrence of the risk, or to control or absorb its impact. In a Partnership Contract, the risk may be transferred to the public partner, the private partner or both partners jointly.  </w:t>
      </w:r>
    </w:p>
    <w:p w14:paraId="608A5815" w14:textId="0E5877CA" w:rsidR="00FB097D" w:rsidRDefault="5BEC1A52" w:rsidP="79D8D9DC">
      <w:pPr>
        <w:jc w:val="both"/>
        <w:rPr>
          <w:rFonts w:eastAsia="Verdana" w:cs="Verdana"/>
          <w:color w:val="000000" w:themeColor="text1"/>
          <w:sz w:val="18"/>
          <w:szCs w:val="18"/>
        </w:rPr>
      </w:pPr>
      <w:r>
        <w:rPr>
          <w:sz w:val="18"/>
        </w:rPr>
        <w:t xml:space="preserve">Transferring a large share of the risks to the public partner limits the value for money of the PPP project and reduces the private partner's incentive to deliver the project to the quality and at the cost agreed in the contract. However, when deciding on risk allocation, it shall be taken into account that the private partner expects to be compensated for the risks transferred to it, which in turn increases the overall cost of the PPP project and the level of payments of the public partner and/or end-users, respectively. It must be assessed whether the private partner will be able to manage the risks involved at a lower </w:t>
      </w:r>
      <w:r>
        <w:rPr>
          <w:sz w:val="18"/>
        </w:rPr>
        <w:lastRenderedPageBreak/>
        <w:t xml:space="preserve">cost compared to the public partner. If this is not the case, the allocation of risk to the private partner will reduce the value for money. The public partner must also bear in mind that an ill-considered allocation of risks to the private partner may adversely affect the interest of potential private partners in the PPP project and reduce competition between them. </w:t>
      </w:r>
      <w:r>
        <w:rPr>
          <w:color w:val="000000" w:themeColor="text1"/>
          <w:sz w:val="18"/>
        </w:rPr>
        <w:t>Optimal risk allocation is a prerequisite for effective risk management and higher value for money.</w:t>
      </w:r>
    </w:p>
    <w:p w14:paraId="48FA9236" w14:textId="2CB8B779" w:rsidR="00CA0BB6" w:rsidRDefault="0052461C" w:rsidP="00FB097D">
      <w:pPr>
        <w:spacing w:before="240"/>
        <w:jc w:val="both"/>
        <w:rPr>
          <w:sz w:val="18"/>
        </w:rPr>
      </w:pPr>
      <w:r>
        <w:rPr>
          <w:sz w:val="18"/>
        </w:rPr>
        <w:t>The risk analysis may lead to the conclusion that one of the PPP arrangements or PPP models analysed previously is not suitable for the PPP project.</w:t>
      </w:r>
    </w:p>
    <w:p w14:paraId="2D14974B" w14:textId="431D3141" w:rsidR="001A00AC" w:rsidRPr="001A00AC" w:rsidRDefault="001A00AC" w:rsidP="001A00AC">
      <w:pPr>
        <w:spacing w:before="240"/>
        <w:jc w:val="both"/>
        <w:rPr>
          <w:rFonts w:eastAsia="Verdana" w:cs="Verdana"/>
          <w:color w:val="000000" w:themeColor="text1"/>
          <w:sz w:val="18"/>
          <w:szCs w:val="18"/>
        </w:rPr>
      </w:pPr>
      <w:r w:rsidRPr="001A00AC">
        <w:rPr>
          <w:rFonts w:eastAsia="Verdana" w:cs="Verdana"/>
          <w:color w:val="000000" w:themeColor="text1"/>
          <w:sz w:val="18"/>
          <w:szCs w:val="18"/>
        </w:rPr>
        <w:t>The Risk Tool</w:t>
      </w:r>
      <w:r>
        <w:rPr>
          <w:rStyle w:val="Vresatsauce"/>
          <w:rFonts w:eastAsia="Verdana" w:cs="Verdana"/>
          <w:color w:val="000000" w:themeColor="text1"/>
          <w:sz w:val="18"/>
          <w:szCs w:val="18"/>
        </w:rPr>
        <w:footnoteReference w:id="37"/>
      </w:r>
      <w:r w:rsidRPr="001A00AC">
        <w:rPr>
          <w:rFonts w:eastAsia="Verdana" w:cs="Verdana"/>
          <w:color w:val="000000" w:themeColor="text1"/>
          <w:sz w:val="18"/>
          <w:szCs w:val="18"/>
        </w:rPr>
        <w:t xml:space="preserve"> sh</w:t>
      </w:r>
      <w:r>
        <w:rPr>
          <w:rFonts w:eastAsia="Verdana" w:cs="Verdana"/>
          <w:color w:val="000000" w:themeColor="text1"/>
          <w:sz w:val="18"/>
          <w:szCs w:val="18"/>
        </w:rPr>
        <w:t>all</w:t>
      </w:r>
      <w:r w:rsidRPr="001A00AC">
        <w:rPr>
          <w:rFonts w:eastAsia="Verdana" w:cs="Verdana"/>
          <w:color w:val="000000" w:themeColor="text1"/>
          <w:sz w:val="18"/>
          <w:szCs w:val="18"/>
        </w:rPr>
        <w:t xml:space="preserve"> be used for risk analysis</w:t>
      </w:r>
      <w:r>
        <w:rPr>
          <w:rFonts w:eastAsia="Verdana" w:cs="Verdana"/>
          <w:color w:val="000000" w:themeColor="text1"/>
          <w:sz w:val="18"/>
          <w:szCs w:val="18"/>
        </w:rPr>
        <w:t xml:space="preserve">. </w:t>
      </w:r>
      <w:r w:rsidRPr="001A00AC">
        <w:rPr>
          <w:rFonts w:eastAsia="Verdana" w:cs="Verdana"/>
          <w:color w:val="000000" w:themeColor="text1"/>
          <w:sz w:val="18"/>
          <w:szCs w:val="18"/>
        </w:rPr>
        <w:t>A summary of the Risk Tool (both sections: "Risk Questions" and "Risk Assessment") sh</w:t>
      </w:r>
      <w:r>
        <w:rPr>
          <w:rFonts w:eastAsia="Verdana" w:cs="Verdana"/>
          <w:color w:val="000000" w:themeColor="text1"/>
          <w:sz w:val="18"/>
          <w:szCs w:val="18"/>
        </w:rPr>
        <w:t>all</w:t>
      </w:r>
      <w:r w:rsidRPr="001A00AC">
        <w:rPr>
          <w:rFonts w:eastAsia="Verdana" w:cs="Verdana"/>
          <w:color w:val="000000" w:themeColor="text1"/>
          <w:sz w:val="18"/>
          <w:szCs w:val="18"/>
        </w:rPr>
        <w:t xml:space="preserve"> be annexed to the FE</w:t>
      </w:r>
      <w:r>
        <w:rPr>
          <w:rFonts w:eastAsia="Verdana" w:cs="Verdana"/>
          <w:color w:val="000000" w:themeColor="text1"/>
          <w:sz w:val="18"/>
          <w:szCs w:val="18"/>
        </w:rPr>
        <w:t>C</w:t>
      </w:r>
      <w:r w:rsidRPr="001A00AC">
        <w:rPr>
          <w:rFonts w:eastAsia="Verdana" w:cs="Verdana"/>
          <w:color w:val="000000" w:themeColor="text1"/>
          <w:sz w:val="18"/>
          <w:szCs w:val="18"/>
        </w:rPr>
        <w:t>. The risks for which mitigation costs have been identified in the Risk Tool sh</w:t>
      </w:r>
      <w:r w:rsidR="005524D5">
        <w:rPr>
          <w:rFonts w:eastAsia="Verdana" w:cs="Verdana"/>
          <w:color w:val="000000" w:themeColor="text1"/>
          <w:sz w:val="18"/>
          <w:szCs w:val="18"/>
        </w:rPr>
        <w:t>all</w:t>
      </w:r>
      <w:r w:rsidRPr="001A00AC">
        <w:rPr>
          <w:rFonts w:eastAsia="Verdana" w:cs="Verdana"/>
          <w:color w:val="000000" w:themeColor="text1"/>
          <w:sz w:val="18"/>
          <w:szCs w:val="18"/>
        </w:rPr>
        <w:t xml:space="preserve"> be </w:t>
      </w:r>
      <w:r w:rsidR="005524D5">
        <w:rPr>
          <w:rFonts w:eastAsia="Verdana" w:cs="Verdana"/>
          <w:color w:val="000000" w:themeColor="text1"/>
          <w:sz w:val="18"/>
          <w:szCs w:val="18"/>
        </w:rPr>
        <w:t>indicated</w:t>
      </w:r>
      <w:r w:rsidRPr="001A00AC">
        <w:rPr>
          <w:rFonts w:eastAsia="Verdana" w:cs="Verdana"/>
          <w:color w:val="000000" w:themeColor="text1"/>
          <w:sz w:val="18"/>
          <w:szCs w:val="18"/>
        </w:rPr>
        <w:t xml:space="preserve"> in the "Risks" worksheet</w:t>
      </w:r>
      <w:r w:rsidR="00BD3D61">
        <w:rPr>
          <w:rStyle w:val="Vresatsauce"/>
          <w:rFonts w:eastAsia="Verdana" w:cs="Verdana"/>
          <w:color w:val="000000" w:themeColor="text1"/>
          <w:sz w:val="18"/>
          <w:szCs w:val="18"/>
        </w:rPr>
        <w:footnoteReference w:id="38"/>
      </w:r>
      <w:r w:rsidRPr="001A00AC">
        <w:rPr>
          <w:rFonts w:eastAsia="Verdana" w:cs="Verdana"/>
          <w:color w:val="000000" w:themeColor="text1"/>
          <w:sz w:val="18"/>
          <w:szCs w:val="18"/>
        </w:rPr>
        <w:t xml:space="preserve"> of the Financial and Economic Calculation</w:t>
      </w:r>
      <w:r w:rsidR="005524D5">
        <w:rPr>
          <w:rFonts w:eastAsia="Verdana" w:cs="Verdana"/>
          <w:color w:val="000000" w:themeColor="text1"/>
          <w:sz w:val="18"/>
          <w:szCs w:val="18"/>
        </w:rPr>
        <w:t>s</w:t>
      </w:r>
      <w:r w:rsidRPr="001A00AC">
        <w:rPr>
          <w:rFonts w:eastAsia="Verdana" w:cs="Verdana"/>
          <w:color w:val="000000" w:themeColor="text1"/>
          <w:sz w:val="18"/>
          <w:szCs w:val="18"/>
        </w:rPr>
        <w:t xml:space="preserve"> Model (MS Excel) and therefore </w:t>
      </w:r>
      <w:r w:rsidR="005524D5">
        <w:rPr>
          <w:rFonts w:eastAsia="Verdana" w:cs="Verdana"/>
          <w:color w:val="000000" w:themeColor="text1"/>
          <w:sz w:val="18"/>
          <w:szCs w:val="18"/>
        </w:rPr>
        <w:t xml:space="preserve">also </w:t>
      </w:r>
      <w:r w:rsidRPr="001A00AC">
        <w:rPr>
          <w:rFonts w:eastAsia="Verdana" w:cs="Verdana"/>
          <w:color w:val="000000" w:themeColor="text1"/>
          <w:sz w:val="18"/>
          <w:szCs w:val="18"/>
        </w:rPr>
        <w:t>in Section 3.5 of the FE</w:t>
      </w:r>
      <w:r w:rsidR="005524D5">
        <w:rPr>
          <w:rFonts w:eastAsia="Verdana" w:cs="Verdana"/>
          <w:color w:val="000000" w:themeColor="text1"/>
          <w:sz w:val="18"/>
          <w:szCs w:val="18"/>
        </w:rPr>
        <w:t>C</w:t>
      </w:r>
      <w:r w:rsidRPr="001A00AC">
        <w:rPr>
          <w:rFonts w:eastAsia="Verdana" w:cs="Verdana"/>
          <w:color w:val="000000" w:themeColor="text1"/>
          <w:sz w:val="18"/>
          <w:szCs w:val="18"/>
        </w:rPr>
        <w:t xml:space="preserve">. The allocation of risks </w:t>
      </w:r>
      <w:r w:rsidR="00FC738B">
        <w:rPr>
          <w:rFonts w:eastAsia="Verdana" w:cs="Verdana"/>
          <w:color w:val="000000" w:themeColor="text1"/>
          <w:sz w:val="18"/>
          <w:szCs w:val="18"/>
        </w:rPr>
        <w:t>must</w:t>
      </w:r>
      <w:r w:rsidRPr="001A00AC">
        <w:rPr>
          <w:rFonts w:eastAsia="Verdana" w:cs="Verdana"/>
          <w:color w:val="000000" w:themeColor="text1"/>
          <w:sz w:val="18"/>
          <w:szCs w:val="18"/>
        </w:rPr>
        <w:t xml:space="preserve"> be done in such a way that the partner better able to influence or manage the probability of occurrence, control or absorb the impact of the risk is the one to bear the risk. </w:t>
      </w:r>
    </w:p>
    <w:p w14:paraId="79D5609C" w14:textId="2C3D1002" w:rsidR="001A00AC" w:rsidRDefault="001A00AC" w:rsidP="001A00AC">
      <w:pPr>
        <w:spacing w:before="240"/>
        <w:jc w:val="both"/>
        <w:rPr>
          <w:rFonts w:eastAsia="Verdana" w:cs="Verdana"/>
          <w:color w:val="000000" w:themeColor="text1"/>
          <w:sz w:val="18"/>
          <w:szCs w:val="18"/>
        </w:rPr>
      </w:pPr>
      <w:r w:rsidRPr="001A00AC">
        <w:rPr>
          <w:rFonts w:eastAsia="Verdana" w:cs="Verdana"/>
          <w:color w:val="000000" w:themeColor="text1"/>
          <w:sz w:val="18"/>
          <w:szCs w:val="18"/>
        </w:rPr>
        <w:t>When using the Risk Tool, it sh</w:t>
      </w:r>
      <w:r w:rsidR="00ED78E5">
        <w:rPr>
          <w:rFonts w:eastAsia="Verdana" w:cs="Verdana"/>
          <w:color w:val="000000" w:themeColor="text1"/>
          <w:sz w:val="18"/>
          <w:szCs w:val="18"/>
        </w:rPr>
        <w:t>all</w:t>
      </w:r>
      <w:r w:rsidRPr="001A00AC">
        <w:rPr>
          <w:rFonts w:eastAsia="Verdana" w:cs="Verdana"/>
          <w:color w:val="000000" w:themeColor="text1"/>
          <w:sz w:val="18"/>
          <w:szCs w:val="18"/>
        </w:rPr>
        <w:t xml:space="preserve"> be noted that in a </w:t>
      </w:r>
      <w:r w:rsidR="00ED78E5">
        <w:rPr>
          <w:rFonts w:eastAsia="Verdana" w:cs="Verdana"/>
          <w:color w:val="000000" w:themeColor="text1"/>
          <w:sz w:val="18"/>
          <w:szCs w:val="18"/>
        </w:rPr>
        <w:t>P</w:t>
      </w:r>
      <w:r w:rsidRPr="001A00AC">
        <w:rPr>
          <w:rFonts w:eastAsia="Verdana" w:cs="Verdana"/>
          <w:color w:val="000000" w:themeColor="text1"/>
          <w:sz w:val="18"/>
          <w:szCs w:val="18"/>
        </w:rPr>
        <w:t xml:space="preserve">artnership </w:t>
      </w:r>
      <w:r w:rsidR="00ED78E5">
        <w:rPr>
          <w:rFonts w:eastAsia="Verdana" w:cs="Verdana"/>
          <w:color w:val="000000" w:themeColor="text1"/>
          <w:sz w:val="18"/>
          <w:szCs w:val="18"/>
        </w:rPr>
        <w:t>Contract</w:t>
      </w:r>
      <w:r w:rsidRPr="001A00AC">
        <w:rPr>
          <w:rFonts w:eastAsia="Verdana" w:cs="Verdana"/>
          <w:color w:val="000000" w:themeColor="text1"/>
          <w:sz w:val="18"/>
          <w:szCs w:val="18"/>
        </w:rPr>
        <w:t xml:space="preserve"> the risk may be transferred to the public partner, the private partner or both partners jointly (three options). Two or all three options are not possible at the same time.</w:t>
      </w:r>
      <w:r w:rsidR="00ED78E5">
        <w:rPr>
          <w:rFonts w:eastAsia="Verdana" w:cs="Verdana"/>
          <w:color w:val="000000" w:themeColor="text1"/>
          <w:sz w:val="18"/>
          <w:szCs w:val="18"/>
        </w:rPr>
        <w:t xml:space="preserve"> The risk shall be transferred to</w:t>
      </w:r>
      <w:r w:rsidRPr="001A00AC">
        <w:rPr>
          <w:rFonts w:eastAsia="Verdana" w:cs="Verdana"/>
          <w:color w:val="000000" w:themeColor="text1"/>
          <w:sz w:val="18"/>
          <w:szCs w:val="18"/>
        </w:rPr>
        <w:t xml:space="preserve"> </w:t>
      </w:r>
      <w:r w:rsidR="00ED78E5">
        <w:rPr>
          <w:rFonts w:eastAsia="Verdana" w:cs="Verdana"/>
          <w:b/>
          <w:bCs/>
          <w:color w:val="000000" w:themeColor="text1"/>
          <w:sz w:val="18"/>
          <w:szCs w:val="18"/>
        </w:rPr>
        <w:t>e</w:t>
      </w:r>
      <w:r w:rsidRPr="00ED78E5">
        <w:rPr>
          <w:rFonts w:eastAsia="Verdana" w:cs="Verdana"/>
          <w:b/>
          <w:bCs/>
          <w:color w:val="000000" w:themeColor="text1"/>
          <w:sz w:val="18"/>
          <w:szCs w:val="18"/>
        </w:rPr>
        <w:t>ither</w:t>
      </w:r>
      <w:r w:rsidRPr="001A00AC">
        <w:rPr>
          <w:rFonts w:eastAsia="Verdana" w:cs="Verdana"/>
          <w:color w:val="000000" w:themeColor="text1"/>
          <w:sz w:val="18"/>
          <w:szCs w:val="18"/>
        </w:rPr>
        <w:t xml:space="preserve"> the private partner </w:t>
      </w:r>
      <w:r w:rsidRPr="00ED78E5">
        <w:rPr>
          <w:rFonts w:eastAsia="Verdana" w:cs="Verdana"/>
          <w:b/>
          <w:bCs/>
          <w:color w:val="000000" w:themeColor="text1"/>
          <w:sz w:val="18"/>
          <w:szCs w:val="18"/>
        </w:rPr>
        <w:t>or</w:t>
      </w:r>
      <w:r w:rsidRPr="001A00AC">
        <w:rPr>
          <w:rFonts w:eastAsia="Verdana" w:cs="Verdana"/>
          <w:color w:val="000000" w:themeColor="text1"/>
          <w:sz w:val="18"/>
          <w:szCs w:val="18"/>
        </w:rPr>
        <w:t xml:space="preserve"> the public partner, </w:t>
      </w:r>
      <w:r w:rsidRPr="00ED78E5">
        <w:rPr>
          <w:rFonts w:eastAsia="Verdana" w:cs="Verdana"/>
          <w:b/>
          <w:bCs/>
          <w:color w:val="000000" w:themeColor="text1"/>
          <w:sz w:val="18"/>
          <w:szCs w:val="18"/>
        </w:rPr>
        <w:t>or</w:t>
      </w:r>
      <w:r w:rsidRPr="001A00AC">
        <w:rPr>
          <w:rFonts w:eastAsia="Verdana" w:cs="Verdana"/>
          <w:color w:val="000000" w:themeColor="text1"/>
          <w:sz w:val="18"/>
          <w:szCs w:val="18"/>
        </w:rPr>
        <w:t xml:space="preserve"> it </w:t>
      </w:r>
      <w:r w:rsidR="00ED78E5">
        <w:rPr>
          <w:rFonts w:eastAsia="Verdana" w:cs="Verdana"/>
          <w:color w:val="000000" w:themeColor="text1"/>
          <w:sz w:val="18"/>
          <w:szCs w:val="18"/>
        </w:rPr>
        <w:t>shall</w:t>
      </w:r>
      <w:r w:rsidRPr="001A00AC">
        <w:rPr>
          <w:rFonts w:eastAsia="Verdana" w:cs="Verdana"/>
          <w:color w:val="000000" w:themeColor="text1"/>
          <w:sz w:val="18"/>
          <w:szCs w:val="18"/>
        </w:rPr>
        <w:t xml:space="preserve"> be </w:t>
      </w:r>
      <w:r w:rsidR="00F6616E">
        <w:rPr>
          <w:rFonts w:eastAsia="Verdana" w:cs="Verdana"/>
          <w:color w:val="000000" w:themeColor="text1"/>
          <w:sz w:val="18"/>
          <w:szCs w:val="18"/>
        </w:rPr>
        <w:t>indicated</w:t>
      </w:r>
      <w:r w:rsidRPr="001A00AC">
        <w:rPr>
          <w:rFonts w:eastAsia="Verdana" w:cs="Verdana"/>
          <w:color w:val="000000" w:themeColor="text1"/>
          <w:sz w:val="18"/>
          <w:szCs w:val="18"/>
        </w:rPr>
        <w:t xml:space="preserve"> that the risk is shared between the private and the public partner. The respective mitigation costs of each party sh</w:t>
      </w:r>
      <w:r w:rsidR="00ED78E5">
        <w:rPr>
          <w:rFonts w:eastAsia="Verdana" w:cs="Verdana"/>
          <w:color w:val="000000" w:themeColor="text1"/>
          <w:sz w:val="18"/>
          <w:szCs w:val="18"/>
        </w:rPr>
        <w:t>all</w:t>
      </w:r>
      <w:r w:rsidRPr="001A00AC">
        <w:rPr>
          <w:rFonts w:eastAsia="Verdana" w:cs="Verdana"/>
          <w:color w:val="000000" w:themeColor="text1"/>
          <w:sz w:val="18"/>
          <w:szCs w:val="18"/>
        </w:rPr>
        <w:t xml:space="preserve"> be provided if mitigation measures are possible for the risk concerned. In case the risk is shared between the public and the private partner, a detailed explanation of the shared risk, what is directly borne by each party, what costs are foreseen in relation to the risk sharing sh</w:t>
      </w:r>
      <w:r w:rsidR="00ED78E5">
        <w:rPr>
          <w:rFonts w:eastAsia="Verdana" w:cs="Verdana"/>
          <w:color w:val="000000" w:themeColor="text1"/>
          <w:sz w:val="18"/>
          <w:szCs w:val="18"/>
        </w:rPr>
        <w:t>all</w:t>
      </w:r>
      <w:r w:rsidRPr="001A00AC">
        <w:rPr>
          <w:rFonts w:eastAsia="Verdana" w:cs="Verdana"/>
          <w:color w:val="000000" w:themeColor="text1"/>
          <w:sz w:val="18"/>
          <w:szCs w:val="18"/>
        </w:rPr>
        <w:t xml:space="preserve"> be included in </w:t>
      </w:r>
      <w:r w:rsidR="00ED78E5">
        <w:rPr>
          <w:rFonts w:eastAsia="Verdana" w:cs="Verdana"/>
          <w:color w:val="000000" w:themeColor="text1"/>
          <w:sz w:val="18"/>
          <w:szCs w:val="18"/>
        </w:rPr>
        <w:t>S</w:t>
      </w:r>
      <w:r w:rsidRPr="001A00AC">
        <w:rPr>
          <w:rFonts w:eastAsia="Verdana" w:cs="Verdana"/>
          <w:color w:val="000000" w:themeColor="text1"/>
          <w:sz w:val="18"/>
          <w:szCs w:val="18"/>
        </w:rPr>
        <w:t>ection 3.5 of the FE</w:t>
      </w:r>
      <w:r w:rsidR="00ED78E5">
        <w:rPr>
          <w:rFonts w:eastAsia="Verdana" w:cs="Verdana"/>
          <w:color w:val="000000" w:themeColor="text1"/>
          <w:sz w:val="18"/>
          <w:szCs w:val="18"/>
        </w:rPr>
        <w:t>C</w:t>
      </w:r>
      <w:r w:rsidRPr="001A00AC">
        <w:rPr>
          <w:rFonts w:eastAsia="Verdana" w:cs="Verdana"/>
          <w:color w:val="000000" w:themeColor="text1"/>
          <w:sz w:val="18"/>
          <w:szCs w:val="18"/>
        </w:rPr>
        <w:t>.</w:t>
      </w:r>
    </w:p>
    <w:p w14:paraId="26E73ED5" w14:textId="1785C14A" w:rsidR="008E699F" w:rsidRPr="008E699F" w:rsidRDefault="008E699F" w:rsidP="008E699F">
      <w:pPr>
        <w:spacing w:before="240"/>
        <w:jc w:val="both"/>
        <w:rPr>
          <w:rFonts w:eastAsia="Verdana" w:cs="Verdana"/>
          <w:color w:val="000000" w:themeColor="text1"/>
          <w:sz w:val="18"/>
          <w:szCs w:val="18"/>
        </w:rPr>
      </w:pPr>
      <w:r w:rsidRPr="008E699F">
        <w:rPr>
          <w:rFonts w:eastAsia="Verdana" w:cs="Verdana"/>
          <w:color w:val="000000" w:themeColor="text1"/>
          <w:sz w:val="18"/>
          <w:szCs w:val="18"/>
        </w:rPr>
        <w:t xml:space="preserve">Section 3.5 of the </w:t>
      </w:r>
      <w:r>
        <w:rPr>
          <w:rFonts w:eastAsia="Verdana" w:cs="Verdana"/>
          <w:color w:val="000000" w:themeColor="text1"/>
          <w:sz w:val="18"/>
          <w:szCs w:val="18"/>
        </w:rPr>
        <w:t>FEC shall</w:t>
      </w:r>
      <w:r w:rsidRPr="008E699F">
        <w:rPr>
          <w:rFonts w:eastAsia="Verdana" w:cs="Verdana"/>
          <w:color w:val="000000" w:themeColor="text1"/>
          <w:sz w:val="18"/>
          <w:szCs w:val="18"/>
        </w:rPr>
        <w:t xml:space="preserve"> provide a description of the main risks, including construction, availability, demand, and costed risks, risk mitigation actions for both the Baseline Procurement Alternative and the PPP Alternative, as well as conclusions on the results of the risk analysis. The Risk Tool, and hence the </w:t>
      </w:r>
      <w:r w:rsidR="00274B71">
        <w:rPr>
          <w:rFonts w:eastAsia="Verdana" w:cs="Verdana"/>
          <w:color w:val="000000" w:themeColor="text1"/>
          <w:sz w:val="18"/>
          <w:szCs w:val="18"/>
        </w:rPr>
        <w:t>“</w:t>
      </w:r>
      <w:r w:rsidRPr="008E699F">
        <w:rPr>
          <w:rFonts w:eastAsia="Verdana" w:cs="Verdana"/>
          <w:color w:val="000000" w:themeColor="text1"/>
          <w:sz w:val="18"/>
          <w:szCs w:val="18"/>
        </w:rPr>
        <w:t>Risk Analysis</w:t>
      </w:r>
      <w:r w:rsidR="00CE5843">
        <w:rPr>
          <w:rFonts w:eastAsia="Verdana" w:cs="Verdana"/>
          <w:color w:val="000000" w:themeColor="text1"/>
          <w:sz w:val="18"/>
          <w:szCs w:val="18"/>
        </w:rPr>
        <w:t>”</w:t>
      </w:r>
      <w:r w:rsidRPr="008E699F">
        <w:rPr>
          <w:rFonts w:eastAsia="Verdana" w:cs="Verdana"/>
          <w:color w:val="000000" w:themeColor="text1"/>
          <w:sz w:val="18"/>
          <w:szCs w:val="18"/>
        </w:rPr>
        <w:t xml:space="preserve"> worksheet, sh</w:t>
      </w:r>
      <w:r w:rsidR="00274B71">
        <w:rPr>
          <w:rFonts w:eastAsia="Verdana" w:cs="Verdana"/>
          <w:color w:val="000000" w:themeColor="text1"/>
          <w:sz w:val="18"/>
          <w:szCs w:val="18"/>
        </w:rPr>
        <w:t>all</w:t>
      </w:r>
      <w:r w:rsidRPr="008E699F">
        <w:rPr>
          <w:rFonts w:eastAsia="Verdana" w:cs="Verdana"/>
          <w:color w:val="000000" w:themeColor="text1"/>
          <w:sz w:val="18"/>
          <w:szCs w:val="18"/>
        </w:rPr>
        <w:t xml:space="preserve"> reflect the costs that will actually be incurred during the lifetime of the project in managing the risk.</w:t>
      </w:r>
    </w:p>
    <w:p w14:paraId="42E10D28" w14:textId="387F5C57" w:rsidR="00B877EB" w:rsidRPr="00FB097D" w:rsidRDefault="008E699F" w:rsidP="008E699F">
      <w:pPr>
        <w:spacing w:before="240"/>
        <w:jc w:val="both"/>
        <w:rPr>
          <w:rFonts w:eastAsia="Verdana" w:cs="Verdana"/>
          <w:color w:val="000000" w:themeColor="text1"/>
          <w:sz w:val="18"/>
          <w:szCs w:val="18"/>
        </w:rPr>
      </w:pPr>
      <w:r w:rsidRPr="008E699F">
        <w:rPr>
          <w:rFonts w:eastAsia="Verdana" w:cs="Verdana"/>
          <w:color w:val="000000" w:themeColor="text1"/>
          <w:sz w:val="18"/>
          <w:szCs w:val="18"/>
        </w:rPr>
        <w:t>Section 3.5 of the FE</w:t>
      </w:r>
      <w:r w:rsidR="0083232C">
        <w:rPr>
          <w:rFonts w:eastAsia="Verdana" w:cs="Verdana"/>
          <w:color w:val="000000" w:themeColor="text1"/>
          <w:sz w:val="18"/>
          <w:szCs w:val="18"/>
        </w:rPr>
        <w:t xml:space="preserve">C shall </w:t>
      </w:r>
      <w:r w:rsidRPr="008E699F">
        <w:rPr>
          <w:rFonts w:eastAsia="Verdana" w:cs="Verdana"/>
          <w:color w:val="000000" w:themeColor="text1"/>
          <w:sz w:val="18"/>
          <w:szCs w:val="18"/>
        </w:rPr>
        <w:t>provide a description of the methodology for quantifying the risks in order to ensure the credibility of the reasonableness of the alternative (</w:t>
      </w:r>
      <w:r w:rsidR="005845DC" w:rsidRPr="00713FA2">
        <w:rPr>
          <w:i/>
          <w:iCs/>
          <w:sz w:val="18"/>
          <w:szCs w:val="18"/>
        </w:rPr>
        <w:t>with updates to the FEC Guidelines on 25.09.2024</w:t>
      </w:r>
      <w:r w:rsidRPr="008E699F">
        <w:rPr>
          <w:rFonts w:eastAsia="Verdana" w:cs="Verdana"/>
          <w:color w:val="000000" w:themeColor="text1"/>
          <w:sz w:val="18"/>
          <w:szCs w:val="18"/>
        </w:rPr>
        <w:t>).</w:t>
      </w:r>
    </w:p>
    <w:p w14:paraId="1527003C" w14:textId="289C5505" w:rsidR="00B15D0E" w:rsidRPr="00D03528" w:rsidRDefault="0095677C" w:rsidP="008B6449">
      <w:pPr>
        <w:pStyle w:val="Virsraksts1"/>
        <w:numPr>
          <w:ilvl w:val="0"/>
          <w:numId w:val="16"/>
        </w:numPr>
        <w:rPr>
          <w:rFonts w:asciiTheme="minorHAnsi" w:hAnsiTheme="minorHAnsi"/>
          <w:color w:val="75787B" w:themeColor="accent6"/>
        </w:rPr>
      </w:pPr>
      <w:r>
        <w:br w:type="page"/>
      </w:r>
      <w:bookmarkStart w:id="158" w:name="_Toc3205489"/>
      <w:bookmarkStart w:id="159" w:name="_Toc3246839"/>
      <w:bookmarkStart w:id="160" w:name="_Toc3249548"/>
      <w:bookmarkStart w:id="161" w:name="_Toc3759970"/>
      <w:bookmarkStart w:id="162" w:name="_Toc3805007"/>
      <w:bookmarkStart w:id="163" w:name="_Toc178586370"/>
      <w:r w:rsidR="00C72C48" w:rsidRPr="005D3F46">
        <w:rPr>
          <w:noProof/>
          <w:sz w:val="18"/>
        </w:rPr>
        <w:lastRenderedPageBreak/>
        <mc:AlternateContent>
          <mc:Choice Requires="wps">
            <w:drawing>
              <wp:anchor distT="45720" distB="45720" distL="114300" distR="114300" simplePos="0" relativeHeight="251658337" behindDoc="0" locked="0" layoutInCell="1" allowOverlap="1" wp14:anchorId="667914B0" wp14:editId="1F9C1D8A">
                <wp:simplePos x="0" y="0"/>
                <wp:positionH relativeFrom="column">
                  <wp:posOffset>4189620</wp:posOffset>
                </wp:positionH>
                <wp:positionV relativeFrom="paragraph">
                  <wp:posOffset>219379</wp:posOffset>
                </wp:positionV>
                <wp:extent cx="1311910" cy="341630"/>
                <wp:effectExtent l="0" t="0" r="2540" b="1270"/>
                <wp:wrapNone/>
                <wp:docPr id="1597757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41630"/>
                        </a:xfrm>
                        <a:prstGeom prst="rect">
                          <a:avLst/>
                        </a:prstGeom>
                        <a:solidFill>
                          <a:schemeClr val="accent1"/>
                        </a:solidFill>
                        <a:ln w="9525">
                          <a:noFill/>
                          <a:miter lim="800000"/>
                          <a:headEnd/>
                          <a:tailEnd/>
                        </a:ln>
                      </wps:spPr>
                      <wps:txbx>
                        <w:txbxContent>
                          <w:p w14:paraId="56F017F2" w14:textId="77777777" w:rsidR="00C72C48" w:rsidRPr="00C72C48" w:rsidRDefault="00C72C48" w:rsidP="00C72C48">
                            <w:pPr>
                              <w:jc w:val="center"/>
                              <w:rPr>
                                <w:b/>
                                <w:bCs/>
                                <w:color w:val="FFFFFF" w:themeColor="background1"/>
                                <w:sz w:val="14"/>
                                <w:szCs w:val="14"/>
                                <w:lang w:val="en-GB"/>
                                <w14:textOutline w14:w="9525" w14:cap="rnd" w14:cmpd="sng" w14:algn="ctr">
                                  <w14:noFill/>
                                  <w14:prstDash w14:val="solid"/>
                                  <w14:bevel/>
                                </w14:textOutline>
                              </w:rPr>
                            </w:pPr>
                            <w:r w:rsidRPr="00C72C48">
                              <w:rPr>
                                <w:b/>
                                <w:bCs/>
                                <w:color w:val="FFFFFF" w:themeColor="background1"/>
                                <w:sz w:val="14"/>
                                <w:szCs w:val="14"/>
                                <w:lang w:val="en-GB"/>
                                <w14:textOutline w14:w="9525" w14:cap="rnd" w14:cmpd="sng" w14:algn="ctr">
                                  <w14:noFill/>
                                  <w14:prstDash w14:val="solid"/>
                                  <w14:bevel/>
                                </w14:textOutline>
                              </w:rPr>
                              <w:t>Preparation of FEC quantifying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914B0" id="_x0000_s1140" type="#_x0000_t202" style="position:absolute;left:0;text-align:left;margin-left:329.9pt;margin-top:17.25pt;width:103.3pt;height:26.9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" fillcolor="#86bc25 [3204]" stroked="f">
                <v:textbox>
                  <w:txbxContent>
                    <w:p w14:paraId="56F017F2" w14:textId="77777777" w:rsidR="00C72C48" w:rsidRPr="00C72C48" w:rsidRDefault="00C72C48" w:rsidP="00C72C48">
                      <w:pPr>
                        <w:jc w:val="center"/>
                        <w:rPr>
                          <w:b/>
                          <w:bCs/>
                          <w:color w:val="FFFFFF" w:themeColor="background1"/>
                          <w:sz w:val="14"/>
                          <w:szCs w:val="14"/>
                          <w:lang w:val="en-GB"/>
                          <w14:textOutline w14:w="9525" w14:cap="rnd" w14:cmpd="sng" w14:algn="ctr">
                            <w14:noFill/>
                            <w14:prstDash w14:val="solid"/>
                            <w14:bevel/>
                          </w14:textOutline>
                        </w:rPr>
                      </w:pPr>
                      <w:r w:rsidRPr="00C72C48">
                        <w:rPr>
                          <w:b/>
                          <w:bCs/>
                          <w:color w:val="FFFFFF" w:themeColor="background1"/>
                          <w:sz w:val="14"/>
                          <w:szCs w:val="14"/>
                          <w:lang w:val="en-GB"/>
                          <w14:textOutline w14:w="9525" w14:cap="rnd" w14:cmpd="sng" w14:algn="ctr">
                            <w14:noFill/>
                            <w14:prstDash w14:val="solid"/>
                            <w14:bevel/>
                          </w14:textOutline>
                        </w:rPr>
                        <w:t>Preparation of FEC quantifying part</w:t>
                      </w:r>
                    </w:p>
                  </w:txbxContent>
                </v:textbox>
              </v:shape>
            </w:pict>
          </mc:Fallback>
        </mc:AlternateContent>
      </w:r>
      <w:r w:rsidR="00C72C48" w:rsidRPr="005D3F46">
        <w:rPr>
          <w:noProof/>
          <w:sz w:val="18"/>
        </w:rPr>
        <mc:AlternateContent>
          <mc:Choice Requires="wps">
            <w:drawing>
              <wp:anchor distT="45720" distB="45720" distL="114300" distR="114300" simplePos="0" relativeHeight="251658338" behindDoc="0" locked="0" layoutInCell="1" allowOverlap="1" wp14:anchorId="1474F643" wp14:editId="1A0C9CE1">
                <wp:simplePos x="0" y="0"/>
                <wp:positionH relativeFrom="column">
                  <wp:posOffset>2121535</wp:posOffset>
                </wp:positionH>
                <wp:positionV relativeFrom="paragraph">
                  <wp:posOffset>574675</wp:posOffset>
                </wp:positionV>
                <wp:extent cx="1629410" cy="325755"/>
                <wp:effectExtent l="0" t="0" r="8890" b="0"/>
                <wp:wrapNone/>
                <wp:docPr id="1745661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25755"/>
                        </a:xfrm>
                        <a:prstGeom prst="rect">
                          <a:avLst/>
                        </a:prstGeom>
                        <a:solidFill>
                          <a:schemeClr val="bg1"/>
                        </a:solidFill>
                        <a:ln w="9525">
                          <a:noFill/>
                          <a:miter lim="800000"/>
                          <a:headEnd/>
                          <a:tailEnd/>
                        </a:ln>
                      </wps:spPr>
                      <wps:txbx>
                        <w:txbxContent>
                          <w:p w14:paraId="76F3E5EE" w14:textId="77777777" w:rsidR="00C72C48" w:rsidRPr="00C72C48" w:rsidRDefault="00C72C48" w:rsidP="00C72C48">
                            <w:pPr>
                              <w:rPr>
                                <w:color w:val="7F7F7F" w:themeColor="text1" w:themeTint="80"/>
                                <w:sz w:val="14"/>
                                <w:szCs w:val="14"/>
                                <w:lang w:val="en-GB"/>
                              </w:rPr>
                            </w:pPr>
                            <w:r w:rsidRPr="00C72C48">
                              <w:rPr>
                                <w:color w:val="7F7F7F" w:themeColor="text1" w:themeTint="80"/>
                                <w:sz w:val="14"/>
                                <w:szCs w:val="14"/>
                                <w:lang w:val="en-GB"/>
                              </w:rPr>
                              <w:t>Assessing project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4F643" id="_x0000_s1141" type="#_x0000_t202" style="position:absolute;left:0;text-align:left;margin-left:167.05pt;margin-top:45.25pt;width:128.3pt;height:25.6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" fillcolor="white [3212]" stroked="f">
                <v:textbox>
                  <w:txbxContent>
                    <w:p w14:paraId="76F3E5EE" w14:textId="77777777" w:rsidR="00C72C48" w:rsidRPr="00C72C48" w:rsidRDefault="00C72C48" w:rsidP="00C72C48">
                      <w:pPr>
                        <w:rPr>
                          <w:color w:val="7F7F7F" w:themeColor="text1" w:themeTint="80"/>
                          <w:sz w:val="14"/>
                          <w:szCs w:val="14"/>
                          <w:lang w:val="en-GB"/>
                        </w:rPr>
                      </w:pPr>
                      <w:r w:rsidRPr="00C72C48">
                        <w:rPr>
                          <w:color w:val="7F7F7F" w:themeColor="text1" w:themeTint="80"/>
                          <w:sz w:val="14"/>
                          <w:szCs w:val="14"/>
                          <w:lang w:val="en-GB"/>
                        </w:rPr>
                        <w:t>Assessing project implementation alternatives</w:t>
                      </w:r>
                    </w:p>
                  </w:txbxContent>
                </v:textbox>
              </v:shape>
            </w:pict>
          </mc:Fallback>
        </mc:AlternateContent>
      </w:r>
      <w:r w:rsidR="00C72C48" w:rsidRPr="005D3F46">
        <w:rPr>
          <w:noProof/>
          <w:sz w:val="18"/>
        </w:rPr>
        <mc:AlternateContent>
          <mc:Choice Requires="wps">
            <w:drawing>
              <wp:anchor distT="45720" distB="45720" distL="114300" distR="114300" simplePos="0" relativeHeight="251658336" behindDoc="0" locked="0" layoutInCell="1" allowOverlap="1" wp14:anchorId="16DD5645" wp14:editId="7DE3A7F2">
                <wp:simplePos x="0" y="0"/>
                <wp:positionH relativeFrom="column">
                  <wp:posOffset>2329180</wp:posOffset>
                </wp:positionH>
                <wp:positionV relativeFrom="paragraph">
                  <wp:posOffset>262255</wp:posOffset>
                </wp:positionV>
                <wp:extent cx="1208405" cy="317500"/>
                <wp:effectExtent l="0" t="0" r="0" b="6350"/>
                <wp:wrapNone/>
                <wp:docPr id="222069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17500"/>
                        </a:xfrm>
                        <a:prstGeom prst="rect">
                          <a:avLst/>
                        </a:prstGeom>
                        <a:solidFill>
                          <a:schemeClr val="bg1">
                            <a:lumMod val="75000"/>
                          </a:schemeClr>
                        </a:solidFill>
                        <a:ln w="9525">
                          <a:noFill/>
                          <a:miter lim="800000"/>
                          <a:headEnd/>
                          <a:tailEnd/>
                        </a:ln>
                      </wps:spPr>
                      <wps:txbx>
                        <w:txbxContent>
                          <w:p w14:paraId="0C366EFD" w14:textId="77777777" w:rsidR="00C72C48" w:rsidRPr="00C72C48" w:rsidRDefault="00C72C48" w:rsidP="00C72C48">
                            <w:pPr>
                              <w:jc w:val="center"/>
                              <w:rPr>
                                <w:b/>
                                <w:bCs/>
                                <w:color w:val="595959" w:themeColor="text1" w:themeTint="A6"/>
                                <w:sz w:val="14"/>
                                <w:szCs w:val="14"/>
                                <w:lang w:val="en-GB"/>
                                <w14:textOutline w14:w="9525" w14:cap="rnd" w14:cmpd="sng" w14:algn="ctr">
                                  <w14:noFill/>
                                  <w14:prstDash w14:val="solid"/>
                                  <w14:bevel/>
                                </w14:textOutline>
                              </w:rPr>
                            </w:pPr>
                            <w:r w:rsidRPr="00C72C48">
                              <w:rPr>
                                <w:b/>
                                <w:bCs/>
                                <w:color w:val="595959" w:themeColor="text1" w:themeTint="A6"/>
                                <w:sz w:val="14"/>
                                <w:szCs w:val="14"/>
                                <w:lang w:val="en-GB"/>
                                <w14:textOutline w14:w="9525" w14:cap="rnd" w14:cmpd="sng" w14:algn="ctr">
                                  <w14:noFill/>
                                  <w14:prstDash w14:val="solid"/>
                                  <w14:bevel/>
                                </w14:textOutline>
                              </w:rPr>
                              <w:t>Preparation of FEC descriptive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D5645" id="_x0000_s1142" type="#_x0000_t202" style="position:absolute;left:0;text-align:left;margin-left:183.4pt;margin-top:20.65pt;width:95.15pt;height:25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" fillcolor="#bfbfbf [2412]" stroked="f">
                <v:textbox>
                  <w:txbxContent>
                    <w:p w14:paraId="0C366EFD" w14:textId="77777777" w:rsidR="00C72C48" w:rsidRPr="00C72C48" w:rsidRDefault="00C72C48" w:rsidP="00C72C48">
                      <w:pPr>
                        <w:jc w:val="center"/>
                        <w:rPr>
                          <w:b/>
                          <w:bCs/>
                          <w:color w:val="595959" w:themeColor="text1" w:themeTint="A6"/>
                          <w:sz w:val="14"/>
                          <w:szCs w:val="14"/>
                          <w:lang w:val="en-GB"/>
                          <w14:textOutline w14:w="9525" w14:cap="rnd" w14:cmpd="sng" w14:algn="ctr">
                            <w14:noFill/>
                            <w14:prstDash w14:val="solid"/>
                            <w14:bevel/>
                          </w14:textOutline>
                        </w:rPr>
                      </w:pPr>
                      <w:r w:rsidRPr="00C72C48">
                        <w:rPr>
                          <w:b/>
                          <w:bCs/>
                          <w:color w:val="595959" w:themeColor="text1" w:themeTint="A6"/>
                          <w:sz w:val="14"/>
                          <w:szCs w:val="14"/>
                          <w:lang w:val="en-GB"/>
                          <w14:textOutline w14:w="9525" w14:cap="rnd" w14:cmpd="sng" w14:algn="ctr">
                            <w14:noFill/>
                            <w14:prstDash w14:val="solid"/>
                            <w14:bevel/>
                          </w14:textOutline>
                        </w:rPr>
                        <w:t>Preparation of FEC descriptive part</w:t>
                      </w:r>
                    </w:p>
                  </w:txbxContent>
                </v:textbox>
              </v:shape>
            </w:pict>
          </mc:Fallback>
        </mc:AlternateContent>
      </w:r>
      <w:r>
        <w:rPr>
          <w:rFonts w:asciiTheme="minorHAnsi" w:hAnsiTheme="minorHAnsi"/>
        </w:rPr>
        <w:t>Calculation of Value for Money</w:t>
      </w:r>
      <w:bookmarkStart w:id="164" w:name="_Toc2273607"/>
      <w:bookmarkStart w:id="165" w:name="_Toc2273608"/>
      <w:bookmarkEnd w:id="158"/>
      <w:bookmarkEnd w:id="159"/>
      <w:bookmarkEnd w:id="160"/>
      <w:bookmarkEnd w:id="161"/>
      <w:bookmarkEnd w:id="162"/>
      <w:bookmarkEnd w:id="163"/>
      <w:bookmarkEnd w:id="164"/>
      <w:bookmarkEnd w:id="165"/>
    </w:p>
    <w:p w14:paraId="115C166A" w14:textId="3250C2B9" w:rsidR="00B15D0E" w:rsidRDefault="00C72C48" w:rsidP="00841FF0">
      <w:pPr>
        <w:rPr>
          <w:color w:val="002060"/>
          <w:sz w:val="20"/>
          <w:szCs w:val="20"/>
        </w:rPr>
      </w:pPr>
      <w:r w:rsidRPr="005D3F46">
        <w:rPr>
          <w:noProof/>
          <w:sz w:val="18"/>
        </w:rPr>
        <mc:AlternateContent>
          <mc:Choice Requires="wps">
            <w:drawing>
              <wp:anchor distT="45720" distB="45720" distL="114300" distR="114300" simplePos="0" relativeHeight="251658339" behindDoc="0" locked="0" layoutInCell="1" allowOverlap="1" wp14:anchorId="4917AE42" wp14:editId="5AD652D6">
                <wp:simplePos x="0" y="0"/>
                <wp:positionH relativeFrom="column">
                  <wp:posOffset>4079019</wp:posOffset>
                </wp:positionH>
                <wp:positionV relativeFrom="paragraph">
                  <wp:posOffset>289891</wp:posOffset>
                </wp:positionV>
                <wp:extent cx="1351722" cy="325755"/>
                <wp:effectExtent l="0" t="0" r="1270" b="0"/>
                <wp:wrapNone/>
                <wp:docPr id="90825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2" cy="325755"/>
                        </a:xfrm>
                        <a:prstGeom prst="rect">
                          <a:avLst/>
                        </a:prstGeom>
                        <a:solidFill>
                          <a:schemeClr val="bg1"/>
                        </a:solidFill>
                        <a:ln w="9525">
                          <a:noFill/>
                          <a:miter lim="800000"/>
                          <a:headEnd/>
                          <a:tailEnd/>
                        </a:ln>
                      </wps:spPr>
                      <wps:txbx>
                        <w:txbxContent>
                          <w:p w14:paraId="07044A79" w14:textId="77777777" w:rsidR="00C72C48" w:rsidRPr="00C72C48" w:rsidRDefault="00C72C48" w:rsidP="00C72C48">
                            <w:pPr>
                              <w:rPr>
                                <w:b/>
                                <w:bCs/>
                                <w:sz w:val="14"/>
                                <w:szCs w:val="14"/>
                                <w:lang w:val="en-GB"/>
                              </w:rPr>
                            </w:pPr>
                            <w:r w:rsidRPr="00C72C48">
                              <w:rPr>
                                <w:b/>
                                <w:bCs/>
                                <w:sz w:val="14"/>
                                <w:szCs w:val="14"/>
                                <w:lang w:val="en-GB"/>
                              </w:rPr>
                              <w:t>Calculating value for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7AE42" id="_x0000_s1143" type="#_x0000_t202" style="position:absolute;margin-left:321.2pt;margin-top:22.85pt;width:106.45pt;height:25.65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" fillcolor="white [3212]" stroked="f">
                <v:textbox>
                  <w:txbxContent>
                    <w:p w14:paraId="07044A79" w14:textId="77777777" w:rsidR="00C72C48" w:rsidRPr="00C72C48" w:rsidRDefault="00C72C48" w:rsidP="00C72C48">
                      <w:pPr>
                        <w:rPr>
                          <w:b/>
                          <w:bCs/>
                          <w:sz w:val="14"/>
                          <w:szCs w:val="14"/>
                          <w:lang w:val="en-GB"/>
                        </w:rPr>
                      </w:pPr>
                      <w:r w:rsidRPr="00C72C48">
                        <w:rPr>
                          <w:b/>
                          <w:bCs/>
                          <w:sz w:val="14"/>
                          <w:szCs w:val="14"/>
                          <w:lang w:val="en-GB"/>
                        </w:rPr>
                        <w:t>Calculating value for money</w:t>
                      </w:r>
                    </w:p>
                  </w:txbxContent>
                </v:textbox>
              </v:shape>
            </w:pict>
          </mc:Fallback>
        </mc:AlternateContent>
      </w:r>
      <w:r w:rsidRPr="005D3F46">
        <w:rPr>
          <w:noProof/>
          <w:sz w:val="18"/>
        </w:rPr>
        <mc:AlternateContent>
          <mc:Choice Requires="wps">
            <w:drawing>
              <wp:anchor distT="45720" distB="45720" distL="114300" distR="114300" simplePos="0" relativeHeight="251658335" behindDoc="0" locked="0" layoutInCell="1" allowOverlap="1" wp14:anchorId="6CAFF1E7" wp14:editId="5B24B013">
                <wp:simplePos x="0" y="0"/>
                <wp:positionH relativeFrom="column">
                  <wp:posOffset>103367</wp:posOffset>
                </wp:positionH>
                <wp:positionV relativeFrom="paragraph">
                  <wp:posOffset>345550</wp:posOffset>
                </wp:positionV>
                <wp:extent cx="1550504" cy="325755"/>
                <wp:effectExtent l="0" t="0" r="0" b="0"/>
                <wp:wrapNone/>
                <wp:docPr id="1260139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504" cy="325755"/>
                        </a:xfrm>
                        <a:prstGeom prst="rect">
                          <a:avLst/>
                        </a:prstGeom>
                        <a:solidFill>
                          <a:schemeClr val="bg1"/>
                        </a:solidFill>
                        <a:ln w="9525">
                          <a:noFill/>
                          <a:miter lim="800000"/>
                          <a:headEnd/>
                          <a:tailEnd/>
                        </a:ln>
                      </wps:spPr>
                      <wps:txbx>
                        <w:txbxContent>
                          <w:p w14:paraId="13D48C92" w14:textId="77777777" w:rsidR="00C72C48" w:rsidRPr="00447980" w:rsidRDefault="00C72C48" w:rsidP="00C72C48">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FF1E7" id="_x0000_s1144" type="#_x0000_t202" style="position:absolute;margin-left:8.15pt;margin-top:27.2pt;width:122.1pt;height:25.6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" fillcolor="white [3212]" stroked="f">
                <v:textbox>
                  <w:txbxContent>
                    <w:p w14:paraId="13D48C92" w14:textId="77777777" w:rsidR="00C72C48" w:rsidRPr="00447980" w:rsidRDefault="00C72C48" w:rsidP="00C72C48">
                      <w:pPr>
                        <w:rPr>
                          <w:color w:val="7F7F7F" w:themeColor="text1" w:themeTint="80"/>
                          <w:sz w:val="14"/>
                          <w:szCs w:val="14"/>
                          <w:lang w:val="en-GB"/>
                        </w:rPr>
                      </w:pPr>
                      <w:r w:rsidRPr="00447980">
                        <w:rPr>
                          <w:color w:val="7F7F7F" w:themeColor="text1" w:themeTint="80"/>
                          <w:sz w:val="14"/>
                          <w:szCs w:val="14"/>
                          <w:lang w:val="en-GB"/>
                        </w:rPr>
                        <w:t>Justification of project implementation</w:t>
                      </w:r>
                    </w:p>
                  </w:txbxContent>
                </v:textbox>
              </v:shape>
            </w:pict>
          </mc:Fallback>
        </mc:AlternateContent>
      </w:r>
      <w:r w:rsidRPr="005D3F46">
        <w:rPr>
          <w:noProof/>
          <w:sz w:val="18"/>
        </w:rPr>
        <mc:AlternateContent>
          <mc:Choice Requires="wps">
            <w:drawing>
              <wp:anchor distT="45720" distB="45720" distL="114300" distR="114300" simplePos="0" relativeHeight="251658334" behindDoc="0" locked="0" layoutInCell="1" allowOverlap="1" wp14:anchorId="1D25AC73" wp14:editId="5564D1FF">
                <wp:simplePos x="0" y="0"/>
                <wp:positionH relativeFrom="column">
                  <wp:posOffset>261482</wp:posOffset>
                </wp:positionH>
                <wp:positionV relativeFrom="paragraph">
                  <wp:posOffset>111622</wp:posOffset>
                </wp:positionV>
                <wp:extent cx="1407160" cy="198755"/>
                <wp:effectExtent l="0" t="0" r="2540" b="0"/>
                <wp:wrapNone/>
                <wp:docPr id="1027882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98755"/>
                        </a:xfrm>
                        <a:prstGeom prst="rect">
                          <a:avLst/>
                        </a:prstGeom>
                        <a:solidFill>
                          <a:schemeClr val="bg1">
                            <a:lumMod val="75000"/>
                          </a:schemeClr>
                        </a:solidFill>
                        <a:ln w="9525">
                          <a:noFill/>
                          <a:miter lim="800000"/>
                          <a:headEnd/>
                          <a:tailEnd/>
                        </a:ln>
                      </wps:spPr>
                      <wps:txbx>
                        <w:txbxContent>
                          <w:p w14:paraId="41138264" w14:textId="77777777" w:rsidR="00C72C48" w:rsidRPr="00447980" w:rsidRDefault="00C72C48" w:rsidP="00C72C48">
                            <w:pPr>
                              <w:jc w:val="center"/>
                              <w:rPr>
                                <w:b/>
                                <w:bCs/>
                                <w:color w:val="595959" w:themeColor="text1" w:themeTint="A6"/>
                                <w:sz w:val="14"/>
                                <w:szCs w:val="14"/>
                              </w:rPr>
                            </w:pPr>
                            <w:r w:rsidRPr="00447980">
                              <w:rPr>
                                <w:b/>
                                <w:bCs/>
                                <w:color w:val="595959" w:themeColor="text1" w:themeTint="A6"/>
                                <w:sz w:val="14"/>
                                <w:szCs w:val="14"/>
                              </w:rPr>
                              <w:t>Prior to FEC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5AC73" id="_x0000_s1145" type="#_x0000_t202" style="position:absolute;margin-left:20.6pt;margin-top:8.8pt;width:110.8pt;height:15.6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" fillcolor="#bfbfbf [2412]" stroked="f">
                <v:textbox>
                  <w:txbxContent>
                    <w:p w14:paraId="41138264" w14:textId="77777777" w:rsidR="00C72C48" w:rsidRPr="00447980" w:rsidRDefault="00C72C48" w:rsidP="00C72C48">
                      <w:pPr>
                        <w:jc w:val="center"/>
                        <w:rPr>
                          <w:b/>
                          <w:bCs/>
                          <w:color w:val="595959" w:themeColor="text1" w:themeTint="A6"/>
                          <w:sz w:val="14"/>
                          <w:szCs w:val="14"/>
                        </w:rPr>
                      </w:pPr>
                      <w:r w:rsidRPr="00447980">
                        <w:rPr>
                          <w:b/>
                          <w:bCs/>
                          <w:color w:val="595959" w:themeColor="text1" w:themeTint="A6"/>
                          <w:sz w:val="14"/>
                          <w:szCs w:val="14"/>
                        </w:rPr>
                        <w:t>Prior to FEC preparation</w:t>
                      </w:r>
                    </w:p>
                  </w:txbxContent>
                </v:textbox>
              </v:shape>
            </w:pict>
          </mc:Fallback>
        </mc:AlternateContent>
      </w:r>
      <w:r w:rsidR="00D03528">
        <w:rPr>
          <w:noProof/>
          <w:color w:val="002060"/>
          <w:sz w:val="24"/>
          <w:shd w:val="clear" w:color="auto" w:fill="E6E6E6"/>
        </w:rPr>
        <mc:AlternateContent>
          <mc:Choice Requires="wps">
            <w:drawing>
              <wp:anchor distT="45720" distB="45720" distL="114300" distR="114300" simplePos="0" relativeHeight="251658249" behindDoc="0" locked="0" layoutInCell="1" allowOverlap="1" wp14:anchorId="77268642" wp14:editId="18583BC3">
                <wp:simplePos x="0" y="0"/>
                <wp:positionH relativeFrom="column">
                  <wp:posOffset>44450</wp:posOffset>
                </wp:positionH>
                <wp:positionV relativeFrom="paragraph">
                  <wp:posOffset>717550</wp:posOffset>
                </wp:positionV>
                <wp:extent cx="5799455" cy="971550"/>
                <wp:effectExtent l="0" t="0" r="10795" b="19050"/>
                <wp:wrapTopAndBottom/>
                <wp:docPr id="865771046" name="Text Box 86577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971550"/>
                        </a:xfrm>
                        <a:prstGeom prst="rect">
                          <a:avLst/>
                        </a:prstGeom>
                        <a:solidFill>
                          <a:srgbClr val="FFFFFF"/>
                        </a:solidFill>
                        <a:ln w="9525">
                          <a:solidFill>
                            <a:schemeClr val="tx2"/>
                          </a:solidFill>
                          <a:miter lim="800000"/>
                          <a:headEnd/>
                          <a:tailEnd/>
                        </a:ln>
                      </wps:spPr>
                      <wps:txbx>
                        <w:txbxContent>
                          <w:p w14:paraId="4F0DBD8D" w14:textId="1F2FE2CD" w:rsidR="00EF0F26" w:rsidRPr="00D03528" w:rsidRDefault="00746F6D" w:rsidP="001E514E">
                            <w:pPr>
                              <w:rPr>
                                <w:sz w:val="18"/>
                                <w:szCs w:val="18"/>
                              </w:rPr>
                            </w:pPr>
                            <w:hyperlink w:anchor="_Pielikums_B._Izmantoto" w:history="1">
                              <w:r>
                                <w:rPr>
                                  <w:rStyle w:val="Hipersaite"/>
                                  <w:sz w:val="18"/>
                                </w:rPr>
                                <w:t>Documents to be used</w:t>
                              </w:r>
                            </w:hyperlink>
                            <w:r>
                              <w:rPr>
                                <w:sz w:val="18"/>
                              </w:rPr>
                              <w:t>:</w:t>
                            </w:r>
                          </w:p>
                          <w:p w14:paraId="25DB6B9B" w14:textId="19A3295C" w:rsidR="00EF0F26" w:rsidRPr="00562B8A" w:rsidRDefault="00EF0F26" w:rsidP="008B6449">
                            <w:pPr>
                              <w:pStyle w:val="Sarakstarindkopa"/>
                              <w:numPr>
                                <w:ilvl w:val="0"/>
                                <w:numId w:val="38"/>
                              </w:numPr>
                              <w:rPr>
                                <w:rStyle w:val="Hipersaite"/>
                                <w:rFonts w:ascii="Verdana" w:hAnsi="Verdana"/>
                                <w:color w:val="auto"/>
                                <w:sz w:val="18"/>
                                <w:u w:val="none"/>
                              </w:rPr>
                            </w:pPr>
                            <w:r>
                              <w:rPr>
                                <w:rStyle w:val="Hipersaite"/>
                                <w:color w:val="auto"/>
                                <w:sz w:val="18"/>
                                <w:u w:val="none"/>
                              </w:rPr>
                              <w:t>A Guide to the Assessment of VFM</w:t>
                            </w:r>
                          </w:p>
                          <w:p w14:paraId="09179559" w14:textId="7B12C6AF" w:rsidR="00EF0F26" w:rsidRPr="00562B8A" w:rsidRDefault="00EF0F26" w:rsidP="008B6449">
                            <w:pPr>
                              <w:pStyle w:val="Sarakstarindkopa"/>
                              <w:numPr>
                                <w:ilvl w:val="0"/>
                                <w:numId w:val="38"/>
                              </w:numPr>
                              <w:rPr>
                                <w:rStyle w:val="eop"/>
                                <w:rFonts w:ascii="Verdana" w:hAnsi="Verdana"/>
                                <w:sz w:val="18"/>
                              </w:rPr>
                            </w:pPr>
                            <w:r>
                              <w:rPr>
                                <w:rStyle w:val="normaltextrun"/>
                                <w:rFonts w:ascii="Verdana" w:hAnsi="Verdana"/>
                                <w:color w:val="000000"/>
                                <w:sz w:val="18"/>
                                <w:shd w:val="clear" w:color="auto" w:fill="FFFFFF"/>
                              </w:rPr>
                              <w:t>Recommendations, Guidelines and Best Practices Bearing on Competitive Neutrality</w:t>
                            </w:r>
                            <w:r>
                              <w:rPr>
                                <w:rStyle w:val="eop"/>
                                <w:rFonts w:ascii="Verdana" w:hAnsi="Verdana"/>
                                <w:color w:val="000000"/>
                                <w:sz w:val="18"/>
                                <w:shd w:val="clear" w:color="auto" w:fill="FFFFFF"/>
                              </w:rPr>
                              <w:t> </w:t>
                            </w:r>
                          </w:p>
                          <w:p w14:paraId="3053C65D" w14:textId="0A31FC42" w:rsidR="00EF0F26" w:rsidRPr="00D03528" w:rsidRDefault="00EF0F26" w:rsidP="008B6449">
                            <w:pPr>
                              <w:pStyle w:val="Sarakstarindkopa"/>
                              <w:numPr>
                                <w:ilvl w:val="0"/>
                                <w:numId w:val="38"/>
                              </w:numPr>
                              <w:rPr>
                                <w:rFonts w:ascii="Verdana" w:hAnsi="Verdana"/>
                                <w:sz w:val="18"/>
                              </w:rPr>
                            </w:pPr>
                            <w:r>
                              <w:rPr>
                                <w:sz w:val="18"/>
                              </w:rPr>
                              <w:t>A Guide to ECBA Preparation</w:t>
                            </w:r>
                          </w:p>
                          <w:p w14:paraId="3AA72866" w14:textId="75B8DDEA" w:rsidR="00EF0F26" w:rsidRPr="00D03528" w:rsidRDefault="00EF0F26" w:rsidP="008B6449">
                            <w:pPr>
                              <w:pStyle w:val="Sarakstarindkopa"/>
                              <w:numPr>
                                <w:ilvl w:val="0"/>
                                <w:numId w:val="38"/>
                              </w:numPr>
                              <w:rPr>
                                <w:rFonts w:ascii="Verdana" w:hAnsi="Verdana"/>
                                <w:sz w:val="18"/>
                              </w:rPr>
                            </w:pPr>
                            <w:r>
                              <w:rPr>
                                <w:sz w:val="18"/>
                              </w:rPr>
                              <w:t>A Guide to the Statistical Treatment of PPPs</w:t>
                            </w:r>
                          </w:p>
                          <w:p w14:paraId="595D1B63" w14:textId="105FB5A1" w:rsidR="00EF0F26" w:rsidRPr="001E514E" w:rsidRDefault="00EF0F26" w:rsidP="001E514E">
                            <w:pPr>
                              <w:pStyle w:val="Sarakstarindkopa"/>
                              <w:rPr>
                                <w:rFonts w:ascii="Verdana" w:hAnsi="Verdana"/>
                                <w:sz w:val="18"/>
                                <w:szCs w:val="18"/>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8642" id="Text Box 865771046" o:spid="_x0000_s1146" type="#_x0000_t202" style="position:absolute;margin-left:3.5pt;margin-top:56.5pt;width:456.65pt;height:7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" strokecolor="#44546a [3215]">
                <v:textbox>
                  <w:txbxContent>
                    <w:p w14:paraId="4F0DBD8D" w14:textId="1F2FE2CD" w:rsidR="00EF0F26" w:rsidRPr="00D03528" w:rsidRDefault="00746F6D" w:rsidP="001E514E">
                      <w:pPr>
                        <w:rPr>
                          <w:sz w:val="18"/>
                          <w:szCs w:val="18"/>
                        </w:rPr>
                      </w:pPr>
                      <w:hyperlink w:anchor="_Pielikums_B._Izmantoto" w:history="1">
                        <w:r>
                          <w:rPr>
                            <w:rStyle w:val="Hipersaite"/>
                            <w:sz w:val="18"/>
                          </w:rPr>
                          <w:t>Documents to be used</w:t>
                        </w:r>
                      </w:hyperlink>
                      <w:r>
                        <w:rPr>
                          <w:sz w:val="18"/>
                        </w:rPr>
                        <w:t>:</w:t>
                      </w:r>
                    </w:p>
                    <w:p w14:paraId="25DB6B9B" w14:textId="19A3295C" w:rsidR="00EF0F26" w:rsidRPr="00562B8A" w:rsidRDefault="00EF0F26" w:rsidP="008B6449">
                      <w:pPr>
                        <w:pStyle w:val="Sarakstarindkopa"/>
                        <w:numPr>
                          <w:ilvl w:val="0"/>
                          <w:numId w:val="38"/>
                        </w:numPr>
                        <w:rPr>
                          <w:rStyle w:val="Hipersaite"/>
                          <w:rFonts w:ascii="Verdana" w:hAnsi="Verdana"/>
                          <w:color w:val="auto"/>
                          <w:sz w:val="18"/>
                          <w:u w:val="none"/>
                        </w:rPr>
                      </w:pPr>
                      <w:r>
                        <w:rPr>
                          <w:rStyle w:val="Hipersaite"/>
                          <w:color w:val="auto"/>
                          <w:sz w:val="18"/>
                          <w:u w:val="none"/>
                        </w:rPr>
                        <w:t>A Guide to the Assessment of VFM</w:t>
                      </w:r>
                    </w:p>
                    <w:p w14:paraId="09179559" w14:textId="7B12C6AF" w:rsidR="00EF0F26" w:rsidRPr="00562B8A" w:rsidRDefault="00EF0F26" w:rsidP="008B6449">
                      <w:pPr>
                        <w:pStyle w:val="Sarakstarindkopa"/>
                        <w:numPr>
                          <w:ilvl w:val="0"/>
                          <w:numId w:val="38"/>
                        </w:numPr>
                        <w:rPr>
                          <w:rStyle w:val="eop"/>
                          <w:rFonts w:ascii="Verdana" w:hAnsi="Verdana"/>
                          <w:sz w:val="18"/>
                        </w:rPr>
                      </w:pPr>
                      <w:r>
                        <w:rPr>
                          <w:rStyle w:val="normaltextrun"/>
                          <w:rFonts w:ascii="Verdana" w:hAnsi="Verdana"/>
                          <w:color w:val="000000"/>
                          <w:sz w:val="18"/>
                          <w:shd w:val="clear" w:color="auto" w:fill="FFFFFF"/>
                        </w:rPr>
                        <w:t>Recommendations, Guidelines and Best Practices Bearing on Competitive Neutrality</w:t>
                      </w:r>
                      <w:r>
                        <w:rPr>
                          <w:rStyle w:val="eop"/>
                          <w:rFonts w:ascii="Verdana" w:hAnsi="Verdana"/>
                          <w:color w:val="000000"/>
                          <w:sz w:val="18"/>
                          <w:shd w:val="clear" w:color="auto" w:fill="FFFFFF"/>
                        </w:rPr>
                        <w:t> </w:t>
                      </w:r>
                    </w:p>
                    <w:p w14:paraId="3053C65D" w14:textId="0A31FC42" w:rsidR="00EF0F26" w:rsidRPr="00D03528" w:rsidRDefault="00EF0F26" w:rsidP="008B6449">
                      <w:pPr>
                        <w:pStyle w:val="Sarakstarindkopa"/>
                        <w:numPr>
                          <w:ilvl w:val="0"/>
                          <w:numId w:val="38"/>
                        </w:numPr>
                        <w:rPr>
                          <w:rFonts w:ascii="Verdana" w:hAnsi="Verdana"/>
                          <w:sz w:val="18"/>
                        </w:rPr>
                      </w:pPr>
                      <w:r>
                        <w:rPr>
                          <w:sz w:val="18"/>
                        </w:rPr>
                        <w:t>A Guide to ECBA Preparation</w:t>
                      </w:r>
                    </w:p>
                    <w:p w14:paraId="3AA72866" w14:textId="75B8DDEA" w:rsidR="00EF0F26" w:rsidRPr="00D03528" w:rsidRDefault="00EF0F26" w:rsidP="008B6449">
                      <w:pPr>
                        <w:pStyle w:val="Sarakstarindkopa"/>
                        <w:numPr>
                          <w:ilvl w:val="0"/>
                          <w:numId w:val="38"/>
                        </w:numPr>
                        <w:rPr>
                          <w:rFonts w:ascii="Verdana" w:hAnsi="Verdana"/>
                          <w:sz w:val="18"/>
                        </w:rPr>
                      </w:pPr>
                      <w:r>
                        <w:rPr>
                          <w:sz w:val="18"/>
                        </w:rPr>
                        <w:t>A Guide to the Statistical Treatment of PPPs</w:t>
                      </w:r>
                    </w:p>
                    <w:p w14:paraId="595D1B63" w14:textId="105FB5A1" w:rsidR="00EF0F26" w:rsidRPr="001E514E" w:rsidRDefault="00EF0F26" w:rsidP="001E514E">
                      <w:pPr>
                        <w:pStyle w:val="Sarakstarindkopa"/>
                        <w:rPr>
                          <w:rFonts w:ascii="Verdana" w:hAnsi="Verdana"/>
                          <w:sz w:val="18"/>
                          <w:szCs w:val="18"/>
                          <w:lang w:val="lv-LV"/>
                        </w:rPr>
                      </w:pPr>
                    </w:p>
                  </w:txbxContent>
                </v:textbox>
                <w10:wrap type="topAndBottom"/>
              </v:shape>
            </w:pict>
          </mc:Fallback>
        </mc:AlternateContent>
      </w:r>
      <w:r w:rsidR="00D03528">
        <w:rPr>
          <w:noProof/>
        </w:rPr>
        <w:drawing>
          <wp:inline distT="0" distB="0" distL="0" distR="0" wp14:anchorId="720403F0" wp14:editId="799AC2CF">
            <wp:extent cx="5943600" cy="667385"/>
            <wp:effectExtent l="0" t="0" r="0" b="0"/>
            <wp:docPr id="803084723" name="Picture 80308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667385"/>
                    </a:xfrm>
                    <a:prstGeom prst="rect">
                      <a:avLst/>
                    </a:prstGeom>
                  </pic:spPr>
                </pic:pic>
              </a:graphicData>
            </a:graphic>
          </wp:inline>
        </w:drawing>
      </w:r>
    </w:p>
    <w:p w14:paraId="60541ACB" w14:textId="129C0A4B" w:rsidR="001E514E" w:rsidRPr="00251B39" w:rsidRDefault="00575DE1" w:rsidP="00841FF0">
      <w:pPr>
        <w:rPr>
          <w:color w:val="002060"/>
          <w:sz w:val="20"/>
          <w:szCs w:val="20"/>
        </w:rPr>
      </w:pPr>
      <w:r w:rsidRPr="00CC7CF8">
        <w:rPr>
          <w:rFonts w:ascii="Verdana" w:hAnsi="Verdana"/>
          <w:noProof/>
          <w:sz w:val="18"/>
        </w:rPr>
        <mc:AlternateContent>
          <mc:Choice Requires="wps">
            <w:drawing>
              <wp:anchor distT="45720" distB="45720" distL="114300" distR="114300" simplePos="0" relativeHeight="251658379" behindDoc="0" locked="0" layoutInCell="1" allowOverlap="1" wp14:anchorId="30489B65" wp14:editId="082AE8A1">
                <wp:simplePos x="0" y="0"/>
                <wp:positionH relativeFrom="margin">
                  <wp:posOffset>3467073</wp:posOffset>
                </wp:positionH>
                <wp:positionV relativeFrom="paragraph">
                  <wp:posOffset>974780</wp:posOffset>
                </wp:positionV>
                <wp:extent cx="2439035" cy="640715"/>
                <wp:effectExtent l="19050" t="19050" r="18415" b="26035"/>
                <wp:wrapNone/>
                <wp:docPr id="654644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640715"/>
                        </a:xfrm>
                        <a:prstGeom prst="rect">
                          <a:avLst/>
                        </a:prstGeom>
                        <a:solidFill>
                          <a:srgbClr val="FFFFFF"/>
                        </a:solidFill>
                        <a:ln w="28575">
                          <a:solidFill>
                            <a:schemeClr val="accent1"/>
                          </a:solidFill>
                          <a:miter lim="800000"/>
                          <a:headEnd/>
                          <a:tailEnd/>
                        </a:ln>
                      </wps:spPr>
                      <wps:txbx>
                        <w:txbxContent>
                          <w:p w14:paraId="7B65ED9E" w14:textId="77777777" w:rsidR="00575DE1" w:rsidRDefault="00575DE1" w:rsidP="00575DE1">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1059C1BC" w14:textId="1DF628EE" w:rsidR="00575DE1" w:rsidRPr="007217EE" w:rsidRDefault="00575DE1" w:rsidP="00575DE1">
                            <w:pPr>
                              <w:jc w:val="center"/>
                              <w:rPr>
                                <w:b/>
                                <w:bCs/>
                                <w:sz w:val="12"/>
                                <w:szCs w:val="12"/>
                              </w:rPr>
                            </w:pPr>
                            <w:r>
                              <w:rPr>
                                <w:b/>
                                <w:bCs/>
                                <w:sz w:val="12"/>
                                <w:szCs w:val="12"/>
                              </w:rPr>
                              <w:t>Best alternative contract type for project implementation determined and expected contract price calculated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89B65" id="_x0000_s1147" type="#_x0000_t202" style="position:absolute;margin-left:273pt;margin-top:76.75pt;width:192.05pt;height:50.45pt;z-index:2516583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" strokecolor="#86bc25 [3204]" strokeweight="2.25pt">
                <v:textbox>
                  <w:txbxContent>
                    <w:p w14:paraId="7B65ED9E" w14:textId="77777777" w:rsidR="00575DE1" w:rsidRDefault="00575DE1" w:rsidP="00575DE1">
                      <w:pPr>
                        <w:jc w:val="center"/>
                        <w:rPr>
                          <w:b/>
                          <w:bCs/>
                          <w:color w:val="86BC25" w:themeColor="accent1"/>
                          <w:sz w:val="12"/>
                          <w:szCs w:val="12"/>
                        </w:rPr>
                      </w:pPr>
                      <w:r w:rsidRPr="00CC7CF8">
                        <w:rPr>
                          <w:b/>
                          <w:bCs/>
                          <w:color w:val="86BC25" w:themeColor="accent1"/>
                          <w:sz w:val="12"/>
                          <w:szCs w:val="12"/>
                        </w:rPr>
                        <w:t>O</w:t>
                      </w:r>
                      <w:r>
                        <w:rPr>
                          <w:b/>
                          <w:bCs/>
                          <w:color w:val="86BC25" w:themeColor="accent1"/>
                          <w:sz w:val="12"/>
                          <w:szCs w:val="12"/>
                        </w:rPr>
                        <w:t>utcome:</w:t>
                      </w:r>
                    </w:p>
                    <w:p w14:paraId="1059C1BC" w14:textId="1DF628EE" w:rsidR="00575DE1" w:rsidRPr="007217EE" w:rsidRDefault="00575DE1" w:rsidP="00575DE1">
                      <w:pPr>
                        <w:jc w:val="center"/>
                        <w:rPr>
                          <w:b/>
                          <w:bCs/>
                          <w:sz w:val="12"/>
                          <w:szCs w:val="12"/>
                        </w:rPr>
                      </w:pPr>
                      <w:r>
                        <w:rPr>
                          <w:b/>
                          <w:bCs/>
                          <w:sz w:val="12"/>
                          <w:szCs w:val="12"/>
                        </w:rPr>
                        <w:t>Best alternative contract type for project implementation determined and expected contract price calculated</w:t>
                      </w:r>
                    </w:p>
                  </w:txbxContent>
                </v:textbox>
                <w10:wrap anchorx="margin"/>
              </v:shape>
            </w:pict>
          </mc:Fallback>
        </mc:AlternateContent>
      </w:r>
      <w:r w:rsidRPr="00CC7CF8">
        <w:rPr>
          <w:rFonts w:ascii="Verdana" w:hAnsi="Verdana"/>
          <w:noProof/>
          <w:sz w:val="18"/>
        </w:rPr>
        <mc:AlternateContent>
          <mc:Choice Requires="wps">
            <w:drawing>
              <wp:anchor distT="45720" distB="45720" distL="114300" distR="114300" simplePos="0" relativeHeight="251658378" behindDoc="0" locked="0" layoutInCell="1" allowOverlap="1" wp14:anchorId="3A30E336" wp14:editId="249AB23C">
                <wp:simplePos x="0" y="0"/>
                <wp:positionH relativeFrom="margin">
                  <wp:align>left</wp:align>
                </wp:positionH>
                <wp:positionV relativeFrom="paragraph">
                  <wp:posOffset>997917</wp:posOffset>
                </wp:positionV>
                <wp:extent cx="2397760" cy="521335"/>
                <wp:effectExtent l="19050" t="19050" r="21590" b="12065"/>
                <wp:wrapNone/>
                <wp:docPr id="562877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21335"/>
                        </a:xfrm>
                        <a:prstGeom prst="rect">
                          <a:avLst/>
                        </a:prstGeom>
                        <a:solidFill>
                          <a:srgbClr val="FFFFFF"/>
                        </a:solidFill>
                        <a:ln w="28575">
                          <a:solidFill>
                            <a:srgbClr val="92D050"/>
                          </a:solidFill>
                          <a:miter lim="800000"/>
                          <a:headEnd/>
                          <a:tailEnd/>
                        </a:ln>
                      </wps:spPr>
                      <wps:txbx>
                        <w:txbxContent>
                          <w:p w14:paraId="48F6273F" w14:textId="77777777" w:rsidR="00575DE1" w:rsidRDefault="00575DE1" w:rsidP="00575DE1">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264C89D9" w14:textId="74A68C6A" w:rsidR="00575DE1" w:rsidRPr="007217EE" w:rsidRDefault="00575DE1" w:rsidP="00575DE1">
                            <w:pPr>
                              <w:jc w:val="center"/>
                              <w:rPr>
                                <w:b/>
                                <w:bCs/>
                                <w:sz w:val="12"/>
                                <w:szCs w:val="12"/>
                              </w:rPr>
                            </w:pPr>
                            <w:r>
                              <w:rPr>
                                <w:b/>
                                <w:bCs/>
                                <w:sz w:val="12"/>
                                <w:szCs w:val="12"/>
                              </w:rPr>
                              <w:t xml:space="preserve">Prepare the Financial Model for the assessment of the PPP arrangement/ model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E336" id="_x0000_s1148" type="#_x0000_t202" style="position:absolute;margin-left:0;margin-top:78.6pt;width:188.8pt;height:41.05pt;z-index:2516583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" strokecolor="#92d050" strokeweight="2.25pt">
                <v:textbox>
                  <w:txbxContent>
                    <w:p w14:paraId="48F6273F" w14:textId="77777777" w:rsidR="00575DE1" w:rsidRDefault="00575DE1" w:rsidP="00575DE1">
                      <w:pPr>
                        <w:jc w:val="center"/>
                        <w:rPr>
                          <w:b/>
                          <w:bCs/>
                          <w:color w:val="86BC25" w:themeColor="accent1"/>
                          <w:sz w:val="12"/>
                          <w:szCs w:val="12"/>
                        </w:rPr>
                      </w:pPr>
                      <w:r w:rsidRPr="00CC7CF8">
                        <w:rPr>
                          <w:b/>
                          <w:bCs/>
                          <w:color w:val="86BC25" w:themeColor="accent1"/>
                          <w:sz w:val="12"/>
                          <w:szCs w:val="12"/>
                        </w:rPr>
                        <w:t>Objective</w:t>
                      </w:r>
                      <w:r>
                        <w:rPr>
                          <w:b/>
                          <w:bCs/>
                          <w:color w:val="86BC25" w:themeColor="accent1"/>
                          <w:sz w:val="12"/>
                          <w:szCs w:val="12"/>
                        </w:rPr>
                        <w:t>:</w:t>
                      </w:r>
                    </w:p>
                    <w:p w14:paraId="264C89D9" w14:textId="74A68C6A" w:rsidR="00575DE1" w:rsidRPr="007217EE" w:rsidRDefault="00575DE1" w:rsidP="00575DE1">
                      <w:pPr>
                        <w:jc w:val="center"/>
                        <w:rPr>
                          <w:b/>
                          <w:bCs/>
                          <w:sz w:val="12"/>
                          <w:szCs w:val="12"/>
                        </w:rPr>
                      </w:pPr>
                      <w:r>
                        <w:rPr>
                          <w:b/>
                          <w:bCs/>
                          <w:sz w:val="12"/>
                          <w:szCs w:val="12"/>
                        </w:rPr>
                        <w:t xml:space="preserve">Prepare the Financial Model for the assessment of the PPP arrangement/ model </w:t>
                      </w:r>
                    </w:p>
                  </w:txbxContent>
                </v:textbox>
                <w10:wrap anchorx="margin"/>
              </v:shape>
            </w:pict>
          </mc:Fallback>
        </mc:AlternateContent>
      </w:r>
      <w:r w:rsidR="001E514E">
        <w:rPr>
          <w:noProof/>
        </w:rPr>
        <w:drawing>
          <wp:inline distT="0" distB="0" distL="0" distR="0" wp14:anchorId="38239A33" wp14:editId="1CFBDBC5">
            <wp:extent cx="5943600" cy="591185"/>
            <wp:effectExtent l="0" t="0" r="0" b="0"/>
            <wp:docPr id="1787612509" name="Picture 17876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943600" cy="591185"/>
                    </a:xfrm>
                    <a:prstGeom prst="rect">
                      <a:avLst/>
                    </a:prstGeom>
                  </pic:spPr>
                </pic:pic>
              </a:graphicData>
            </a:graphic>
          </wp:inline>
        </w:drawing>
      </w:r>
    </w:p>
    <w:p w14:paraId="25A40506" w14:textId="4645D51C" w:rsidR="008C5DC0" w:rsidRPr="00251B39" w:rsidRDefault="008C5DC0" w:rsidP="008B6449">
      <w:pPr>
        <w:pStyle w:val="Virsraksts2"/>
        <w:numPr>
          <w:ilvl w:val="1"/>
          <w:numId w:val="16"/>
        </w:numPr>
        <w:rPr>
          <w:rFonts w:asciiTheme="minorHAnsi" w:hAnsiTheme="minorHAnsi"/>
        </w:rPr>
      </w:pPr>
      <w:bookmarkStart w:id="166" w:name="_Novērtēšanas_pieejas_apraksts"/>
      <w:bookmarkStart w:id="167" w:name="_Toc2879282"/>
      <w:bookmarkStart w:id="168" w:name="_Toc3205490"/>
      <w:bookmarkStart w:id="169" w:name="_Toc3246840"/>
      <w:bookmarkStart w:id="170" w:name="_Toc3249549"/>
      <w:bookmarkStart w:id="171" w:name="_Toc3759971"/>
      <w:bookmarkStart w:id="172" w:name="_Toc3805008"/>
      <w:bookmarkStart w:id="173" w:name="_Toc178586371"/>
      <w:bookmarkEnd w:id="166"/>
      <w:r>
        <w:rPr>
          <w:rFonts w:asciiTheme="minorHAnsi" w:hAnsiTheme="minorHAnsi"/>
        </w:rPr>
        <w:t>Description of the Evaluation Approach</w:t>
      </w:r>
      <w:bookmarkEnd w:id="167"/>
      <w:bookmarkEnd w:id="168"/>
      <w:bookmarkEnd w:id="169"/>
      <w:bookmarkEnd w:id="170"/>
      <w:bookmarkEnd w:id="171"/>
      <w:bookmarkEnd w:id="172"/>
      <w:bookmarkEnd w:id="173"/>
    </w:p>
    <w:p w14:paraId="20617359" w14:textId="3647C5EE" w:rsidR="008C5DC0" w:rsidRPr="00251B39" w:rsidRDefault="008C5DC0" w:rsidP="008C5DC0">
      <w:pPr>
        <w:spacing w:after="0" w:line="240" w:lineRule="auto"/>
        <w:rPr>
          <w:sz w:val="18"/>
          <w:szCs w:val="18"/>
          <w:lang w:val="lv-LV"/>
        </w:rPr>
      </w:pPr>
    </w:p>
    <w:p w14:paraId="2C81B416" w14:textId="56082C65" w:rsidR="0023314E" w:rsidRPr="00251B39" w:rsidRDefault="0023314E" w:rsidP="00D03528">
      <w:pPr>
        <w:autoSpaceDE w:val="0"/>
        <w:autoSpaceDN w:val="0"/>
        <w:adjustRightInd w:val="0"/>
        <w:spacing w:line="240" w:lineRule="auto"/>
        <w:jc w:val="both"/>
        <w:rPr>
          <w:sz w:val="18"/>
          <w:szCs w:val="18"/>
        </w:rPr>
      </w:pPr>
      <w:r>
        <w:rPr>
          <w:sz w:val="18"/>
        </w:rPr>
        <w:t>The calculation of Value for Money (VFM) shall be made for each PPP arrangement and PPP model that the public partner has determined, in accordance with Chapters 2 and 3 of the Guidelines, to be appropriate for the implementation of the PPP project. VFM means the best available outcome, analysing all the benefits, costs and risks expected over the life cycle of the PPP project.</w:t>
      </w:r>
    </w:p>
    <w:p w14:paraId="509362D5" w14:textId="601BBD9E" w:rsidR="00016D65" w:rsidRPr="00251B39" w:rsidRDefault="727EC473" w:rsidP="00D03528">
      <w:pPr>
        <w:autoSpaceDE w:val="0"/>
        <w:autoSpaceDN w:val="0"/>
        <w:adjustRightInd w:val="0"/>
        <w:spacing w:line="240" w:lineRule="auto"/>
        <w:jc w:val="both"/>
        <w:rPr>
          <w:sz w:val="18"/>
          <w:szCs w:val="18"/>
        </w:rPr>
      </w:pPr>
      <w:r>
        <w:rPr>
          <w:sz w:val="18"/>
        </w:rPr>
        <w:t>The VFM calculation includes an evaluation of the costs of the PPP project and a comparison of two or more alternatives: (a) the PPP model implemented under the PPP arrangement and (b) the traditional procurement or Baseline Model. Alternatives are compared on the assumption that all alternatives provide the same quality and quantity of works or services. However, the timetable of the costs of the compared alternatives may differ significantly, i.e:</w:t>
      </w:r>
    </w:p>
    <w:p w14:paraId="0A82A02B" w14:textId="04F6D5A5" w:rsidR="00A954E2" w:rsidRPr="00251B39" w:rsidRDefault="00016D65" w:rsidP="7949AB19">
      <w:pPr>
        <w:pStyle w:val="Sarakstarindkopa"/>
        <w:numPr>
          <w:ilvl w:val="0"/>
          <w:numId w:val="19"/>
        </w:numPr>
        <w:autoSpaceDE w:val="0"/>
        <w:autoSpaceDN w:val="0"/>
        <w:adjustRightInd w:val="0"/>
        <w:spacing w:after="120" w:line="240" w:lineRule="auto"/>
        <w:ind w:left="714" w:hanging="357"/>
        <w:contextualSpacing w:val="0"/>
        <w:jc w:val="both"/>
        <w:rPr>
          <w:i/>
          <w:sz w:val="18"/>
          <w:szCs w:val="18"/>
        </w:rPr>
      </w:pPr>
      <w:r>
        <w:rPr>
          <w:b/>
          <w:sz w:val="18"/>
        </w:rPr>
        <w:t>in the case of a PPP</w:t>
      </w:r>
      <w:r>
        <w:rPr>
          <w:sz w:val="18"/>
        </w:rPr>
        <w:t>, the obligation of the public partner and/or the users</w:t>
      </w:r>
      <w:r>
        <w:rPr>
          <w:i/>
          <w:sz w:val="18"/>
        </w:rPr>
        <w:t xml:space="preserve"> </w:t>
      </w:r>
      <w:r>
        <w:rPr>
          <w:sz w:val="18"/>
        </w:rPr>
        <w:t xml:space="preserve">to start making payments arises when the private partner has completed the works or started to provide the services specified in the Partnership Contract. Payments are made regularly throughout the duration of the Partnership Contract  </w:t>
      </w:r>
    </w:p>
    <w:p w14:paraId="2526BD45" w14:textId="0C6EC68E" w:rsidR="00B91FEC" w:rsidRPr="00B23F9F" w:rsidRDefault="7949AB19" w:rsidP="008B6449">
      <w:pPr>
        <w:pStyle w:val="Sarakstarindkopa"/>
        <w:numPr>
          <w:ilvl w:val="0"/>
          <w:numId w:val="19"/>
        </w:numPr>
        <w:autoSpaceDE w:val="0"/>
        <w:autoSpaceDN w:val="0"/>
        <w:adjustRightInd w:val="0"/>
        <w:spacing w:after="120" w:line="240" w:lineRule="auto"/>
        <w:ind w:left="714" w:hanging="357"/>
        <w:contextualSpacing w:val="0"/>
        <w:jc w:val="both"/>
        <w:rPr>
          <w:i/>
          <w:sz w:val="18"/>
          <w:szCs w:val="18"/>
        </w:rPr>
      </w:pPr>
      <w:r>
        <w:rPr>
          <w:b/>
          <w:sz w:val="18"/>
        </w:rPr>
        <w:t>in the case of traditional procurement</w:t>
      </w:r>
      <w:r>
        <w:rPr>
          <w:sz w:val="18"/>
        </w:rPr>
        <w:t>, the public partner starts payments already during the development and implementation of the works or services. Payments may be continued during the provision of the service or the maintenance of the structure if the provision of the service or the maintenance of the structure is carried out by the successful tenderer in a traditional procurement</w:t>
      </w:r>
    </w:p>
    <w:p w14:paraId="4788CFF5" w14:textId="716201FE" w:rsidR="00B91FEC" w:rsidRDefault="00B23F9F" w:rsidP="68A3781E">
      <w:pPr>
        <w:autoSpaceDE w:val="0"/>
        <w:autoSpaceDN w:val="0"/>
        <w:adjustRightInd w:val="0"/>
        <w:spacing w:after="0" w:line="240" w:lineRule="auto"/>
        <w:jc w:val="both"/>
        <w:rPr>
          <w:sz w:val="18"/>
          <w:szCs w:val="18"/>
        </w:rPr>
      </w:pPr>
      <w:r>
        <w:rPr>
          <w:sz w:val="18"/>
        </w:rPr>
        <w:t>The calculation of VFM does not include non-financial benefits of the PPP arrangement and the PPP model, as these cannot be measured in monetary terms with sufficient reliability. However, when deciding whether to implement the PPP project, the financial benefits need to be assessed together with the non-financial benefits identified in the FEC (see Chapter 3.1). See Annex A (Schematic Representation of the Development of FEC) for the impact of non-financial benefits on project implementation.</w:t>
      </w:r>
    </w:p>
    <w:p w14:paraId="0172758F" w14:textId="77777777" w:rsidR="00B91FEC" w:rsidRDefault="00B91FEC" w:rsidP="68A3781E">
      <w:pPr>
        <w:autoSpaceDE w:val="0"/>
        <w:autoSpaceDN w:val="0"/>
        <w:adjustRightInd w:val="0"/>
        <w:spacing w:after="0" w:line="240" w:lineRule="auto"/>
        <w:jc w:val="both"/>
        <w:rPr>
          <w:sz w:val="18"/>
          <w:szCs w:val="18"/>
          <w:lang w:val="lv-LV"/>
        </w:rPr>
      </w:pPr>
    </w:p>
    <w:p w14:paraId="60670623" w14:textId="7DC33AE1" w:rsidR="00B23F9F" w:rsidRDefault="00B23F9F" w:rsidP="00B23F9F">
      <w:pPr>
        <w:autoSpaceDE w:val="0"/>
        <w:autoSpaceDN w:val="0"/>
        <w:adjustRightInd w:val="0"/>
        <w:spacing w:after="0" w:line="240" w:lineRule="auto"/>
        <w:jc w:val="both"/>
        <w:rPr>
          <w:sz w:val="18"/>
          <w:szCs w:val="18"/>
        </w:rPr>
      </w:pPr>
      <w:r>
        <w:rPr>
          <w:sz w:val="18"/>
        </w:rPr>
        <w:t xml:space="preserve">VFM calculation is developed in three stages. The steps and potential challenges of each stage are described in Table 3.  </w:t>
      </w:r>
    </w:p>
    <w:p w14:paraId="1DF534E2" w14:textId="77777777" w:rsidR="00B91FEC" w:rsidRDefault="00B91FEC" w:rsidP="68A3781E">
      <w:pPr>
        <w:autoSpaceDE w:val="0"/>
        <w:autoSpaceDN w:val="0"/>
        <w:adjustRightInd w:val="0"/>
        <w:spacing w:after="0" w:line="240" w:lineRule="auto"/>
        <w:jc w:val="both"/>
        <w:rPr>
          <w:sz w:val="18"/>
          <w:szCs w:val="18"/>
          <w:lang w:val="lv-LV"/>
        </w:rPr>
      </w:pPr>
    </w:p>
    <w:p w14:paraId="4289107E" w14:textId="77777777" w:rsidR="00B91FEC" w:rsidRDefault="00B91FEC" w:rsidP="68A3781E">
      <w:pPr>
        <w:autoSpaceDE w:val="0"/>
        <w:autoSpaceDN w:val="0"/>
        <w:adjustRightInd w:val="0"/>
        <w:spacing w:after="0" w:line="240" w:lineRule="auto"/>
        <w:jc w:val="both"/>
        <w:rPr>
          <w:sz w:val="18"/>
          <w:szCs w:val="18"/>
          <w:lang w:val="lv-LV"/>
        </w:rPr>
      </w:pPr>
    </w:p>
    <w:p w14:paraId="1ED96738" w14:textId="77777777" w:rsidR="00B91FEC" w:rsidRDefault="00B91FEC" w:rsidP="68A3781E">
      <w:pPr>
        <w:autoSpaceDE w:val="0"/>
        <w:autoSpaceDN w:val="0"/>
        <w:adjustRightInd w:val="0"/>
        <w:spacing w:after="0" w:line="240" w:lineRule="auto"/>
        <w:jc w:val="both"/>
        <w:rPr>
          <w:sz w:val="18"/>
          <w:szCs w:val="18"/>
          <w:lang w:val="lv-LV"/>
        </w:rPr>
      </w:pPr>
    </w:p>
    <w:p w14:paraId="4ED64572" w14:textId="77777777" w:rsidR="00B91FEC" w:rsidRDefault="00B91FEC" w:rsidP="68A3781E">
      <w:pPr>
        <w:autoSpaceDE w:val="0"/>
        <w:autoSpaceDN w:val="0"/>
        <w:adjustRightInd w:val="0"/>
        <w:spacing w:after="0" w:line="240" w:lineRule="auto"/>
        <w:jc w:val="both"/>
        <w:rPr>
          <w:sz w:val="18"/>
          <w:szCs w:val="18"/>
          <w:lang w:val="lv-LV"/>
        </w:rPr>
      </w:pPr>
    </w:p>
    <w:p w14:paraId="55EB8EB3" w14:textId="77777777" w:rsidR="00B91FEC" w:rsidRDefault="00B91FEC" w:rsidP="68A3781E">
      <w:pPr>
        <w:autoSpaceDE w:val="0"/>
        <w:autoSpaceDN w:val="0"/>
        <w:adjustRightInd w:val="0"/>
        <w:spacing w:after="0" w:line="240" w:lineRule="auto"/>
        <w:jc w:val="both"/>
        <w:rPr>
          <w:sz w:val="18"/>
          <w:szCs w:val="18"/>
          <w:lang w:val="lv-LV"/>
        </w:rPr>
      </w:pPr>
    </w:p>
    <w:p w14:paraId="5272E1FA" w14:textId="77777777" w:rsidR="00B91FEC" w:rsidRDefault="00B91FEC" w:rsidP="68A3781E">
      <w:pPr>
        <w:autoSpaceDE w:val="0"/>
        <w:autoSpaceDN w:val="0"/>
        <w:adjustRightInd w:val="0"/>
        <w:spacing w:after="0" w:line="240" w:lineRule="auto"/>
        <w:jc w:val="both"/>
        <w:rPr>
          <w:sz w:val="18"/>
          <w:szCs w:val="18"/>
          <w:lang w:val="lv-LV"/>
        </w:rPr>
      </w:pPr>
    </w:p>
    <w:p w14:paraId="2A32E074" w14:textId="77777777" w:rsidR="00B91FEC" w:rsidRDefault="00B91FEC" w:rsidP="68A3781E">
      <w:pPr>
        <w:autoSpaceDE w:val="0"/>
        <w:autoSpaceDN w:val="0"/>
        <w:adjustRightInd w:val="0"/>
        <w:spacing w:after="0" w:line="240" w:lineRule="auto"/>
        <w:jc w:val="both"/>
        <w:rPr>
          <w:sz w:val="18"/>
          <w:szCs w:val="18"/>
          <w:lang w:val="lv-LV"/>
        </w:rPr>
      </w:pPr>
    </w:p>
    <w:p w14:paraId="778BA87E" w14:textId="77777777" w:rsidR="00B91FEC" w:rsidRDefault="00B91FEC" w:rsidP="68A3781E">
      <w:pPr>
        <w:autoSpaceDE w:val="0"/>
        <w:autoSpaceDN w:val="0"/>
        <w:adjustRightInd w:val="0"/>
        <w:spacing w:after="0" w:line="240" w:lineRule="auto"/>
        <w:jc w:val="both"/>
        <w:rPr>
          <w:sz w:val="18"/>
          <w:szCs w:val="18"/>
          <w:lang w:val="lv-LV"/>
        </w:rPr>
      </w:pPr>
    </w:p>
    <w:p w14:paraId="23358F70" w14:textId="77777777" w:rsidR="00B91FEC" w:rsidRDefault="00B91FEC" w:rsidP="68A3781E">
      <w:pPr>
        <w:autoSpaceDE w:val="0"/>
        <w:autoSpaceDN w:val="0"/>
        <w:adjustRightInd w:val="0"/>
        <w:spacing w:after="0" w:line="240" w:lineRule="auto"/>
        <w:jc w:val="both"/>
        <w:rPr>
          <w:sz w:val="18"/>
          <w:szCs w:val="18"/>
          <w:lang w:val="lv-LV"/>
        </w:rPr>
      </w:pPr>
    </w:p>
    <w:p w14:paraId="6C8C794C" w14:textId="77777777" w:rsidR="00B91FEC" w:rsidRDefault="00B91FEC" w:rsidP="68A3781E">
      <w:pPr>
        <w:autoSpaceDE w:val="0"/>
        <w:autoSpaceDN w:val="0"/>
        <w:adjustRightInd w:val="0"/>
        <w:spacing w:after="0" w:line="240" w:lineRule="auto"/>
        <w:jc w:val="both"/>
        <w:rPr>
          <w:sz w:val="18"/>
          <w:szCs w:val="18"/>
          <w:lang w:val="lv-LV"/>
        </w:rPr>
      </w:pPr>
    </w:p>
    <w:p w14:paraId="6965D65A" w14:textId="77777777" w:rsidR="00B91FEC" w:rsidRPr="00B91FEC" w:rsidRDefault="00B91FEC" w:rsidP="00B91FEC">
      <w:pPr>
        <w:autoSpaceDE w:val="0"/>
        <w:autoSpaceDN w:val="0"/>
        <w:adjustRightInd w:val="0"/>
        <w:spacing w:after="0" w:line="240" w:lineRule="auto"/>
        <w:jc w:val="both"/>
        <w:rPr>
          <w:sz w:val="18"/>
          <w:szCs w:val="18"/>
          <w:lang w:val="lv-LV"/>
        </w:rPr>
      </w:pPr>
    </w:p>
    <w:tbl>
      <w:tblPr>
        <w:tblStyle w:val="Reatabula"/>
        <w:tblW w:w="0" w:type="auto"/>
        <w:tblLayout w:type="fixed"/>
        <w:tblLook w:val="04A0" w:firstRow="1" w:lastRow="0" w:firstColumn="1" w:lastColumn="0" w:noHBand="0" w:noVBand="1"/>
      </w:tblPr>
      <w:tblGrid>
        <w:gridCol w:w="3116"/>
        <w:gridCol w:w="3117"/>
        <w:gridCol w:w="3117"/>
      </w:tblGrid>
      <w:tr w:rsidR="00220105" w:rsidRPr="00251B39" w14:paraId="145B5069" w14:textId="77777777" w:rsidTr="00BE3477">
        <w:trPr>
          <w:trHeight w:val="296"/>
        </w:trPr>
        <w:tc>
          <w:tcPr>
            <w:tcW w:w="3116" w:type="dxa"/>
            <w:shd w:val="clear" w:color="auto" w:fill="C7C8CA" w:themeFill="accent6" w:themeFillTint="66"/>
          </w:tcPr>
          <w:p w14:paraId="4AD87B9A" w14:textId="0015610E" w:rsidR="00220105" w:rsidRPr="00482209" w:rsidRDefault="00220105" w:rsidP="00363D3C">
            <w:pPr>
              <w:pStyle w:val="Sarakstarindkopa"/>
              <w:spacing w:before="120" w:after="120"/>
              <w:ind w:left="246"/>
              <w:jc w:val="center"/>
              <w:rPr>
                <w:b/>
                <w:sz w:val="16"/>
                <w:szCs w:val="16"/>
              </w:rPr>
            </w:pPr>
            <w:r>
              <w:rPr>
                <w:b/>
                <w:sz w:val="16"/>
              </w:rPr>
              <w:t>Stage 1</w:t>
            </w:r>
          </w:p>
        </w:tc>
        <w:tc>
          <w:tcPr>
            <w:tcW w:w="3117" w:type="dxa"/>
            <w:vMerge w:val="restart"/>
          </w:tcPr>
          <w:p w14:paraId="6E0AA074" w14:textId="6F32C2F6" w:rsidR="00220105" w:rsidRPr="00251B39" w:rsidRDefault="00220105" w:rsidP="00220105">
            <w:pPr>
              <w:spacing w:before="120" w:after="120"/>
              <w:jc w:val="center"/>
              <w:rPr>
                <w:b/>
                <w:i/>
                <w:sz w:val="16"/>
                <w:szCs w:val="16"/>
              </w:rPr>
            </w:pPr>
            <w:r>
              <w:rPr>
                <w:b/>
                <w:i/>
                <w:sz w:val="16"/>
              </w:rPr>
              <w:t>Challenges in calculating VFM</w:t>
            </w:r>
          </w:p>
        </w:tc>
        <w:tc>
          <w:tcPr>
            <w:tcW w:w="3117" w:type="dxa"/>
            <w:shd w:val="clear" w:color="auto" w:fill="C7C8CA" w:themeFill="accent6" w:themeFillTint="66"/>
          </w:tcPr>
          <w:p w14:paraId="28BA765B" w14:textId="126C30BB" w:rsidR="00220105" w:rsidRPr="00482209" w:rsidRDefault="00220105" w:rsidP="00363D3C">
            <w:pPr>
              <w:pStyle w:val="Sarakstarindkopa"/>
              <w:spacing w:before="120" w:after="120"/>
              <w:ind w:left="134"/>
              <w:jc w:val="center"/>
              <w:rPr>
                <w:b/>
                <w:sz w:val="16"/>
                <w:szCs w:val="16"/>
              </w:rPr>
            </w:pPr>
            <w:r>
              <w:rPr>
                <w:b/>
                <w:sz w:val="16"/>
              </w:rPr>
              <w:t>Stage 2</w:t>
            </w:r>
          </w:p>
        </w:tc>
      </w:tr>
      <w:tr w:rsidR="00220105" w:rsidRPr="00251B39" w14:paraId="404646D0" w14:textId="77777777" w:rsidTr="00BE3477">
        <w:tc>
          <w:tcPr>
            <w:tcW w:w="3116" w:type="dxa"/>
            <w:shd w:val="clear" w:color="auto" w:fill="E7F5CF" w:themeFill="accent1" w:themeFillTint="33"/>
            <w:vAlign w:val="center"/>
          </w:tcPr>
          <w:p w14:paraId="0E288D56" w14:textId="1186A16C" w:rsidR="00220105" w:rsidRPr="00482209" w:rsidRDefault="00220105" w:rsidP="00482209">
            <w:pPr>
              <w:pStyle w:val="Sarakstarindkopa"/>
              <w:autoSpaceDE w:val="0"/>
              <w:autoSpaceDN w:val="0"/>
              <w:adjustRightInd w:val="0"/>
              <w:rPr>
                <w:b/>
                <w:sz w:val="16"/>
                <w:szCs w:val="16"/>
              </w:rPr>
            </w:pPr>
            <w:r>
              <w:rPr>
                <w:b/>
                <w:sz w:val="16"/>
              </w:rPr>
              <w:t>PPP Project Model</w:t>
            </w:r>
          </w:p>
        </w:tc>
        <w:tc>
          <w:tcPr>
            <w:tcW w:w="3117" w:type="dxa"/>
            <w:vMerge/>
          </w:tcPr>
          <w:p w14:paraId="44C2D0C4" w14:textId="77777777" w:rsidR="00220105" w:rsidRPr="00482209" w:rsidRDefault="00220105" w:rsidP="00762A56">
            <w:pPr>
              <w:autoSpaceDE w:val="0"/>
              <w:autoSpaceDN w:val="0"/>
              <w:adjustRightInd w:val="0"/>
              <w:jc w:val="both"/>
              <w:rPr>
                <w:sz w:val="16"/>
                <w:szCs w:val="16"/>
                <w:lang w:val="lv-LV"/>
              </w:rPr>
            </w:pPr>
          </w:p>
        </w:tc>
        <w:tc>
          <w:tcPr>
            <w:tcW w:w="3117" w:type="dxa"/>
            <w:shd w:val="clear" w:color="auto" w:fill="BAF7FF" w:themeFill="accent5" w:themeFillTint="33"/>
            <w:vAlign w:val="center"/>
          </w:tcPr>
          <w:p w14:paraId="00CFD5B6" w14:textId="53F6A00E" w:rsidR="00220105" w:rsidRPr="00482209" w:rsidRDefault="00220105" w:rsidP="00482209">
            <w:pPr>
              <w:pStyle w:val="Sarakstarindkopa"/>
              <w:autoSpaceDE w:val="0"/>
              <w:autoSpaceDN w:val="0"/>
              <w:adjustRightInd w:val="0"/>
              <w:rPr>
                <w:b/>
                <w:sz w:val="16"/>
                <w:szCs w:val="16"/>
              </w:rPr>
            </w:pPr>
            <w:r>
              <w:rPr>
                <w:b/>
                <w:sz w:val="16"/>
              </w:rPr>
              <w:t>Baseline Model</w:t>
            </w:r>
          </w:p>
        </w:tc>
      </w:tr>
      <w:tr w:rsidR="00762A56" w:rsidRPr="00746F6D" w14:paraId="596E9CA6" w14:textId="77777777" w:rsidTr="00BE3477">
        <w:trPr>
          <w:trHeight w:val="1463"/>
        </w:trPr>
        <w:tc>
          <w:tcPr>
            <w:tcW w:w="3116" w:type="dxa"/>
            <w:shd w:val="clear" w:color="auto" w:fill="E7F5CF" w:themeFill="accent1" w:themeFillTint="33"/>
            <w:vAlign w:val="center"/>
          </w:tcPr>
          <w:p w14:paraId="795BA0D1" w14:textId="5D7381A2" w:rsidR="00762A56" w:rsidRPr="00482209" w:rsidRDefault="00220105" w:rsidP="00666700">
            <w:pPr>
              <w:autoSpaceDE w:val="0"/>
              <w:autoSpaceDN w:val="0"/>
              <w:adjustRightInd w:val="0"/>
              <w:rPr>
                <w:b/>
                <w:i/>
                <w:sz w:val="16"/>
                <w:szCs w:val="16"/>
              </w:rPr>
            </w:pPr>
            <w:r>
              <w:rPr>
                <w:b/>
                <w:i/>
                <w:sz w:val="16"/>
              </w:rPr>
              <w:t>Step 1</w:t>
            </w:r>
          </w:p>
          <w:p w14:paraId="63176D08" w14:textId="0153E06E" w:rsidR="00220105" w:rsidRPr="00482209" w:rsidRDefault="6B3043BF" w:rsidP="00B91FEC">
            <w:pPr>
              <w:autoSpaceDE w:val="0"/>
              <w:autoSpaceDN w:val="0"/>
              <w:adjustRightInd w:val="0"/>
              <w:rPr>
                <w:sz w:val="16"/>
                <w:szCs w:val="16"/>
              </w:rPr>
            </w:pPr>
            <w:r>
              <w:rPr>
                <w:sz w:val="16"/>
              </w:rPr>
              <w:t xml:space="preserve">Develop the Financial Model including projected capital and maintenance costs and revenues, including identified efficiency/synergy benefits, if any. </w:t>
            </w:r>
          </w:p>
        </w:tc>
        <w:tc>
          <w:tcPr>
            <w:tcW w:w="3117" w:type="dxa"/>
            <w:vAlign w:val="center"/>
          </w:tcPr>
          <w:p w14:paraId="14BEBE8D" w14:textId="01B03890" w:rsidR="00BD1CDF" w:rsidRPr="00482209" w:rsidRDefault="00BD1CDF" w:rsidP="00666700">
            <w:pPr>
              <w:autoSpaceDE w:val="0"/>
              <w:autoSpaceDN w:val="0"/>
              <w:adjustRightInd w:val="0"/>
              <w:rPr>
                <w:sz w:val="16"/>
                <w:szCs w:val="16"/>
              </w:rPr>
            </w:pPr>
            <w:r>
              <w:rPr>
                <w:sz w:val="16"/>
              </w:rPr>
              <w:t>Lack of reliable information on costs, in particular operating costs for the Baseline Model and the PPP Project Model with the same quality and scope of service.</w:t>
            </w:r>
          </w:p>
        </w:tc>
        <w:tc>
          <w:tcPr>
            <w:tcW w:w="3117" w:type="dxa"/>
            <w:shd w:val="clear" w:color="auto" w:fill="BAF7FF" w:themeFill="accent5" w:themeFillTint="33"/>
            <w:vAlign w:val="center"/>
          </w:tcPr>
          <w:p w14:paraId="28C6CE4E" w14:textId="77777777" w:rsidR="00762A56" w:rsidRPr="00482209" w:rsidRDefault="00BD1CDF" w:rsidP="00666700">
            <w:pPr>
              <w:autoSpaceDE w:val="0"/>
              <w:autoSpaceDN w:val="0"/>
              <w:adjustRightInd w:val="0"/>
              <w:rPr>
                <w:b/>
                <w:i/>
                <w:sz w:val="16"/>
                <w:szCs w:val="16"/>
              </w:rPr>
            </w:pPr>
            <w:r>
              <w:rPr>
                <w:b/>
                <w:i/>
                <w:sz w:val="16"/>
              </w:rPr>
              <w:t>Step 1</w:t>
            </w:r>
          </w:p>
          <w:p w14:paraId="74A0D740" w14:textId="6F65454A" w:rsidR="00BD1CDF" w:rsidRPr="00482209" w:rsidRDefault="00D83539" w:rsidP="00666700">
            <w:pPr>
              <w:autoSpaceDE w:val="0"/>
              <w:autoSpaceDN w:val="0"/>
              <w:adjustRightInd w:val="0"/>
              <w:rPr>
                <w:sz w:val="16"/>
                <w:szCs w:val="16"/>
              </w:rPr>
            </w:pPr>
            <w:r>
              <w:rPr>
                <w:sz w:val="16"/>
              </w:rPr>
              <w:t xml:space="preserve">Adapt the developed PPP Project Model by adjusting the assumptions to the traditional procurement, including the planned capital and maintenance costs and project revenues, if any. </w:t>
            </w:r>
          </w:p>
        </w:tc>
      </w:tr>
      <w:tr w:rsidR="00220105" w:rsidRPr="00746F6D" w14:paraId="780884B8" w14:textId="77777777" w:rsidTr="00BE3477">
        <w:trPr>
          <w:trHeight w:val="1271"/>
        </w:trPr>
        <w:tc>
          <w:tcPr>
            <w:tcW w:w="3116" w:type="dxa"/>
            <w:shd w:val="clear" w:color="auto" w:fill="E7F5CF" w:themeFill="accent1" w:themeFillTint="33"/>
            <w:vAlign w:val="center"/>
          </w:tcPr>
          <w:p w14:paraId="3F3189CF" w14:textId="77777777" w:rsidR="00220105" w:rsidRPr="00482209" w:rsidRDefault="00AF57B8" w:rsidP="00666700">
            <w:pPr>
              <w:autoSpaceDE w:val="0"/>
              <w:autoSpaceDN w:val="0"/>
              <w:adjustRightInd w:val="0"/>
              <w:rPr>
                <w:b/>
                <w:i/>
                <w:sz w:val="16"/>
                <w:szCs w:val="16"/>
              </w:rPr>
            </w:pPr>
            <w:r>
              <w:rPr>
                <w:b/>
                <w:i/>
                <w:sz w:val="16"/>
              </w:rPr>
              <w:t xml:space="preserve">Step 2 </w:t>
            </w:r>
          </w:p>
          <w:p w14:paraId="5B77B458" w14:textId="10C3DE20" w:rsidR="00AF57B8" w:rsidRPr="00482209" w:rsidRDefault="00D83539" w:rsidP="00AF57B8">
            <w:pPr>
              <w:autoSpaceDE w:val="0"/>
              <w:autoSpaceDN w:val="0"/>
              <w:adjustRightInd w:val="0"/>
              <w:rPr>
                <w:sz w:val="16"/>
                <w:szCs w:val="16"/>
              </w:rPr>
            </w:pPr>
            <w:r>
              <w:rPr>
                <w:sz w:val="16"/>
              </w:rPr>
              <w:t xml:space="preserve">Indicate project costs and revenues according to project risks, plus the cost of risk, the cost of managing the Partnership Contract and the cost of financing </w:t>
            </w:r>
            <w:r w:rsidR="00D52A77">
              <w:rPr>
                <w:sz w:val="16"/>
              </w:rPr>
              <w:t>attracted</w:t>
            </w:r>
            <w:r>
              <w:rPr>
                <w:sz w:val="16"/>
              </w:rPr>
              <w:t>.</w:t>
            </w:r>
          </w:p>
        </w:tc>
        <w:tc>
          <w:tcPr>
            <w:tcW w:w="3117" w:type="dxa"/>
            <w:vAlign w:val="center"/>
          </w:tcPr>
          <w:p w14:paraId="1A4E8018" w14:textId="400F669C" w:rsidR="00AF57B8" w:rsidRPr="00482209" w:rsidRDefault="00AF57B8" w:rsidP="00666700">
            <w:pPr>
              <w:autoSpaceDE w:val="0"/>
              <w:autoSpaceDN w:val="0"/>
              <w:adjustRightInd w:val="0"/>
              <w:rPr>
                <w:sz w:val="16"/>
                <w:szCs w:val="16"/>
              </w:rPr>
            </w:pPr>
            <w:r>
              <w:rPr>
                <w:sz w:val="16"/>
              </w:rPr>
              <w:t>Lack of reliable information on quantification of risks (likelihood and impact), calculation based on assumptions.</w:t>
            </w:r>
          </w:p>
        </w:tc>
        <w:tc>
          <w:tcPr>
            <w:tcW w:w="3117" w:type="dxa"/>
            <w:shd w:val="clear" w:color="auto" w:fill="BAF7FF" w:themeFill="accent5" w:themeFillTint="33"/>
            <w:vAlign w:val="center"/>
          </w:tcPr>
          <w:p w14:paraId="56A7F697" w14:textId="77777777" w:rsidR="00AF57B8" w:rsidRPr="00482209" w:rsidRDefault="00AF57B8" w:rsidP="00666700">
            <w:pPr>
              <w:autoSpaceDE w:val="0"/>
              <w:autoSpaceDN w:val="0"/>
              <w:adjustRightInd w:val="0"/>
              <w:rPr>
                <w:b/>
                <w:i/>
                <w:sz w:val="16"/>
                <w:szCs w:val="16"/>
              </w:rPr>
            </w:pPr>
            <w:r>
              <w:rPr>
                <w:b/>
                <w:i/>
                <w:sz w:val="16"/>
              </w:rPr>
              <w:t xml:space="preserve">Step 2 </w:t>
            </w:r>
          </w:p>
          <w:p w14:paraId="5094D051" w14:textId="6226E6E6" w:rsidR="00220105" w:rsidRPr="00482209" w:rsidRDefault="00D83539" w:rsidP="00666700">
            <w:pPr>
              <w:autoSpaceDE w:val="0"/>
              <w:autoSpaceDN w:val="0"/>
              <w:adjustRightInd w:val="0"/>
              <w:rPr>
                <w:sz w:val="16"/>
                <w:szCs w:val="16"/>
              </w:rPr>
            </w:pPr>
            <w:r>
              <w:rPr>
                <w:sz w:val="16"/>
              </w:rPr>
              <w:t>Indicate project costs and revenues according to project risks.</w:t>
            </w:r>
          </w:p>
        </w:tc>
      </w:tr>
      <w:tr w:rsidR="00220105" w:rsidRPr="00746F6D" w14:paraId="246FD2DF" w14:textId="77777777" w:rsidTr="00BE3477">
        <w:trPr>
          <w:trHeight w:val="1119"/>
        </w:trPr>
        <w:tc>
          <w:tcPr>
            <w:tcW w:w="3116" w:type="dxa"/>
            <w:shd w:val="clear" w:color="auto" w:fill="E7F5CF" w:themeFill="accent1" w:themeFillTint="33"/>
            <w:vAlign w:val="center"/>
          </w:tcPr>
          <w:p w14:paraId="779A24E7" w14:textId="14F661DF" w:rsidR="00014240" w:rsidRPr="00482209" w:rsidRDefault="00014240" w:rsidP="00666700">
            <w:pPr>
              <w:autoSpaceDE w:val="0"/>
              <w:autoSpaceDN w:val="0"/>
              <w:adjustRightInd w:val="0"/>
              <w:rPr>
                <w:b/>
                <w:i/>
                <w:sz w:val="16"/>
                <w:szCs w:val="16"/>
              </w:rPr>
            </w:pPr>
            <w:r>
              <w:rPr>
                <w:b/>
                <w:i/>
                <w:sz w:val="16"/>
              </w:rPr>
              <w:t xml:space="preserve">Step 3 </w:t>
            </w:r>
          </w:p>
          <w:p w14:paraId="29FC0B7B" w14:textId="5E6420A1" w:rsidR="00220105" w:rsidRPr="00482209" w:rsidRDefault="00014240" w:rsidP="00014240">
            <w:pPr>
              <w:autoSpaceDE w:val="0"/>
              <w:autoSpaceDN w:val="0"/>
              <w:adjustRightInd w:val="0"/>
              <w:rPr>
                <w:sz w:val="16"/>
                <w:szCs w:val="16"/>
              </w:rPr>
            </w:pPr>
            <w:r>
              <w:rPr>
                <w:sz w:val="16"/>
              </w:rPr>
              <w:t>Determine the potential amount of the availability payment and/or user charges.</w:t>
            </w:r>
          </w:p>
        </w:tc>
        <w:tc>
          <w:tcPr>
            <w:tcW w:w="3117" w:type="dxa"/>
            <w:vAlign w:val="center"/>
          </w:tcPr>
          <w:p w14:paraId="5785F147" w14:textId="77777777" w:rsidR="00220105" w:rsidRPr="00482209" w:rsidRDefault="00220105" w:rsidP="00666700">
            <w:pPr>
              <w:autoSpaceDE w:val="0"/>
              <w:autoSpaceDN w:val="0"/>
              <w:adjustRightInd w:val="0"/>
              <w:rPr>
                <w:sz w:val="16"/>
                <w:szCs w:val="16"/>
                <w:lang w:val="lv-LV"/>
              </w:rPr>
            </w:pPr>
          </w:p>
          <w:p w14:paraId="4551305F" w14:textId="7AE6D777" w:rsidR="00014240" w:rsidRPr="00482209" w:rsidRDefault="00014240" w:rsidP="00666700">
            <w:pPr>
              <w:autoSpaceDE w:val="0"/>
              <w:autoSpaceDN w:val="0"/>
              <w:adjustRightInd w:val="0"/>
              <w:rPr>
                <w:sz w:val="16"/>
                <w:szCs w:val="16"/>
              </w:rPr>
            </w:pPr>
            <w:r>
              <w:rPr>
                <w:sz w:val="16"/>
              </w:rPr>
              <w:t>The difference between the theoretically accepted tax regime and the actual tax regime.</w:t>
            </w:r>
          </w:p>
        </w:tc>
        <w:tc>
          <w:tcPr>
            <w:tcW w:w="3117" w:type="dxa"/>
            <w:shd w:val="clear" w:color="auto" w:fill="BAF7FF" w:themeFill="accent5" w:themeFillTint="33"/>
            <w:vAlign w:val="center"/>
          </w:tcPr>
          <w:p w14:paraId="2A245F93" w14:textId="77777777" w:rsidR="00014240" w:rsidRPr="00482209" w:rsidRDefault="00014240" w:rsidP="00666700">
            <w:pPr>
              <w:autoSpaceDE w:val="0"/>
              <w:autoSpaceDN w:val="0"/>
              <w:adjustRightInd w:val="0"/>
              <w:rPr>
                <w:b/>
                <w:i/>
                <w:sz w:val="16"/>
                <w:szCs w:val="16"/>
              </w:rPr>
            </w:pPr>
            <w:r>
              <w:rPr>
                <w:b/>
                <w:i/>
                <w:sz w:val="16"/>
              </w:rPr>
              <w:t xml:space="preserve">Step 3 </w:t>
            </w:r>
          </w:p>
          <w:p w14:paraId="56B97950" w14:textId="2064BB14" w:rsidR="00220105" w:rsidRPr="00482209" w:rsidRDefault="00BE3477" w:rsidP="008A2621">
            <w:pPr>
              <w:autoSpaceDE w:val="0"/>
              <w:autoSpaceDN w:val="0"/>
              <w:adjustRightInd w:val="0"/>
              <w:rPr>
                <w:sz w:val="16"/>
                <w:szCs w:val="16"/>
              </w:rPr>
            </w:pPr>
            <w:r>
              <w:rPr>
                <w:sz w:val="16"/>
                <w:shd w:val="clear" w:color="auto" w:fill="BAF7FF" w:themeFill="accent5" w:themeFillTint="33"/>
              </w:rPr>
              <w:t>Review the model to ensure that the principle of competitive neutrality between the Baseline Model and the PPP Project Model is respected (see Chapter 4.2, key assumption 9</w:t>
            </w:r>
            <w:r>
              <w:rPr>
                <w:sz w:val="16"/>
              </w:rPr>
              <w:t>).</w:t>
            </w:r>
          </w:p>
        </w:tc>
      </w:tr>
      <w:tr w:rsidR="00220105" w:rsidRPr="00746F6D" w14:paraId="5BEF9C9E" w14:textId="77777777" w:rsidTr="00BE3477">
        <w:trPr>
          <w:trHeight w:val="1121"/>
        </w:trPr>
        <w:tc>
          <w:tcPr>
            <w:tcW w:w="3116" w:type="dxa"/>
            <w:shd w:val="clear" w:color="auto" w:fill="E7F5CF" w:themeFill="accent1" w:themeFillTint="33"/>
            <w:vAlign w:val="center"/>
          </w:tcPr>
          <w:p w14:paraId="5258D8C6" w14:textId="77A88F81" w:rsidR="00014240" w:rsidRPr="00482209" w:rsidRDefault="00014240" w:rsidP="00666700">
            <w:pPr>
              <w:autoSpaceDE w:val="0"/>
              <w:autoSpaceDN w:val="0"/>
              <w:adjustRightInd w:val="0"/>
              <w:rPr>
                <w:b/>
                <w:i/>
                <w:sz w:val="16"/>
                <w:szCs w:val="16"/>
              </w:rPr>
            </w:pPr>
            <w:r>
              <w:rPr>
                <w:b/>
                <w:i/>
                <w:sz w:val="16"/>
              </w:rPr>
              <w:t xml:space="preserve">Step 4 </w:t>
            </w:r>
          </w:p>
          <w:p w14:paraId="50AFA234" w14:textId="4246E31E" w:rsidR="00220105" w:rsidRPr="00482209" w:rsidRDefault="21D28A4C" w:rsidP="21D28A4C">
            <w:pPr>
              <w:autoSpaceDE w:val="0"/>
              <w:autoSpaceDN w:val="0"/>
              <w:adjustRightInd w:val="0"/>
              <w:ind w:right="425"/>
              <w:rPr>
                <w:sz w:val="16"/>
                <w:szCs w:val="16"/>
              </w:rPr>
            </w:pPr>
            <w:r>
              <w:rPr>
                <w:sz w:val="16"/>
              </w:rPr>
              <w:t>Use an appropriate discount rate to calculate the NPV of the PPP Project Model (see Chapter 4.2, key assumption 3).</w:t>
            </w:r>
          </w:p>
        </w:tc>
        <w:tc>
          <w:tcPr>
            <w:tcW w:w="3117" w:type="dxa"/>
            <w:vAlign w:val="center"/>
          </w:tcPr>
          <w:p w14:paraId="7CEE9774" w14:textId="48CE5FE8" w:rsidR="00220105" w:rsidRPr="00482209" w:rsidRDefault="7949AB19" w:rsidP="064C8007">
            <w:pPr>
              <w:autoSpaceDE w:val="0"/>
              <w:autoSpaceDN w:val="0"/>
              <w:adjustRightInd w:val="0"/>
              <w:rPr>
                <w:sz w:val="16"/>
                <w:szCs w:val="16"/>
              </w:rPr>
            </w:pPr>
            <w:r>
              <w:rPr>
                <w:sz w:val="16"/>
              </w:rPr>
              <w:t>The discount rate used has a significant impact on the result.</w:t>
            </w:r>
          </w:p>
        </w:tc>
        <w:tc>
          <w:tcPr>
            <w:tcW w:w="3117" w:type="dxa"/>
            <w:shd w:val="clear" w:color="auto" w:fill="BAF7FF" w:themeFill="accent5" w:themeFillTint="33"/>
            <w:vAlign w:val="center"/>
          </w:tcPr>
          <w:p w14:paraId="44F0489D" w14:textId="1693FDB5" w:rsidR="0009375D" w:rsidRPr="00482209" w:rsidRDefault="0009375D" w:rsidP="00666700">
            <w:pPr>
              <w:autoSpaceDE w:val="0"/>
              <w:autoSpaceDN w:val="0"/>
              <w:adjustRightInd w:val="0"/>
              <w:rPr>
                <w:b/>
                <w:i/>
                <w:sz w:val="16"/>
                <w:szCs w:val="16"/>
              </w:rPr>
            </w:pPr>
            <w:r>
              <w:rPr>
                <w:b/>
                <w:i/>
                <w:sz w:val="16"/>
              </w:rPr>
              <w:t xml:space="preserve">Step 4 </w:t>
            </w:r>
          </w:p>
          <w:p w14:paraId="683532ED" w14:textId="5D0DD547" w:rsidR="00220105" w:rsidRPr="00482209" w:rsidRDefault="7949AB19" w:rsidP="00520C1A">
            <w:pPr>
              <w:autoSpaceDE w:val="0"/>
              <w:autoSpaceDN w:val="0"/>
              <w:adjustRightInd w:val="0"/>
              <w:ind w:right="458"/>
              <w:rPr>
                <w:sz w:val="16"/>
                <w:szCs w:val="16"/>
              </w:rPr>
            </w:pPr>
            <w:r>
              <w:rPr>
                <w:sz w:val="16"/>
              </w:rPr>
              <w:t>Use an appropriate discount rate to calculate the NPV of the baseline model (see Chapter 4.2, key assumption 3).</w:t>
            </w:r>
          </w:p>
        </w:tc>
      </w:tr>
      <w:tr w:rsidR="00CD50F7" w:rsidRPr="00251B39" w14:paraId="68EEA2DB" w14:textId="77777777" w:rsidTr="00BE3477">
        <w:tc>
          <w:tcPr>
            <w:tcW w:w="9350" w:type="dxa"/>
            <w:gridSpan w:val="3"/>
            <w:shd w:val="clear" w:color="auto" w:fill="C7C8CA" w:themeFill="accent6" w:themeFillTint="66"/>
          </w:tcPr>
          <w:p w14:paraId="47281D08" w14:textId="7452038D" w:rsidR="00CD50F7" w:rsidRPr="00482209" w:rsidRDefault="00CD50F7" w:rsidP="00683D67">
            <w:pPr>
              <w:autoSpaceDE w:val="0"/>
              <w:autoSpaceDN w:val="0"/>
              <w:adjustRightInd w:val="0"/>
              <w:jc w:val="center"/>
              <w:rPr>
                <w:b/>
                <w:sz w:val="16"/>
                <w:szCs w:val="16"/>
              </w:rPr>
            </w:pPr>
            <w:r>
              <w:rPr>
                <w:b/>
                <w:sz w:val="16"/>
              </w:rPr>
              <w:t xml:space="preserve">Stage 3 </w:t>
            </w:r>
          </w:p>
        </w:tc>
      </w:tr>
      <w:tr w:rsidR="00683D67" w:rsidRPr="00251B39" w14:paraId="59D78F88" w14:textId="77777777" w:rsidTr="00BE3477">
        <w:trPr>
          <w:trHeight w:val="526"/>
        </w:trPr>
        <w:tc>
          <w:tcPr>
            <w:tcW w:w="9350" w:type="dxa"/>
            <w:gridSpan w:val="3"/>
            <w:vAlign w:val="center"/>
          </w:tcPr>
          <w:p w14:paraId="57119D97" w14:textId="3C56FD30" w:rsidR="00683D67" w:rsidRPr="00482209" w:rsidRDefault="7949AB19" w:rsidP="00683D67">
            <w:pPr>
              <w:autoSpaceDE w:val="0"/>
              <w:autoSpaceDN w:val="0"/>
              <w:adjustRightInd w:val="0"/>
              <w:jc w:val="center"/>
              <w:rPr>
                <w:sz w:val="16"/>
                <w:szCs w:val="16"/>
              </w:rPr>
            </w:pPr>
            <w:r>
              <w:rPr>
                <w:sz w:val="16"/>
              </w:rPr>
              <w:t>Comparison of the NPV of the PPP Project Model and the Baseline Model</w:t>
            </w:r>
          </w:p>
        </w:tc>
      </w:tr>
      <w:tr w:rsidR="00683D67" w:rsidRPr="00746F6D" w14:paraId="2CBAC0E6" w14:textId="77777777" w:rsidTr="00BE3477">
        <w:trPr>
          <w:trHeight w:val="526"/>
        </w:trPr>
        <w:tc>
          <w:tcPr>
            <w:tcW w:w="9350" w:type="dxa"/>
            <w:gridSpan w:val="3"/>
            <w:vAlign w:val="center"/>
          </w:tcPr>
          <w:p w14:paraId="5BB3069C" w14:textId="114FA678" w:rsidR="00683D67" w:rsidRPr="00482209" w:rsidRDefault="00683D67" w:rsidP="7949AB19">
            <w:pPr>
              <w:autoSpaceDE w:val="0"/>
              <w:autoSpaceDN w:val="0"/>
              <w:adjustRightInd w:val="0"/>
              <w:jc w:val="center"/>
              <w:rPr>
                <w:sz w:val="16"/>
                <w:szCs w:val="16"/>
              </w:rPr>
            </w:pPr>
            <w:r>
              <w:rPr>
                <w:sz w:val="16"/>
              </w:rPr>
              <w:t xml:space="preserve">The difference in the NPV between the two models may not be significant. </w:t>
            </w:r>
          </w:p>
          <w:p w14:paraId="5467C9EF" w14:textId="05BAF5B8" w:rsidR="00683D67" w:rsidRPr="00482209" w:rsidRDefault="5456C133" w:rsidP="00B23F9F">
            <w:pPr>
              <w:autoSpaceDE w:val="0"/>
              <w:autoSpaceDN w:val="0"/>
              <w:adjustRightInd w:val="0"/>
              <w:jc w:val="center"/>
              <w:rPr>
                <w:sz w:val="16"/>
                <w:szCs w:val="16"/>
              </w:rPr>
            </w:pPr>
            <w:r>
              <w:rPr>
                <w:sz w:val="16"/>
              </w:rPr>
              <w:t>When deciding on a project implementation arrangement, it is important to consider the non-financial benefits (see Chapter 3.1).</w:t>
            </w:r>
          </w:p>
        </w:tc>
      </w:tr>
    </w:tbl>
    <w:p w14:paraId="162C1A49" w14:textId="77777777" w:rsidR="00762A56" w:rsidRPr="00251B39" w:rsidRDefault="00762A56" w:rsidP="00762A56">
      <w:pPr>
        <w:autoSpaceDE w:val="0"/>
        <w:autoSpaceDN w:val="0"/>
        <w:adjustRightInd w:val="0"/>
        <w:spacing w:after="0" w:line="240" w:lineRule="auto"/>
        <w:jc w:val="both"/>
        <w:rPr>
          <w:sz w:val="18"/>
          <w:szCs w:val="18"/>
          <w:lang w:val="lv-LV"/>
        </w:rPr>
      </w:pPr>
    </w:p>
    <w:p w14:paraId="4663950C" w14:textId="4A96A5B9" w:rsidR="008C5DC0" w:rsidRPr="00251B39" w:rsidRDefault="006A1BA9" w:rsidP="000F02BF">
      <w:pPr>
        <w:pStyle w:val="Parakstszemobjekta"/>
        <w:jc w:val="right"/>
      </w:pPr>
      <w:r>
        <w:t xml:space="preserve"> Table 3: Stages for Comparing the PPP Project Model and the Baseline Model</w:t>
      </w:r>
    </w:p>
    <w:p w14:paraId="6AF8107B" w14:textId="77777777" w:rsidR="008C5DC0" w:rsidRPr="00251B39" w:rsidRDefault="008C5DC0" w:rsidP="003A0A09">
      <w:pPr>
        <w:pStyle w:val="Virsraksts2"/>
        <w:numPr>
          <w:ilvl w:val="1"/>
          <w:numId w:val="16"/>
        </w:numPr>
        <w:spacing w:after="240"/>
        <w:rPr>
          <w:rFonts w:asciiTheme="minorHAnsi" w:hAnsiTheme="minorHAnsi"/>
        </w:rPr>
      </w:pPr>
      <w:bookmarkStart w:id="174" w:name="_Finanšu_modeļa_izstrādes"/>
      <w:bookmarkStart w:id="175" w:name="_Toc2879283"/>
      <w:bookmarkStart w:id="176" w:name="_Toc3205491"/>
      <w:bookmarkStart w:id="177" w:name="_Toc3246841"/>
      <w:bookmarkStart w:id="178" w:name="_Toc3249550"/>
      <w:bookmarkStart w:id="179" w:name="_Toc3759972"/>
      <w:bookmarkStart w:id="180" w:name="_Toc3805009"/>
      <w:bookmarkStart w:id="181" w:name="_Toc178586372"/>
      <w:bookmarkEnd w:id="174"/>
      <w:r>
        <w:rPr>
          <w:rFonts w:asciiTheme="minorHAnsi" w:hAnsiTheme="minorHAnsi"/>
        </w:rPr>
        <w:t>Procedure for Developing the Financial Model</w:t>
      </w:r>
      <w:bookmarkEnd w:id="175"/>
      <w:bookmarkEnd w:id="176"/>
      <w:bookmarkEnd w:id="177"/>
      <w:bookmarkEnd w:id="178"/>
      <w:bookmarkEnd w:id="179"/>
      <w:bookmarkEnd w:id="180"/>
      <w:bookmarkEnd w:id="181"/>
    </w:p>
    <w:p w14:paraId="2CCAE6F2" w14:textId="2DBCC958" w:rsidR="008C5DC0" w:rsidRPr="00251B39" w:rsidRDefault="21D28A4C" w:rsidP="00F07E31">
      <w:pPr>
        <w:spacing w:after="0"/>
        <w:rPr>
          <w:sz w:val="18"/>
          <w:szCs w:val="18"/>
        </w:rPr>
      </w:pPr>
      <w:r>
        <w:rPr>
          <w:sz w:val="18"/>
        </w:rPr>
        <w:t xml:space="preserve">The Financial Model is developed in an excel file. Its structure is shown in the figure below. </w:t>
      </w:r>
    </w:p>
    <w:p w14:paraId="1950107E" w14:textId="402EC8D7" w:rsidR="6E4A8A92" w:rsidRPr="00202362" w:rsidRDefault="00C61DEC" w:rsidP="0056451B">
      <w:pPr>
        <w:jc w:val="center"/>
        <w:rPr>
          <w:i/>
          <w:color w:val="44546A" w:themeColor="text2"/>
          <w:sz w:val="18"/>
          <w:szCs w:val="18"/>
        </w:rPr>
      </w:pPr>
      <w:r>
        <w:rPr>
          <w:i/>
          <w:noProof/>
          <w:color w:val="44546A" w:themeColor="text2"/>
          <w:sz w:val="18"/>
        </w:rPr>
        <w:drawing>
          <wp:inline distT="0" distB="0" distL="0" distR="0" wp14:anchorId="4FF10843" wp14:editId="1B578062">
            <wp:extent cx="5086350" cy="1898650"/>
            <wp:effectExtent l="38100" t="38100" r="19050" b="25400"/>
            <wp:docPr id="1375660232" name="Diagram 1375660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3D03066" w14:textId="5ACD06C8" w:rsidR="00AE40B8" w:rsidRPr="005C790E" w:rsidRDefault="007F7B01" w:rsidP="005C790E">
      <w:pPr>
        <w:jc w:val="right"/>
        <w:rPr>
          <w:i/>
          <w:iCs/>
          <w:color w:val="44546A" w:themeColor="text2"/>
          <w:sz w:val="18"/>
          <w:szCs w:val="18"/>
        </w:rPr>
      </w:pPr>
      <w:r>
        <w:rPr>
          <w:i/>
          <w:color w:val="44546A" w:themeColor="text2"/>
          <w:sz w:val="18"/>
        </w:rPr>
        <w:lastRenderedPageBreak/>
        <w:t xml:space="preserve"> Figure 3: Financial Model Structure</w:t>
      </w:r>
    </w:p>
    <w:p w14:paraId="54CE1AEB" w14:textId="5287263C" w:rsidR="008C5DC0" w:rsidRPr="00251B39" w:rsidRDefault="6E4A8A92" w:rsidP="6E4A8A92">
      <w:pPr>
        <w:jc w:val="both"/>
        <w:rPr>
          <w:rFonts w:eastAsiaTheme="minorEastAsia"/>
          <w:sz w:val="18"/>
          <w:szCs w:val="18"/>
        </w:rPr>
      </w:pPr>
      <w:r>
        <w:rPr>
          <w:b/>
          <w:sz w:val="18"/>
        </w:rPr>
        <w:t xml:space="preserve">Input sheet(s). </w:t>
      </w:r>
      <w:r>
        <w:rPr>
          <w:sz w:val="18"/>
        </w:rPr>
        <w:t xml:space="preserve">The input sheets contain variable basic assumptions to be used for the calculations. The public partner obtains them from the PPP project documentation and other sources of information. </w:t>
      </w:r>
    </w:p>
    <w:p w14:paraId="5061D276" w14:textId="2F065C35" w:rsidR="002C2694" w:rsidRPr="00AB7241" w:rsidRDefault="473A5817" w:rsidP="6B3043BF">
      <w:pPr>
        <w:jc w:val="both"/>
        <w:rPr>
          <w:sz w:val="18"/>
          <w:szCs w:val="18"/>
        </w:rPr>
      </w:pPr>
      <w:r>
        <w:rPr>
          <w:b/>
          <w:sz w:val="18"/>
        </w:rPr>
        <w:t xml:space="preserve">Calculation sheets. </w:t>
      </w:r>
      <w:r>
        <w:rPr>
          <w:sz w:val="18"/>
        </w:rPr>
        <w:t xml:space="preserve">The calculation sheets contain the NPV calculation of the PPP Project Model and the Baseline Model and intermediate calculations such as capital, financing and operating cash flows, project key indicators, sensitivity analysis and other calculations. </w:t>
      </w:r>
    </w:p>
    <w:p w14:paraId="14D44584" w14:textId="12C153E6" w:rsidR="000A4E73" w:rsidRPr="00251B39" w:rsidRDefault="002C2694" w:rsidP="21D28A4C">
      <w:pPr>
        <w:jc w:val="both"/>
        <w:rPr>
          <w:rFonts w:eastAsiaTheme="minorEastAsia"/>
          <w:sz w:val="18"/>
          <w:szCs w:val="18"/>
        </w:rPr>
      </w:pPr>
      <w:r>
        <w:rPr>
          <w:b/>
          <w:noProof/>
          <w:sz w:val="18"/>
        </w:rPr>
        <mc:AlternateContent>
          <mc:Choice Requires="wps">
            <w:drawing>
              <wp:anchor distT="118745" distB="118745" distL="114300" distR="114300" simplePos="0" relativeHeight="251658270" behindDoc="0" locked="0" layoutInCell="0" allowOverlap="1" wp14:anchorId="6D09CD61" wp14:editId="53E84AD0">
                <wp:simplePos x="0" y="0"/>
                <wp:positionH relativeFrom="column">
                  <wp:posOffset>4279900</wp:posOffset>
                </wp:positionH>
                <wp:positionV relativeFrom="paragraph">
                  <wp:posOffset>36195</wp:posOffset>
                </wp:positionV>
                <wp:extent cx="1822450" cy="947420"/>
                <wp:effectExtent l="0" t="0" r="0" b="0"/>
                <wp:wrapSquare wrapText="bothSides"/>
                <wp:docPr id="1375660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947420"/>
                        </a:xfrm>
                        <a:prstGeom prst="rect">
                          <a:avLst/>
                        </a:prstGeom>
                        <a:noFill/>
                        <a:extLst>
                          <a:ext uri="{53640926-AAD7-44D8-BBD7-CCE9431645EC}">
                            <a14:shadowObscured xmlns:a14="http://schemas.microsoft.com/office/drawing/2010/main" val="1"/>
                          </a:ext>
                        </a:extLst>
                      </wps:spPr>
                      <wps:txbx>
                        <w:txbxContent>
                          <w:p w14:paraId="3D5740EA" w14:textId="127AC8F8" w:rsidR="00EF0F26" w:rsidRPr="002C2694" w:rsidRDefault="00EF0F26" w:rsidP="002C2694">
                            <w:pPr>
                              <w:pBdr>
                                <w:left w:val="single" w:sz="12" w:space="9" w:color="86BC25" w:themeColor="accent1"/>
                              </w:pBdr>
                              <w:spacing w:after="0"/>
                              <w:jc w:val="both"/>
                              <w:rPr>
                                <w:sz w:val="16"/>
                                <w:szCs w:val="16"/>
                              </w:rPr>
                            </w:pPr>
                            <w:r>
                              <w:rPr>
                                <w:i/>
                                <w:color w:val="767171" w:themeColor="background2" w:themeShade="80"/>
                                <w:sz w:val="16"/>
                              </w:rPr>
                              <w:t xml:space="preserve">For a more detailed description of the VFM corridor and the contract price corridor, see Chapter 4.3. </w:t>
                            </w:r>
                            <w:r>
                              <w:rPr>
                                <w:i/>
                                <w:color w:val="638C1B" w:themeColor="accent1" w:themeShade="BF"/>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D09CD61" id="_x0000_s1149" type="#_x0000_t202" style="position:absolute;left:0;text-align:left;margin-left:337pt;margin-top:2.85pt;width:143.5pt;height:74.6pt;z-index:251658270;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" o:allowincell="f" filled="f" stroked="f">
                <v:textbox style="mso-fit-shape-to-text:t">
                  <w:txbxContent>
                    <w:p w14:paraId="3D5740EA" w14:textId="127AC8F8" w:rsidR="00EF0F26" w:rsidRPr="002C2694" w:rsidRDefault="00EF0F26" w:rsidP="002C2694">
                      <w:pPr>
                        <w:pBdr>
                          <w:left w:val="single" w:sz="12" w:space="9" w:color="86BC25" w:themeColor="accent1"/>
                        </w:pBdr>
                        <w:spacing w:after="0"/>
                        <w:jc w:val="both"/>
                        <w:rPr>
                          <w:sz w:val="16"/>
                          <w:szCs w:val="16"/>
                        </w:rPr>
                      </w:pPr>
                      <w:r>
                        <w:rPr>
                          <w:i/>
                          <w:color w:val="767171" w:themeColor="background2" w:themeShade="80"/>
                          <w:sz w:val="16"/>
                        </w:rPr>
                        <w:t xml:space="preserve">For a more detailed description of the VFM corridor and the contract price corridor, see Chapter 4.3. </w:t>
                      </w:r>
                      <w:r>
                        <w:rPr>
                          <w:i/>
                          <w:color w:val="638C1B" w:themeColor="accent1" w:themeShade="BF"/>
                          <w:sz w:val="16"/>
                        </w:rPr>
                        <w:t xml:space="preserve"> </w:t>
                      </w:r>
                    </w:p>
                  </w:txbxContent>
                </v:textbox>
                <w10:wrap type="square"/>
              </v:shape>
            </w:pict>
          </mc:Fallback>
        </mc:AlternateContent>
      </w:r>
      <w:r>
        <w:rPr>
          <w:b/>
          <w:sz w:val="18"/>
        </w:rPr>
        <w:t>Results sheets</w:t>
      </w:r>
      <w:r>
        <w:rPr>
          <w:sz w:val="18"/>
        </w:rPr>
        <w:t>. The results sheets present a summary of the calculations, including a comparison of the NPV of the public partner's cash flow in the PPP Project Model and the Baseline Model, the VFM corridor, the contract price corridor and other key indicators to help users of the Financial Model visualise the viability of the PPP project.</w:t>
      </w:r>
    </w:p>
    <w:p w14:paraId="2B1EB16E" w14:textId="2228E239" w:rsidR="473A5817" w:rsidRPr="00714F21" w:rsidRDefault="473A5817" w:rsidP="6B3043BF">
      <w:pPr>
        <w:jc w:val="both"/>
        <w:rPr>
          <w:sz w:val="18"/>
          <w:szCs w:val="18"/>
        </w:rPr>
      </w:pPr>
      <w:r>
        <w:rPr>
          <w:sz w:val="18"/>
        </w:rPr>
        <w:t>The FEC model calculations use the following indicators and basic formulas:</w:t>
      </w:r>
    </w:p>
    <w:p w14:paraId="6B4A23B3" w14:textId="600E8879" w:rsidR="473A5817" w:rsidRPr="00251B39" w:rsidRDefault="473A5817" w:rsidP="008B6449">
      <w:pPr>
        <w:pStyle w:val="Sarakstarindkopa"/>
        <w:numPr>
          <w:ilvl w:val="0"/>
          <w:numId w:val="19"/>
        </w:numPr>
        <w:jc w:val="both"/>
        <w:rPr>
          <w:rFonts w:eastAsiaTheme="minorEastAsia"/>
          <w:sz w:val="18"/>
          <w:szCs w:val="18"/>
        </w:rPr>
      </w:pPr>
      <w:r>
        <w:rPr>
          <w:b/>
          <w:sz w:val="18"/>
        </w:rPr>
        <w:t>Discount factor</w:t>
      </w:r>
      <w:r>
        <w:rPr>
          <w:sz w:val="18"/>
        </w:rPr>
        <w:t xml:space="preserve"> - a factor by which future cash flows are multiplied to obtain the present value of the cash flows.</w:t>
      </w:r>
    </w:p>
    <w:p w14:paraId="21A61AB6" w14:textId="77777777" w:rsidR="00B439CC" w:rsidRPr="00B439CC" w:rsidRDefault="00B439CC" w:rsidP="00B439CC">
      <w:pPr>
        <w:pStyle w:val="Sarakstarindkopa"/>
        <w:jc w:val="both"/>
        <w:rPr>
          <w:sz w:val="18"/>
          <w:szCs w:val="18"/>
        </w:rPr>
      </w:pPr>
      <m:oMathPara>
        <m:oMath>
          <m:r>
            <w:rPr>
              <w:rFonts w:ascii="Cambria Math" w:hAnsi="Cambria Math" w:cs="Arial"/>
              <w:szCs w:val="20"/>
              <w:lang w:val="en-GB"/>
            </w:rPr>
            <m:t xml:space="preserve">DFn </m:t>
          </m:r>
          <m:r>
            <w:rPr>
              <w:rFonts w:ascii="Cambria Math" w:hAnsi="Cambria Math" w:cs="Arial"/>
              <w:szCs w:val="20"/>
              <w:lang w:val="nl-BE"/>
            </w:rPr>
            <m:t>=</m:t>
          </m:r>
          <m:f>
            <m:fPr>
              <m:ctrlPr>
                <w:rPr>
                  <w:rFonts w:ascii="Cambria Math" w:hAnsi="Cambria Math" w:cs="Arial"/>
                  <w:bCs/>
                  <w:szCs w:val="20"/>
                  <w:lang w:val="en-GB"/>
                </w:rPr>
              </m:ctrlPr>
            </m:fPr>
            <m:num>
              <m:r>
                <w:rPr>
                  <w:rFonts w:ascii="Cambria Math" w:hAnsi="Cambria Math" w:cs="Arial"/>
                  <w:szCs w:val="20"/>
                  <w:lang w:val="en-GB"/>
                </w:rPr>
                <m:t>1</m:t>
              </m:r>
            </m:num>
            <m:den>
              <m:sSup>
                <m:sSupPr>
                  <m:ctrlPr>
                    <w:rPr>
                      <w:rFonts w:ascii="Cambria Math" w:hAnsi="Cambria Math" w:cs="Arial"/>
                      <w:bCs/>
                      <w:i/>
                      <w:szCs w:val="20"/>
                      <w:lang w:val="en-GB"/>
                    </w:rPr>
                  </m:ctrlPr>
                </m:sSupPr>
                <m:e>
                  <m:d>
                    <m:dPr>
                      <m:ctrlPr>
                        <w:rPr>
                          <w:rFonts w:ascii="Cambria Math" w:hAnsi="Cambria Math" w:cs="Arial"/>
                          <w:bCs/>
                          <w:i/>
                          <w:szCs w:val="20"/>
                          <w:lang w:val="en-GB"/>
                        </w:rPr>
                      </m:ctrlPr>
                    </m:dPr>
                    <m:e>
                      <m:r>
                        <w:rPr>
                          <w:rFonts w:ascii="Cambria Math" w:hAnsi="Cambria Math" w:cs="Arial"/>
                          <w:szCs w:val="20"/>
                          <w:lang w:val="nl-BE"/>
                        </w:rPr>
                        <m:t>1+</m:t>
                      </m:r>
                      <m:r>
                        <w:rPr>
                          <w:rFonts w:ascii="Cambria Math" w:hAnsi="Cambria Math" w:cs="Arial"/>
                          <w:szCs w:val="20"/>
                          <w:lang w:val="en-GB"/>
                        </w:rPr>
                        <m:t>i</m:t>
                      </m:r>
                    </m:e>
                  </m:d>
                </m:e>
                <m:sup>
                  <m:r>
                    <w:rPr>
                      <w:rFonts w:ascii="Cambria Math" w:hAnsi="Cambria Math" w:cs="Arial"/>
                      <w:szCs w:val="20"/>
                      <w:lang w:val="en-GB"/>
                    </w:rPr>
                    <m:t>kn</m:t>
                  </m:r>
                </m:sup>
              </m:sSup>
            </m:den>
          </m:f>
        </m:oMath>
      </m:oMathPara>
    </w:p>
    <w:p w14:paraId="369C615B" w14:textId="50193B32" w:rsidR="473A5817" w:rsidRDefault="294AA338" w:rsidP="473A5817">
      <w:pPr>
        <w:ind w:left="720"/>
        <w:jc w:val="both"/>
        <w:rPr>
          <w:rFonts w:eastAsiaTheme="minorEastAsia"/>
          <w:sz w:val="18"/>
          <w:szCs w:val="18"/>
        </w:rPr>
      </w:pPr>
      <w:r>
        <w:rPr>
          <w:sz w:val="18"/>
        </w:rPr>
        <w:t>DF</w:t>
      </w:r>
      <w:r>
        <w:rPr>
          <w:sz w:val="18"/>
          <w:vertAlign w:val="subscript"/>
        </w:rPr>
        <w:t>n</w:t>
      </w:r>
      <w:r>
        <w:rPr>
          <w:sz w:val="18"/>
        </w:rPr>
        <w:t xml:space="preserve"> - discount factor in period </w:t>
      </w:r>
      <w:r>
        <w:rPr>
          <w:i/>
          <w:sz w:val="18"/>
        </w:rPr>
        <w:t>n</w:t>
      </w:r>
    </w:p>
    <w:p w14:paraId="458EC87D" w14:textId="1719D4A6" w:rsidR="473A5817" w:rsidRDefault="473A5817" w:rsidP="473A5817">
      <w:pPr>
        <w:ind w:left="720"/>
        <w:jc w:val="both"/>
        <w:rPr>
          <w:rFonts w:eastAsiaTheme="minorEastAsia"/>
          <w:sz w:val="18"/>
          <w:szCs w:val="18"/>
        </w:rPr>
      </w:pPr>
      <w:r>
        <w:rPr>
          <w:i/>
          <w:sz w:val="18"/>
        </w:rPr>
        <w:t>i</w:t>
      </w:r>
      <w:r>
        <w:rPr>
          <w:sz w:val="18"/>
        </w:rPr>
        <w:t xml:space="preserve"> - annual discount rate</w:t>
      </w:r>
    </w:p>
    <w:p w14:paraId="7D017F9C" w14:textId="22BCCD4B" w:rsidR="473A5817" w:rsidRDefault="473A5817" w:rsidP="473A5817">
      <w:pPr>
        <w:ind w:left="720"/>
        <w:jc w:val="both"/>
        <w:rPr>
          <w:rFonts w:eastAsiaTheme="minorEastAsia"/>
          <w:sz w:val="18"/>
          <w:szCs w:val="18"/>
        </w:rPr>
      </w:pPr>
      <w:r>
        <w:rPr>
          <w:sz w:val="18"/>
        </w:rPr>
        <w:t>k</w:t>
      </w:r>
      <w:r>
        <w:rPr>
          <w:sz w:val="18"/>
          <w:vertAlign w:val="subscript"/>
        </w:rPr>
        <w:t>n</w:t>
      </w:r>
      <w:r>
        <w:rPr>
          <w:sz w:val="18"/>
        </w:rPr>
        <w:t xml:space="preserve"> - time factor for period </w:t>
      </w:r>
      <w:r>
        <w:rPr>
          <w:i/>
          <w:sz w:val="18"/>
        </w:rPr>
        <w:t xml:space="preserve">n </w:t>
      </w:r>
      <w:r>
        <w:rPr>
          <w:sz w:val="18"/>
        </w:rPr>
        <w:t>in years from the start date of the PPP project</w:t>
      </w:r>
    </w:p>
    <w:p w14:paraId="53114455" w14:textId="39897CD3" w:rsidR="473A5817" w:rsidRDefault="000E493D" w:rsidP="008B6449">
      <w:pPr>
        <w:pStyle w:val="Sarakstarindkopa"/>
        <w:numPr>
          <w:ilvl w:val="0"/>
          <w:numId w:val="19"/>
        </w:numPr>
        <w:jc w:val="both"/>
        <w:rPr>
          <w:rFonts w:eastAsiaTheme="minorEastAsia"/>
          <w:b/>
          <w:bCs/>
          <w:sz w:val="18"/>
          <w:szCs w:val="18"/>
        </w:rPr>
      </w:pPr>
      <w:r>
        <w:rPr>
          <w:b/>
          <w:sz w:val="18"/>
        </w:rPr>
        <w:t>NPV</w:t>
      </w:r>
    </w:p>
    <w:p w14:paraId="20CC4341" w14:textId="77777777" w:rsidR="00B56BD8" w:rsidRDefault="00B56BD8" w:rsidP="00B56BD8">
      <w:pPr>
        <w:pStyle w:val="Sarakstarindkopa"/>
        <w:jc w:val="both"/>
        <w:rPr>
          <w:rFonts w:eastAsiaTheme="minorEastAsia"/>
          <w:sz w:val="18"/>
          <w:szCs w:val="18"/>
        </w:rPr>
      </w:pPr>
      <m:oMathPara>
        <m:oMath>
          <m:r>
            <w:rPr>
              <w:rFonts w:ascii="Cambria Math" w:hAnsi="Cambria Math" w:cs="Arial"/>
              <w:szCs w:val="20"/>
              <w:lang w:val="en-GB"/>
            </w:rPr>
            <m:t>NPV</m:t>
          </m:r>
          <m:r>
            <w:rPr>
              <w:rFonts w:ascii="Cambria Math" w:hAnsi="Cambria Math" w:cs="Arial"/>
              <w:szCs w:val="20"/>
              <w:lang w:val="nl-BE"/>
            </w:rPr>
            <m:t>=</m:t>
          </m:r>
          <m:nary>
            <m:naryPr>
              <m:chr m:val="∑"/>
              <m:limLoc m:val="undOvr"/>
              <m:ctrlPr>
                <w:rPr>
                  <w:rFonts w:ascii="Cambria Math" w:hAnsi="Cambria Math" w:cs="Arial"/>
                  <w:bCs/>
                  <w:i/>
                  <w:szCs w:val="20"/>
                  <w:lang w:val="en-GB"/>
                </w:rPr>
              </m:ctrlPr>
            </m:naryPr>
            <m:sub>
              <m:r>
                <w:rPr>
                  <w:rFonts w:ascii="Cambria Math" w:hAnsi="Cambria Math" w:cs="Arial"/>
                  <w:szCs w:val="20"/>
                  <w:lang w:val="en-GB"/>
                </w:rPr>
                <m:t>n</m:t>
              </m:r>
              <m:r>
                <w:rPr>
                  <w:rFonts w:ascii="Cambria Math" w:hAnsi="Cambria Math" w:cs="Arial"/>
                  <w:szCs w:val="20"/>
                  <w:lang w:val="nl-BE"/>
                </w:rPr>
                <m:t>=0</m:t>
              </m:r>
            </m:sub>
            <m:sup>
              <m:r>
                <w:rPr>
                  <w:rFonts w:ascii="Cambria Math" w:hAnsi="Cambria Math" w:cs="Arial"/>
                  <w:szCs w:val="20"/>
                  <w:lang w:val="en-GB"/>
                </w:rPr>
                <m:t>N</m:t>
              </m:r>
            </m:sup>
            <m:e>
              <m:r>
                <w:rPr>
                  <w:rFonts w:ascii="Cambria Math" w:hAnsi="Cambria Math" w:cs="Arial"/>
                  <w:szCs w:val="20"/>
                  <w:lang w:val="en-GB"/>
                </w:rPr>
                <m:t>*NP</m:t>
              </m:r>
              <m:r>
                <w:rPr>
                  <w:rFonts w:ascii="Cambria Math" w:hAnsi="Cambria Math" w:cs="Arial"/>
                  <w:vertAlign w:val="subscript"/>
                  <w:lang w:val="nl-BE"/>
                </w:rPr>
                <m:t>n</m:t>
              </m:r>
              <m:r>
                <w:rPr>
                  <w:rFonts w:ascii="Cambria Math" w:hAnsi="Cambria Math" w:cs="Arial"/>
                  <w:szCs w:val="20"/>
                  <w:lang w:val="en-GB"/>
                </w:rPr>
                <m:t>*DFn</m:t>
              </m:r>
            </m:e>
          </m:nary>
        </m:oMath>
      </m:oMathPara>
    </w:p>
    <w:p w14:paraId="52539F60" w14:textId="3AAF0A68" w:rsidR="473A5817" w:rsidRDefault="007C39DE" w:rsidP="473A5817">
      <w:pPr>
        <w:ind w:left="720"/>
        <w:jc w:val="both"/>
        <w:rPr>
          <w:rFonts w:eastAsiaTheme="minorEastAsia"/>
          <w:sz w:val="18"/>
          <w:szCs w:val="18"/>
        </w:rPr>
      </w:pPr>
      <w:r>
        <w:rPr>
          <w:sz w:val="18"/>
        </w:rPr>
        <w:t>NPV - net present value</w:t>
      </w:r>
    </w:p>
    <w:p w14:paraId="5766B995" w14:textId="35A9FB2F" w:rsidR="473A5817" w:rsidRDefault="473A5817" w:rsidP="473A5817">
      <w:pPr>
        <w:ind w:left="720"/>
        <w:jc w:val="both"/>
        <w:rPr>
          <w:rFonts w:eastAsiaTheme="minorEastAsia"/>
          <w:sz w:val="18"/>
          <w:szCs w:val="18"/>
        </w:rPr>
      </w:pPr>
      <w:r>
        <w:rPr>
          <w:sz w:val="18"/>
        </w:rPr>
        <w:t>NP</w:t>
      </w:r>
      <w:r>
        <w:rPr>
          <w:sz w:val="18"/>
          <w:vertAlign w:val="subscript"/>
        </w:rPr>
        <w:t>n</w:t>
      </w:r>
      <w:r>
        <w:rPr>
          <w:sz w:val="18"/>
        </w:rPr>
        <w:t xml:space="preserve"> - cash flows in period </w:t>
      </w:r>
      <w:r>
        <w:rPr>
          <w:i/>
          <w:sz w:val="18"/>
        </w:rPr>
        <w:t>n</w:t>
      </w:r>
    </w:p>
    <w:p w14:paraId="09F27FDC" w14:textId="5BEADC71" w:rsidR="473A5817" w:rsidRDefault="473A5817" w:rsidP="473A5817">
      <w:pPr>
        <w:ind w:left="720"/>
        <w:jc w:val="both"/>
        <w:rPr>
          <w:rFonts w:eastAsiaTheme="minorEastAsia"/>
          <w:sz w:val="18"/>
          <w:szCs w:val="18"/>
        </w:rPr>
      </w:pPr>
      <w:r>
        <w:rPr>
          <w:sz w:val="18"/>
        </w:rPr>
        <w:t>DF</w:t>
      </w:r>
      <w:r>
        <w:rPr>
          <w:sz w:val="18"/>
          <w:vertAlign w:val="subscript"/>
        </w:rPr>
        <w:t>n</w:t>
      </w:r>
      <w:r>
        <w:rPr>
          <w:sz w:val="18"/>
        </w:rPr>
        <w:t xml:space="preserve"> - discount factor in period </w:t>
      </w:r>
      <w:r>
        <w:rPr>
          <w:i/>
          <w:sz w:val="18"/>
        </w:rPr>
        <w:t>n</w:t>
      </w:r>
    </w:p>
    <w:p w14:paraId="2D16D4FD" w14:textId="31F70F17" w:rsidR="473A5817" w:rsidRDefault="473A5817" w:rsidP="008B6449">
      <w:pPr>
        <w:pStyle w:val="Sarakstarindkopa"/>
        <w:numPr>
          <w:ilvl w:val="0"/>
          <w:numId w:val="19"/>
        </w:numPr>
        <w:jc w:val="both"/>
        <w:rPr>
          <w:rFonts w:eastAsiaTheme="minorEastAsia"/>
          <w:sz w:val="18"/>
          <w:szCs w:val="18"/>
        </w:rPr>
      </w:pPr>
      <w:r>
        <w:rPr>
          <w:b/>
          <w:sz w:val="18"/>
        </w:rPr>
        <w:t>Internal rate of return</w:t>
      </w:r>
      <w:r>
        <w:rPr>
          <w:sz w:val="18"/>
        </w:rPr>
        <w:t xml:space="preserve"> (IRR) - the discount rate at which the net cash flows available to repay investments become equal to the original investment. </w:t>
      </w:r>
    </w:p>
    <w:p w14:paraId="33411625" w14:textId="77777777" w:rsidR="00B56BD8" w:rsidRPr="00E01F68" w:rsidRDefault="00B56BD8" w:rsidP="00B56BD8">
      <w:pPr>
        <w:pStyle w:val="Sarakstarindkopa"/>
        <w:autoSpaceDE w:val="0"/>
        <w:autoSpaceDN w:val="0"/>
        <w:adjustRightInd w:val="0"/>
        <w:jc w:val="center"/>
        <w:rPr>
          <w:rFonts w:ascii="Arial" w:eastAsia="Times New Roman" w:hAnsi="Arial" w:cs="Arial"/>
        </w:rPr>
      </w:pPr>
      <m:oMathPara>
        <m:oMath>
          <m:r>
            <w:rPr>
              <w:rFonts w:ascii="Cambria Math" w:hAnsi="Cambria Math" w:cs="Arial"/>
              <w:szCs w:val="20"/>
              <w:lang w:val="en-GB"/>
            </w:rPr>
            <m:t>0=</m:t>
          </m:r>
          <m:nary>
            <m:naryPr>
              <m:chr m:val="∑"/>
              <m:limLoc m:val="undOvr"/>
              <m:ctrlPr>
                <w:rPr>
                  <w:rFonts w:ascii="Cambria Math" w:hAnsi="Cambria Math" w:cs="Arial"/>
                  <w:bCs/>
                  <w:i/>
                  <w:szCs w:val="20"/>
                  <w:lang w:val="en-GB"/>
                </w:rPr>
              </m:ctrlPr>
            </m:naryPr>
            <m:sub>
              <m:r>
                <w:rPr>
                  <w:rFonts w:ascii="Cambria Math" w:hAnsi="Cambria Math" w:cs="Arial"/>
                  <w:szCs w:val="20"/>
                  <w:lang w:val="en-GB"/>
                </w:rPr>
                <m:t>n=0</m:t>
              </m:r>
            </m:sub>
            <m:sup>
              <m:r>
                <w:rPr>
                  <w:rFonts w:ascii="Cambria Math" w:hAnsi="Cambria Math" w:cs="Arial"/>
                  <w:szCs w:val="20"/>
                  <w:lang w:val="en-GB"/>
                </w:rPr>
                <m:t>N</m:t>
              </m:r>
            </m:sup>
            <m:e>
              <m:f>
                <m:fPr>
                  <m:ctrlPr>
                    <w:rPr>
                      <w:rFonts w:ascii="Cambria Math" w:hAnsi="Cambria Math" w:cs="Arial"/>
                      <w:bCs/>
                      <w:szCs w:val="20"/>
                      <w:lang w:val="en-GB"/>
                    </w:rPr>
                  </m:ctrlPr>
                </m:fPr>
                <m:num>
                  <m:r>
                    <w:rPr>
                      <w:rFonts w:ascii="Cambria Math" w:hAnsi="Cambria Math" w:cs="Arial"/>
                      <w:szCs w:val="20"/>
                      <w:lang w:val="en-GB"/>
                    </w:rPr>
                    <m:t>NPn</m:t>
                  </m:r>
                </m:num>
                <m:den>
                  <m:sSup>
                    <m:sSupPr>
                      <m:ctrlPr>
                        <w:rPr>
                          <w:rFonts w:ascii="Cambria Math" w:hAnsi="Cambria Math" w:cs="Arial"/>
                          <w:bCs/>
                          <w:i/>
                          <w:szCs w:val="20"/>
                          <w:lang w:val="en-GB"/>
                        </w:rPr>
                      </m:ctrlPr>
                    </m:sSupPr>
                    <m:e>
                      <m:d>
                        <m:dPr>
                          <m:ctrlPr>
                            <w:rPr>
                              <w:rFonts w:ascii="Cambria Math" w:hAnsi="Cambria Math" w:cs="Arial"/>
                              <w:bCs/>
                              <w:i/>
                              <w:szCs w:val="20"/>
                              <w:lang w:val="en-GB"/>
                            </w:rPr>
                          </m:ctrlPr>
                        </m:dPr>
                        <m:e>
                          <m:r>
                            <w:rPr>
                              <w:rFonts w:ascii="Cambria Math" w:hAnsi="Cambria Math" w:cs="Arial"/>
                              <w:szCs w:val="20"/>
                              <w:lang w:val="en-GB"/>
                            </w:rPr>
                            <m:t>1+IRR</m:t>
                          </m:r>
                        </m:e>
                      </m:d>
                    </m:e>
                    <m:sup>
                      <m:r>
                        <w:rPr>
                          <w:rFonts w:ascii="Cambria Math" w:hAnsi="Cambria Math" w:cs="Arial"/>
                          <w:szCs w:val="20"/>
                          <w:lang w:val="en-GB"/>
                        </w:rPr>
                        <m:t>n</m:t>
                      </m:r>
                    </m:sup>
                  </m:sSup>
                </m:den>
              </m:f>
            </m:e>
          </m:nary>
        </m:oMath>
      </m:oMathPara>
    </w:p>
    <w:p w14:paraId="77E571E0" w14:textId="7235E1D7" w:rsidR="473A5817" w:rsidRDefault="473A5817" w:rsidP="473A5817">
      <w:pPr>
        <w:pStyle w:val="Sarakstarindkopa"/>
        <w:jc w:val="center"/>
      </w:pPr>
    </w:p>
    <w:p w14:paraId="444745BF" w14:textId="43590317" w:rsidR="473A5817" w:rsidRDefault="473A5817" w:rsidP="473A5817">
      <w:pPr>
        <w:ind w:left="720"/>
        <w:jc w:val="both"/>
        <w:rPr>
          <w:rFonts w:eastAsiaTheme="minorEastAsia"/>
          <w:sz w:val="18"/>
          <w:szCs w:val="18"/>
        </w:rPr>
      </w:pPr>
      <w:r>
        <w:rPr>
          <w:sz w:val="18"/>
        </w:rPr>
        <w:t>NP</w:t>
      </w:r>
      <w:r>
        <w:rPr>
          <w:i/>
          <w:sz w:val="18"/>
        </w:rPr>
        <w:t>n</w:t>
      </w:r>
      <w:r>
        <w:rPr>
          <w:sz w:val="18"/>
        </w:rPr>
        <w:t xml:space="preserve"> - cash flows of the original investment or cash flows available for repayment of the investment over period </w:t>
      </w:r>
      <w:r>
        <w:rPr>
          <w:i/>
          <w:sz w:val="18"/>
        </w:rPr>
        <w:t>n</w:t>
      </w:r>
    </w:p>
    <w:p w14:paraId="0664F3CE" w14:textId="36CEFAB7" w:rsidR="473A5817" w:rsidRDefault="473A5817" w:rsidP="473A5817">
      <w:pPr>
        <w:ind w:left="720"/>
        <w:jc w:val="both"/>
        <w:rPr>
          <w:rFonts w:eastAsiaTheme="minorEastAsia"/>
          <w:sz w:val="18"/>
          <w:szCs w:val="18"/>
        </w:rPr>
      </w:pPr>
      <w:r>
        <w:rPr>
          <w:sz w:val="18"/>
        </w:rPr>
        <w:t>N - number of periods in the Partnership Contract</w:t>
      </w:r>
    </w:p>
    <w:p w14:paraId="4775C8BA" w14:textId="5CF60A73" w:rsidR="473A5817" w:rsidRDefault="473A5817" w:rsidP="473A5817">
      <w:pPr>
        <w:ind w:left="720"/>
        <w:jc w:val="both"/>
        <w:rPr>
          <w:rFonts w:eastAsiaTheme="minorEastAsia"/>
          <w:sz w:val="18"/>
          <w:szCs w:val="18"/>
        </w:rPr>
      </w:pPr>
      <w:r>
        <w:rPr>
          <w:sz w:val="18"/>
        </w:rPr>
        <w:t xml:space="preserve">n - period </w:t>
      </w:r>
      <w:r>
        <w:rPr>
          <w:i/>
          <w:sz w:val="18"/>
        </w:rPr>
        <w:t>n</w:t>
      </w:r>
      <w:r>
        <w:rPr>
          <w:sz w:val="18"/>
        </w:rPr>
        <w:t xml:space="preserve"> of the Partnership Contract</w:t>
      </w:r>
    </w:p>
    <w:p w14:paraId="6BDEEE9C" w14:textId="78B2B40B" w:rsidR="473A5817" w:rsidRDefault="473A5817" w:rsidP="473A5817">
      <w:pPr>
        <w:ind w:left="720"/>
        <w:jc w:val="both"/>
        <w:rPr>
          <w:rFonts w:eastAsiaTheme="minorEastAsia"/>
          <w:sz w:val="18"/>
          <w:szCs w:val="18"/>
        </w:rPr>
      </w:pPr>
      <w:r>
        <w:rPr>
          <w:sz w:val="18"/>
        </w:rPr>
        <w:t>IRR - internal rate of return</w:t>
      </w:r>
    </w:p>
    <w:p w14:paraId="29FCE96A" w14:textId="04DD64A3" w:rsidR="7FCE2F6D" w:rsidRPr="0056451B" w:rsidRDefault="000E493D" w:rsidP="4B7C006A">
      <w:pPr>
        <w:jc w:val="both"/>
      </w:pPr>
      <w:r>
        <w:rPr>
          <w:rFonts w:ascii="Verdana" w:hAnsi="Verdana"/>
          <w:sz w:val="18"/>
        </w:rPr>
        <w:t>When developing the Financial Model, the public partner must show at least the following key indicators in the results sheet:</w:t>
      </w:r>
    </w:p>
    <w:p w14:paraId="276A8FE5" w14:textId="452D2F5E" w:rsidR="7FCE2F6D" w:rsidRPr="00746F6D" w:rsidRDefault="727EC473" w:rsidP="727EC473">
      <w:pPr>
        <w:pStyle w:val="Sarakstarindkopa"/>
        <w:numPr>
          <w:ilvl w:val="0"/>
          <w:numId w:val="1"/>
        </w:numPr>
        <w:jc w:val="both"/>
        <w:rPr>
          <w:sz w:val="18"/>
          <w:szCs w:val="18"/>
        </w:rPr>
      </w:pPr>
      <w:r>
        <w:rPr>
          <w:sz w:val="18"/>
        </w:rPr>
        <w:t xml:space="preserve">IRR of </w:t>
      </w:r>
      <w:r>
        <w:rPr>
          <w:rFonts w:ascii="Verdana" w:hAnsi="Verdana"/>
          <w:sz w:val="18"/>
        </w:rPr>
        <w:t>the private partner's equity after tax</w:t>
      </w:r>
    </w:p>
    <w:p w14:paraId="3EB305FF" w14:textId="717EF666" w:rsidR="7FCE2F6D" w:rsidRPr="00746F6D" w:rsidRDefault="36DBC9F9" w:rsidP="008B6449">
      <w:pPr>
        <w:pStyle w:val="Sarakstarindkopa"/>
        <w:numPr>
          <w:ilvl w:val="0"/>
          <w:numId w:val="1"/>
        </w:numPr>
        <w:jc w:val="both"/>
        <w:rPr>
          <w:sz w:val="18"/>
          <w:szCs w:val="18"/>
        </w:rPr>
      </w:pPr>
      <w:r>
        <w:rPr>
          <w:sz w:val="18"/>
        </w:rPr>
        <w:t>IRR of</w:t>
      </w:r>
      <w:r>
        <w:rPr>
          <w:rFonts w:ascii="Verdana" w:hAnsi="Verdana"/>
          <w:sz w:val="18"/>
        </w:rPr>
        <w:t xml:space="preserve"> the private partner's equity (including subordinated capital) after tax</w:t>
      </w:r>
    </w:p>
    <w:p w14:paraId="7BAF5992" w14:textId="2EBF8B4F" w:rsidR="7FCE2F6D" w:rsidRPr="00714F21" w:rsidRDefault="36DBC9F9" w:rsidP="008B6449">
      <w:pPr>
        <w:pStyle w:val="Sarakstarindkopa"/>
        <w:numPr>
          <w:ilvl w:val="0"/>
          <w:numId w:val="1"/>
        </w:numPr>
        <w:jc w:val="both"/>
        <w:rPr>
          <w:sz w:val="18"/>
          <w:szCs w:val="18"/>
        </w:rPr>
      </w:pPr>
      <w:r>
        <w:rPr>
          <w:rFonts w:ascii="Verdana" w:hAnsi="Verdana"/>
          <w:sz w:val="18"/>
        </w:rPr>
        <w:lastRenderedPageBreak/>
        <w:t>Debt service coverage ratio (DSCR). This is a financial indicator that provides information about the borrower's ability to cover its debt service obligations over a given period. It is calculated by dividing the cash flow available to cover debt service obligations by the total amount of debt service obligations during the reporting period</w:t>
      </w:r>
    </w:p>
    <w:p w14:paraId="22F9B597" w14:textId="0550310A" w:rsidR="7FCE2F6D" w:rsidRPr="00714F21" w:rsidRDefault="36DBC9F9" w:rsidP="008B6449">
      <w:pPr>
        <w:pStyle w:val="Sarakstarindkopa"/>
        <w:numPr>
          <w:ilvl w:val="0"/>
          <w:numId w:val="1"/>
        </w:numPr>
        <w:jc w:val="both"/>
        <w:rPr>
          <w:sz w:val="18"/>
          <w:szCs w:val="18"/>
        </w:rPr>
      </w:pPr>
      <w:r>
        <w:rPr>
          <w:rFonts w:ascii="Verdana" w:hAnsi="Verdana"/>
          <w:sz w:val="18"/>
        </w:rPr>
        <w:t>Loan life coverage ratio (LLCR). It is a financial indicator used to measure the solvency of a borrower. It is calculated by dividing the net present value of the cash flows available for debt service over the remaining term of the loan agreement by the outstanding amount of the loan</w:t>
      </w:r>
    </w:p>
    <w:p w14:paraId="28E4C6B4" w14:textId="70761037" w:rsidR="7FCE2F6D" w:rsidRPr="00714F21" w:rsidRDefault="36DBC9F9" w:rsidP="008B6449">
      <w:pPr>
        <w:pStyle w:val="Sarakstarindkopa"/>
        <w:numPr>
          <w:ilvl w:val="0"/>
          <w:numId w:val="1"/>
        </w:numPr>
        <w:jc w:val="both"/>
        <w:rPr>
          <w:sz w:val="18"/>
          <w:szCs w:val="18"/>
        </w:rPr>
      </w:pPr>
      <w:r>
        <w:rPr>
          <w:rFonts w:ascii="Verdana" w:hAnsi="Verdana"/>
          <w:sz w:val="18"/>
        </w:rPr>
        <w:t>Project life coverage ratio (PLCR). It is the ratio of the net present value of cash flows over the remaining life of the Partnership Contract to the outstanding balance of debt during the respective period</w:t>
      </w:r>
    </w:p>
    <w:p w14:paraId="1FD27191" w14:textId="15302E1D" w:rsidR="000A4E73" w:rsidRPr="00251B39" w:rsidRDefault="6B3043BF" w:rsidP="6B3043BF">
      <w:pPr>
        <w:jc w:val="both"/>
        <w:rPr>
          <w:rFonts w:eastAsiaTheme="minorEastAsia"/>
          <w:b/>
          <w:bCs/>
          <w:sz w:val="18"/>
          <w:szCs w:val="18"/>
        </w:rPr>
      </w:pPr>
      <w:r>
        <w:rPr>
          <w:b/>
          <w:sz w:val="18"/>
        </w:rPr>
        <w:t>Description of the key assumptions</w:t>
      </w:r>
    </w:p>
    <w:p w14:paraId="3EF616CA" w14:textId="6AE3625A" w:rsidR="01FED25B" w:rsidRDefault="01FED25B" w:rsidP="46A94808">
      <w:pPr>
        <w:jc w:val="both"/>
        <w:rPr>
          <w:sz w:val="18"/>
          <w:szCs w:val="18"/>
        </w:rPr>
      </w:pPr>
      <w:r>
        <w:rPr>
          <w:sz w:val="18"/>
        </w:rPr>
        <w:t xml:space="preserve">The key assumptions used in the Financial Model are grouped into 11 categories according to theme. The chapter goes on to describe the key assumptions included in each category, provides guidance on their use in the Financial Model and references to the sources of external assumptions used. </w:t>
      </w:r>
    </w:p>
    <w:p w14:paraId="79787001" w14:textId="1FDB64B0" w:rsidR="01FED25B" w:rsidRDefault="5456C133" w:rsidP="01FED25B">
      <w:pPr>
        <w:jc w:val="both"/>
        <w:rPr>
          <w:sz w:val="18"/>
          <w:szCs w:val="18"/>
        </w:rPr>
      </w:pPr>
      <w:r>
        <w:rPr>
          <w:sz w:val="18"/>
        </w:rPr>
        <w:t>The categories are numbered consecutively and the numbering and formatting used correspond to the respective assumption categories in the Financial Model's input worksheets. The sources used for the key assumptions and the relevant links are provided in the Financial Model.</w:t>
      </w:r>
    </w:p>
    <w:p w14:paraId="6F162F63" w14:textId="7FB28A5C" w:rsidR="402179AB" w:rsidRPr="00251B39" w:rsidRDefault="00B00AF8" w:rsidP="402179AB">
      <w:pPr>
        <w:jc w:val="both"/>
        <w:rPr>
          <w:rFonts w:eastAsiaTheme="minorEastAsia"/>
          <w:sz w:val="18"/>
          <w:szCs w:val="18"/>
        </w:rPr>
      </w:pPr>
      <w:r>
        <w:rPr>
          <w:sz w:val="18"/>
        </w:rPr>
        <w:t>At a minimum, the Financial Model shall include and the input sheet shall describe the following key assumptions:</w:t>
      </w:r>
    </w:p>
    <w:p w14:paraId="2CC634B0" w14:textId="7F72EBD8" w:rsidR="008C5DC0" w:rsidRPr="00251B39" w:rsidRDefault="004D66A7" w:rsidP="476CB92C">
      <w:pPr>
        <w:jc w:val="both"/>
        <w:rPr>
          <w:sz w:val="18"/>
          <w:szCs w:val="18"/>
        </w:rPr>
      </w:pPr>
      <w:r>
        <w:rPr>
          <w:noProof/>
        </w:rPr>
        <mc:AlternateContent>
          <mc:Choice Requires="wps">
            <w:drawing>
              <wp:anchor distT="0" distB="0" distL="114300" distR="114300" simplePos="0" relativeHeight="251658254" behindDoc="0" locked="0" layoutInCell="1" allowOverlap="1" wp14:anchorId="323FBDCA" wp14:editId="523CCCBB">
                <wp:simplePos x="0" y="0"/>
                <wp:positionH relativeFrom="margin">
                  <wp:posOffset>-334314</wp:posOffset>
                </wp:positionH>
                <wp:positionV relativeFrom="paragraph">
                  <wp:posOffset>4721</wp:posOffset>
                </wp:positionV>
                <wp:extent cx="274320" cy="274320"/>
                <wp:effectExtent l="0" t="0" r="11430" b="11430"/>
                <wp:wrapNone/>
                <wp:docPr id="1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5F32F1" w14:textId="69A421A5" w:rsidR="00EF0F26" w:rsidRDefault="00EF0F26" w:rsidP="00A338AD">
                            <w:pPr>
                              <w:pStyle w:val="Paraststmeklis"/>
                              <w:spacing w:after="0"/>
                              <w:jc w:val="center"/>
                            </w:pPr>
                            <w:r>
                              <w:rPr>
                                <w:rFonts w:ascii="Arial" w:hAnsi="Arial"/>
                                <w:color w:val="FFFFFF"/>
                                <w:sz w:val="21"/>
                              </w:rPr>
                              <w:t>1</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323FBDCA" id="Rounded Rectangle 16" o:spid="_x0000_s1150" style="position:absolute;left:0;text-align:left;margin-left:-26.3pt;margin-top:.35pt;width:21.6pt;height:21.6pt;z-index:251658254;visibility:visible;mso-wrap-style:square;mso-wrap-distance-left:9pt;mso-wrap-distance-top:0;mso-wrap-distance-right:9pt;mso-wrap-distance-bottom:0;mso-position-horizontal:absolute;mso-position-horizontal-relative:margin;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" fillcolor="#86bc25 [3204]" strokecolor="#425d12 [1604]" strokeweight="2pt">
                <v:path arrowok="t"/>
                <v:textbox inset="3.6pt,,3.6pt">
                  <w:txbxContent>
                    <w:p w14:paraId="2F5F32F1" w14:textId="69A421A5" w:rsidR="00EF0F26" w:rsidRDefault="00EF0F26" w:rsidP="00A338AD">
                      <w:pPr>
                        <w:pStyle w:val="Paraststmeklis"/>
                        <w:spacing w:after="0"/>
                        <w:jc w:val="center"/>
                      </w:pPr>
                      <w:r>
                        <w:rPr>
                          <w:rFonts w:ascii="Arial" w:hAnsi="Arial"/>
                          <w:color w:val="FFFFFF"/>
                          <w:sz w:val="21"/>
                        </w:rPr>
                        <w:t>1</w:t>
                      </w:r>
                    </w:p>
                  </w:txbxContent>
                </v:textbox>
                <w10:wrap anchorx="margin"/>
              </v:roundrect>
            </w:pict>
          </mc:Fallback>
        </mc:AlternateContent>
      </w:r>
      <w:r w:rsidR="008C5DC0">
        <w:rPr>
          <w:b/>
          <w:sz w:val="18"/>
        </w:rPr>
        <w:t xml:space="preserve">Terms and dates. </w:t>
      </w:r>
      <w:r w:rsidR="008C5DC0">
        <w:rPr>
          <w:sz w:val="18"/>
        </w:rPr>
        <w:t xml:space="preserve">The start date of the Financial Model is the planned date of signature of the Partnership Contract. The key assumptions define the date of signature of the Partnership Contract, the duration and the period of the works (if any). </w:t>
      </w:r>
    </w:p>
    <w:p w14:paraId="52474AAA" w14:textId="571CE12D" w:rsidR="008C5DC0" w:rsidRPr="00251B39" w:rsidRDefault="00AC45DD" w:rsidP="476CB92C">
      <w:pPr>
        <w:jc w:val="both"/>
        <w:rPr>
          <w:sz w:val="18"/>
          <w:szCs w:val="18"/>
        </w:rPr>
      </w:pPr>
      <w:r>
        <w:rPr>
          <w:noProof/>
        </w:rPr>
        <mc:AlternateContent>
          <mc:Choice Requires="wps">
            <w:drawing>
              <wp:anchor distT="0" distB="0" distL="114300" distR="114300" simplePos="0" relativeHeight="251658255" behindDoc="0" locked="0" layoutInCell="1" allowOverlap="1" wp14:anchorId="17316F70" wp14:editId="1624AC74">
                <wp:simplePos x="0" y="0"/>
                <wp:positionH relativeFrom="column">
                  <wp:posOffset>-342900</wp:posOffset>
                </wp:positionH>
                <wp:positionV relativeFrom="paragraph">
                  <wp:posOffset>3810</wp:posOffset>
                </wp:positionV>
                <wp:extent cx="274320" cy="274320"/>
                <wp:effectExtent l="0" t="0" r="11430" b="11430"/>
                <wp:wrapNone/>
                <wp:docPr id="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E44A65" w14:textId="168C49DA" w:rsidR="00EF0F26" w:rsidRPr="00AC45DD" w:rsidRDefault="00EF0F26" w:rsidP="00A338AD">
                            <w:pPr>
                              <w:pStyle w:val="Paraststmeklis"/>
                              <w:spacing w:after="0"/>
                              <w:jc w:val="center"/>
                              <w:rPr>
                                <w:sz w:val="18"/>
                              </w:rPr>
                            </w:pPr>
                            <w:r>
                              <w:rPr>
                                <w:rFonts w:ascii="Arial" w:hAnsi="Arial"/>
                                <w:color w:val="FFFFFF"/>
                                <w:sz w:val="20"/>
                              </w:rPr>
                              <w:t>2</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17316F70" id="_x0000_s1151" style="position:absolute;left:0;text-align:left;margin-left:-27pt;margin-top:.3pt;width:21.6pt;height:21.6pt;z-index:251658255;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" fillcolor="#86bc25 [3204]" strokecolor="#425d12 [1604]" strokeweight="2pt">
                <v:path arrowok="t"/>
                <v:textbox inset="3.6pt,,3.6pt">
                  <w:txbxContent>
                    <w:p w14:paraId="64E44A65" w14:textId="168C49DA" w:rsidR="00EF0F26" w:rsidRPr="00AC45DD" w:rsidRDefault="00EF0F26" w:rsidP="00A338AD">
                      <w:pPr>
                        <w:pStyle w:val="Paraststmeklis"/>
                        <w:spacing w:after="0"/>
                        <w:jc w:val="center"/>
                        <w:rPr>
                          <w:sz w:val="18"/>
                        </w:rPr>
                      </w:pPr>
                      <w:r>
                        <w:rPr>
                          <w:rFonts w:ascii="Arial" w:hAnsi="Arial"/>
                          <w:color w:val="FFFFFF"/>
                          <w:sz w:val="20"/>
                        </w:rPr>
                        <w:t>2</w:t>
                      </w:r>
                    </w:p>
                  </w:txbxContent>
                </v:textbox>
              </v:roundrect>
            </w:pict>
          </mc:Fallback>
        </mc:AlternateContent>
      </w:r>
      <w:r>
        <w:rPr>
          <w:b/>
          <w:sz w:val="18"/>
        </w:rPr>
        <w:t>Macroeconomic assumptions.</w:t>
      </w:r>
      <w:r>
        <w:rPr>
          <w:sz w:val="18"/>
        </w:rPr>
        <w:t xml:space="preserve"> This section defines the indices used in the Financial Model and justifies their choice. The value of an index shall be expressed as a percentage per year. The preferred source for the indices is the MoF forecasts. If no MoF forecast is available for a particular index, another appropriate source shall be used. For example, the Central Statistical Bureau or international databases (Bloomberg, S&amp;P Capital IQ, Economist Intelligence Unit, etc.) can be considered as such. Indices shall be provided for each future calculation period. If data for the required future period are not available, their historical values for the latest available period shall be provided. The indices must be provided at least for the first year of implementation of the PPP project in which the Partnership Contract is to be signed. Links to the sources to be used are provided in the Financial Model.</w:t>
      </w:r>
    </w:p>
    <w:p w14:paraId="0FE68F5E" w14:textId="21228E1A" w:rsidR="008C5DC0" w:rsidRPr="00251B39" w:rsidRDefault="00AD3B72" w:rsidP="7DB09CA3">
      <w:pPr>
        <w:jc w:val="both"/>
        <w:rPr>
          <w:sz w:val="18"/>
          <w:szCs w:val="18"/>
        </w:rPr>
      </w:pPr>
      <w:r>
        <w:rPr>
          <w:noProof/>
        </w:rPr>
        <mc:AlternateContent>
          <mc:Choice Requires="wps">
            <w:drawing>
              <wp:anchor distT="0" distB="0" distL="114300" distR="114300" simplePos="0" relativeHeight="251658256" behindDoc="0" locked="0" layoutInCell="1" allowOverlap="1" wp14:anchorId="6D050EC7" wp14:editId="74DDE9FC">
                <wp:simplePos x="0" y="0"/>
                <wp:positionH relativeFrom="column">
                  <wp:posOffset>-330200</wp:posOffset>
                </wp:positionH>
                <wp:positionV relativeFrom="paragraph">
                  <wp:posOffset>-1270</wp:posOffset>
                </wp:positionV>
                <wp:extent cx="274320" cy="274320"/>
                <wp:effectExtent l="0" t="0" r="11430" b="11430"/>
                <wp:wrapNone/>
                <wp:docPr id="2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EE6DA" w14:textId="08D35FAA" w:rsidR="00EF0F26" w:rsidRPr="00A8787F" w:rsidRDefault="00EF0F26" w:rsidP="00A8787F">
                            <w:pPr>
                              <w:pStyle w:val="Paraststmeklis"/>
                              <w:spacing w:after="0"/>
                              <w:jc w:val="center"/>
                              <w:rPr>
                                <w:rFonts w:ascii="Arial" w:hAnsi="Arial" w:cs="Arial"/>
                                <w:sz w:val="20"/>
                                <w:szCs w:val="20"/>
                              </w:rPr>
                            </w:pPr>
                            <w:r>
                              <w:rPr>
                                <w:rFonts w:ascii="Arial" w:hAnsi="Arial"/>
                                <w:sz w:val="20"/>
                              </w:rPr>
                              <w:t>3</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6D050EC7" id="_x0000_s1152" style="position:absolute;left:0;text-align:left;margin-left:-26pt;margin-top:-.1pt;width:21.6pt;height:21.6pt;z-index:251658256;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" fillcolor="#86bc25 [3204]" strokecolor="#425d12 [1604]" strokeweight="2pt">
                <v:path arrowok="t"/>
                <v:textbox inset="3.6pt,,3.6pt">
                  <w:txbxContent>
                    <w:p w14:paraId="383EE6DA" w14:textId="08D35FAA" w:rsidR="00EF0F26" w:rsidRPr="00A8787F" w:rsidRDefault="00EF0F26" w:rsidP="00A8787F">
                      <w:pPr>
                        <w:pStyle w:val="Paraststmeklis"/>
                        <w:spacing w:after="0"/>
                        <w:jc w:val="center"/>
                        <w:rPr>
                          <w:rFonts w:ascii="Arial" w:hAnsi="Arial" w:cs="Arial"/>
                          <w:sz w:val="20"/>
                          <w:szCs w:val="20"/>
                        </w:rPr>
                      </w:pPr>
                      <w:r>
                        <w:rPr>
                          <w:rFonts w:ascii="Arial" w:hAnsi="Arial"/>
                          <w:sz w:val="20"/>
                        </w:rPr>
                        <w:t>3</w:t>
                      </w:r>
                    </w:p>
                  </w:txbxContent>
                </v:textbox>
              </v:roundrect>
            </w:pict>
          </mc:Fallback>
        </mc:AlternateContent>
      </w:r>
      <w:r>
        <w:rPr>
          <w:b/>
          <w:sz w:val="18"/>
        </w:rPr>
        <w:t>Discounting assumptions</w:t>
      </w:r>
      <w:r>
        <w:rPr>
          <w:sz w:val="18"/>
        </w:rPr>
        <w:t xml:space="preserve">. Discounting is the process of determining the present value of future cash flows. Given the time value of money, the euro is worth more today than tomorrow. The discount rate used to discount the public partner's cash flows is the nominal discount rate, which is calculated on the basis of the real discount rate set by the MoF, applying the relevant consumer price index forecasts (published on the website of the Central Statistical Bureau). </w:t>
      </w:r>
    </w:p>
    <w:p w14:paraId="06DD3A58" w14:textId="2611D117" w:rsidR="008C5DC0" w:rsidRPr="00251B39" w:rsidRDefault="00403124" w:rsidP="5F33FD79">
      <w:pPr>
        <w:jc w:val="both"/>
        <w:rPr>
          <w:sz w:val="18"/>
          <w:szCs w:val="18"/>
        </w:rPr>
      </w:pPr>
      <w:r>
        <w:rPr>
          <w:noProof/>
        </w:rPr>
        <mc:AlternateContent>
          <mc:Choice Requires="wps">
            <w:drawing>
              <wp:anchor distT="0" distB="0" distL="114300" distR="114300" simplePos="0" relativeHeight="251658257" behindDoc="0" locked="0" layoutInCell="1" allowOverlap="1" wp14:anchorId="3481A797" wp14:editId="5383B3C5">
                <wp:simplePos x="0" y="0"/>
                <wp:positionH relativeFrom="column">
                  <wp:posOffset>-336550</wp:posOffset>
                </wp:positionH>
                <wp:positionV relativeFrom="paragraph">
                  <wp:posOffset>6350</wp:posOffset>
                </wp:positionV>
                <wp:extent cx="274320" cy="274320"/>
                <wp:effectExtent l="0" t="0" r="11430" b="11430"/>
                <wp:wrapNone/>
                <wp:docPr id="1375660224"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355D7" w14:textId="2BEA42E4" w:rsidR="00EF0F26" w:rsidRPr="00A8787F" w:rsidRDefault="00EF0F26" w:rsidP="00403124">
                            <w:pPr>
                              <w:pStyle w:val="Paraststmeklis"/>
                              <w:spacing w:after="0"/>
                              <w:jc w:val="center"/>
                              <w:rPr>
                                <w:rFonts w:ascii="Arial" w:hAnsi="Arial" w:cs="Arial"/>
                                <w:sz w:val="20"/>
                                <w:szCs w:val="20"/>
                              </w:rPr>
                            </w:pPr>
                            <w:r>
                              <w:rPr>
                                <w:rFonts w:ascii="Arial" w:hAnsi="Arial"/>
                                <w:sz w:val="20"/>
                              </w:rPr>
                              <w:t>4</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3481A797" id="_x0000_s1153" style="position:absolute;left:0;text-align:left;margin-left:-26.5pt;margin-top:.5pt;width:21.6pt;height:21.6pt;z-index:251658257;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" fillcolor="#86bc25 [3204]" strokecolor="#425d12 [1604]" strokeweight="2pt">
                <v:path arrowok="t"/>
                <v:textbox inset="3.6pt,,3.6pt">
                  <w:txbxContent>
                    <w:p w14:paraId="6FB355D7" w14:textId="2BEA42E4" w:rsidR="00EF0F26" w:rsidRPr="00A8787F" w:rsidRDefault="00EF0F26" w:rsidP="00403124">
                      <w:pPr>
                        <w:pStyle w:val="Paraststmeklis"/>
                        <w:spacing w:after="0"/>
                        <w:jc w:val="center"/>
                        <w:rPr>
                          <w:rFonts w:ascii="Arial" w:hAnsi="Arial" w:cs="Arial"/>
                          <w:sz w:val="20"/>
                          <w:szCs w:val="20"/>
                        </w:rPr>
                      </w:pPr>
                      <w:r>
                        <w:rPr>
                          <w:rFonts w:ascii="Arial" w:hAnsi="Arial"/>
                          <w:sz w:val="20"/>
                        </w:rPr>
                        <w:t>4</w:t>
                      </w:r>
                    </w:p>
                  </w:txbxContent>
                </v:textbox>
              </v:roundrect>
            </w:pict>
          </mc:Fallback>
        </mc:AlternateContent>
      </w:r>
      <w:r>
        <w:rPr>
          <w:b/>
          <w:sz w:val="18"/>
        </w:rPr>
        <w:t>Tax rates.</w:t>
      </w:r>
      <w:r>
        <w:rPr>
          <w:sz w:val="18"/>
        </w:rPr>
        <w:t xml:space="preserve"> The key assumptions section shall show current and future tax rates in accordance with the laws and regulations in force. If they are amended to change the tax rate for future periods, the amended rates shall be shown for the relevant periods. Links to the sources are provided in the Financial Model.</w:t>
      </w:r>
    </w:p>
    <w:p w14:paraId="558AF28D" w14:textId="3ABF31A3" w:rsidR="008C5DC0" w:rsidRPr="00251B39" w:rsidRDefault="00403124" w:rsidP="476CB92C">
      <w:pPr>
        <w:jc w:val="both"/>
        <w:rPr>
          <w:sz w:val="18"/>
          <w:szCs w:val="18"/>
        </w:rPr>
      </w:pPr>
      <w:r>
        <w:rPr>
          <w:noProof/>
        </w:rPr>
        <mc:AlternateContent>
          <mc:Choice Requires="wps">
            <w:drawing>
              <wp:anchor distT="0" distB="0" distL="114300" distR="114300" simplePos="0" relativeHeight="251658258" behindDoc="0" locked="0" layoutInCell="1" allowOverlap="1" wp14:anchorId="54502239" wp14:editId="74564C0F">
                <wp:simplePos x="0" y="0"/>
                <wp:positionH relativeFrom="column">
                  <wp:posOffset>-330200</wp:posOffset>
                </wp:positionH>
                <wp:positionV relativeFrom="paragraph">
                  <wp:posOffset>6985</wp:posOffset>
                </wp:positionV>
                <wp:extent cx="274320" cy="274320"/>
                <wp:effectExtent l="0" t="0" r="11430" b="11430"/>
                <wp:wrapNone/>
                <wp:docPr id="137566022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AEF03F" w14:textId="56C67EA8" w:rsidR="00EF0F26" w:rsidRPr="00A8787F" w:rsidRDefault="00EF0F26" w:rsidP="00403124">
                            <w:pPr>
                              <w:pStyle w:val="Paraststmeklis"/>
                              <w:spacing w:after="0"/>
                              <w:jc w:val="center"/>
                              <w:rPr>
                                <w:rFonts w:ascii="Arial" w:hAnsi="Arial" w:cs="Arial"/>
                                <w:sz w:val="20"/>
                                <w:szCs w:val="20"/>
                              </w:rPr>
                            </w:pPr>
                            <w:r>
                              <w:rPr>
                                <w:rFonts w:ascii="Arial" w:hAnsi="Arial"/>
                                <w:sz w:val="20"/>
                              </w:rPr>
                              <w:t>5</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54502239" id="_x0000_s1154" style="position:absolute;left:0;text-align:left;margin-left:-26pt;margin-top:.55pt;width:21.6pt;height:21.6pt;z-index:251658258;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" fillcolor="#86bc25 [3204]" strokecolor="#425d12 [1604]" strokeweight="2pt">
                <v:path arrowok="t"/>
                <v:textbox inset="3.6pt,,3.6pt">
                  <w:txbxContent>
                    <w:p w14:paraId="18AEF03F" w14:textId="56C67EA8" w:rsidR="00EF0F26" w:rsidRPr="00A8787F" w:rsidRDefault="00EF0F26" w:rsidP="00403124">
                      <w:pPr>
                        <w:pStyle w:val="Paraststmeklis"/>
                        <w:spacing w:after="0"/>
                        <w:jc w:val="center"/>
                        <w:rPr>
                          <w:rFonts w:ascii="Arial" w:hAnsi="Arial" w:cs="Arial"/>
                          <w:sz w:val="20"/>
                          <w:szCs w:val="20"/>
                        </w:rPr>
                      </w:pPr>
                      <w:r>
                        <w:rPr>
                          <w:rFonts w:ascii="Arial" w:hAnsi="Arial"/>
                          <w:sz w:val="20"/>
                        </w:rPr>
                        <w:t>5</w:t>
                      </w:r>
                    </w:p>
                  </w:txbxContent>
                </v:textbox>
              </v:roundrect>
            </w:pict>
          </mc:Fallback>
        </mc:AlternateContent>
      </w:r>
      <w:r>
        <w:rPr>
          <w:b/>
          <w:sz w:val="18"/>
        </w:rPr>
        <w:t>Financing structure.</w:t>
      </w:r>
      <w:r>
        <w:rPr>
          <w:sz w:val="18"/>
        </w:rPr>
        <w:t xml:space="preserve"> The financing structure used in the Financial Model assumptions shall be based on the results of market sounding gathered in line with PPP best practice assumptions and confirmed in negotiations with potential private partners and financiers. A non-exhaustive list of types of funding to be included in the financing structure:</w:t>
      </w:r>
    </w:p>
    <w:p w14:paraId="6F11467B" w14:textId="51938179" w:rsidR="6E4A8A92" w:rsidRPr="002452BD" w:rsidRDefault="476CB92C" w:rsidP="008B6449">
      <w:pPr>
        <w:pStyle w:val="Sarakstarindkopa"/>
        <w:numPr>
          <w:ilvl w:val="0"/>
          <w:numId w:val="18"/>
        </w:numPr>
        <w:jc w:val="both"/>
        <w:rPr>
          <w:sz w:val="18"/>
          <w:szCs w:val="18"/>
        </w:rPr>
      </w:pPr>
      <w:r>
        <w:rPr>
          <w:b/>
          <w:sz w:val="18"/>
        </w:rPr>
        <w:t>Private partner's equity.</w:t>
      </w:r>
      <w:r>
        <w:rPr>
          <w:sz w:val="18"/>
        </w:rPr>
        <w:t xml:space="preserve"> Indicate the private partner's planned equity share of the total investment and the private partner's minimum after-tax real rate of return on equity. This rate is determined by taking into account the following rate components according to the Financial Asset Pricing Model used in financial theory to estimate the expected return on a risky asset (see the Financial Model for links to the sources):</w:t>
      </w:r>
    </w:p>
    <w:p w14:paraId="10218782" w14:textId="0050E817" w:rsidR="6E4A8A92" w:rsidRPr="00332ACA" w:rsidRDefault="21D28A4C" w:rsidP="00332ACA">
      <w:pPr>
        <w:pStyle w:val="Sarakstarindkopa"/>
        <w:numPr>
          <w:ilvl w:val="0"/>
          <w:numId w:val="56"/>
        </w:numPr>
        <w:jc w:val="both"/>
        <w:rPr>
          <w:sz w:val="18"/>
          <w:szCs w:val="18"/>
        </w:rPr>
      </w:pPr>
      <w:r>
        <w:rPr>
          <w:i/>
          <w:sz w:val="18"/>
        </w:rPr>
        <w:lastRenderedPageBreak/>
        <w:t>The risk-free rate</w:t>
      </w:r>
      <w:r>
        <w:rPr>
          <w:sz w:val="18"/>
        </w:rPr>
        <w:t xml:space="preserve"> is a hypothetical rate of return on an investment that has no risk of financial loss over a given period of time. The risk-free rate is usually a long-term government bond rate with an appropriate maturity closest to the planned life cycle of the PPP project. Information on Latvian government bond rates and maturities is available on the Treasury's website.</w:t>
      </w:r>
    </w:p>
    <w:p w14:paraId="56F437B9" w14:textId="13D6A525" w:rsidR="6E4A8A92" w:rsidRPr="00332ACA" w:rsidRDefault="21D28A4C" w:rsidP="00332ACA">
      <w:pPr>
        <w:pStyle w:val="Sarakstarindkopa"/>
        <w:numPr>
          <w:ilvl w:val="0"/>
          <w:numId w:val="56"/>
        </w:numPr>
        <w:jc w:val="both"/>
        <w:rPr>
          <w:i/>
          <w:iCs/>
          <w:sz w:val="18"/>
          <w:szCs w:val="18"/>
        </w:rPr>
      </w:pPr>
      <w:r>
        <w:rPr>
          <w:i/>
          <w:sz w:val="18"/>
        </w:rPr>
        <w:t xml:space="preserve">The equity risk premium </w:t>
      </w:r>
      <w:r>
        <w:rPr>
          <w:sz w:val="18"/>
        </w:rPr>
        <w:t>is the reward for the additional risk that the private partner takes when investing in a PPP project. It is determined by multiplying the market risk premium (</w:t>
      </w:r>
      <w:r>
        <w:rPr>
          <w:sz w:val="19"/>
        </w:rPr>
        <w:t>the premium for fluctuations in financial markets as a whole)</w:t>
      </w:r>
      <w:r>
        <w:rPr>
          <w:sz w:val="18"/>
        </w:rPr>
        <w:t xml:space="preserve"> by the equilibrium beta coefficient (sensitivity to changes in financial markets, taking into account the capital structure of the private partner or the industry). A link to a possible source of information on the market risk premium and beta coefficient is provided in the Financial Model.  </w:t>
      </w:r>
    </w:p>
    <w:p w14:paraId="34F45A3D" w14:textId="41450E65" w:rsidR="6E4A8A92" w:rsidRPr="00332ACA" w:rsidRDefault="21D28A4C" w:rsidP="00332ACA">
      <w:pPr>
        <w:pStyle w:val="Sarakstarindkopa"/>
        <w:numPr>
          <w:ilvl w:val="0"/>
          <w:numId w:val="56"/>
        </w:numPr>
        <w:jc w:val="both"/>
        <w:rPr>
          <w:sz w:val="18"/>
          <w:szCs w:val="18"/>
        </w:rPr>
      </w:pPr>
      <w:r>
        <w:rPr>
          <w:i/>
          <w:iCs/>
          <w:sz w:val="18"/>
        </w:rPr>
        <w:t xml:space="preserve">Other </w:t>
      </w:r>
      <w:r>
        <w:rPr>
          <w:i/>
          <w:sz w:val="18"/>
        </w:rPr>
        <w:t>appropriate risk premiums</w:t>
      </w:r>
      <w:r>
        <w:rPr>
          <w:sz w:val="18"/>
        </w:rPr>
        <w:t>, such as volume premium (an additional risk premium reflecting the private partner's required reward for the risk arising from the size of the PPP project, e.g. for very small or very large projects) and other project specific premiums (additional risk premiums reflecting the private partner's required reward for the risk arising from the circumstances of the PPP project, e.g. the expected liberalisation of a regulated market).</w:t>
      </w:r>
    </w:p>
    <w:p w14:paraId="4EB6251F" w14:textId="6ED4B334" w:rsidR="008C5DC0" w:rsidRPr="00251B39" w:rsidRDefault="476CB92C" w:rsidP="008B6449">
      <w:pPr>
        <w:pStyle w:val="Sarakstarindkopa"/>
        <w:numPr>
          <w:ilvl w:val="0"/>
          <w:numId w:val="18"/>
        </w:numPr>
        <w:jc w:val="both"/>
        <w:rPr>
          <w:sz w:val="18"/>
          <w:szCs w:val="18"/>
        </w:rPr>
      </w:pPr>
      <w:r>
        <w:rPr>
          <w:b/>
          <w:sz w:val="18"/>
        </w:rPr>
        <w:t>Share of public partner's equity in total investment.</w:t>
      </w:r>
      <w:r>
        <w:rPr>
          <w:sz w:val="18"/>
        </w:rPr>
        <w:t xml:space="preserve"> This section should only be completed in the case of Institutional PPPs where it has been confirmed that the public partner is eligible to engage in such a structured PPP arrangement.</w:t>
      </w:r>
    </w:p>
    <w:p w14:paraId="3CBAF798" w14:textId="0FFE2181" w:rsidR="008C5DC0" w:rsidRPr="00251B39" w:rsidRDefault="476CB92C" w:rsidP="008B6449">
      <w:pPr>
        <w:pStyle w:val="Sarakstarindkopa"/>
        <w:numPr>
          <w:ilvl w:val="0"/>
          <w:numId w:val="18"/>
        </w:numPr>
        <w:jc w:val="both"/>
        <w:rPr>
          <w:b/>
          <w:bCs/>
          <w:sz w:val="18"/>
          <w:szCs w:val="18"/>
        </w:rPr>
      </w:pPr>
      <w:r>
        <w:rPr>
          <w:b/>
          <w:sz w:val="18"/>
        </w:rPr>
        <w:t xml:space="preserve">Subordinated capital. </w:t>
      </w:r>
      <w:r>
        <w:rPr>
          <w:sz w:val="18"/>
        </w:rPr>
        <w:t>Indicate the planned share of subordinated capital in the total investment and the corresponding interest rate, determined on the basis of market research results and negotiations with financiers.</w:t>
      </w:r>
    </w:p>
    <w:p w14:paraId="6BC669CB" w14:textId="18ED55AC" w:rsidR="3C3B93B7" w:rsidRPr="00387DD2" w:rsidRDefault="3C3B93B7" w:rsidP="008B6449">
      <w:pPr>
        <w:pStyle w:val="Sarakstarindkopa"/>
        <w:numPr>
          <w:ilvl w:val="0"/>
          <w:numId w:val="18"/>
        </w:numPr>
        <w:jc w:val="both"/>
        <w:rPr>
          <w:b/>
          <w:bCs/>
          <w:sz w:val="18"/>
          <w:szCs w:val="18"/>
        </w:rPr>
      </w:pPr>
      <w:r>
        <w:rPr>
          <w:b/>
          <w:sz w:val="18"/>
        </w:rPr>
        <w:t>European/national/regional funding.</w:t>
      </w:r>
      <w:r>
        <w:rPr>
          <w:sz w:val="18"/>
        </w:rPr>
        <w:t xml:space="preserve"> Justify the availability of EU/national/regional funding at the time of project commencement and indicate the planned share of funding in the total project capital investment (see Chapter 3.3). </w:t>
      </w:r>
    </w:p>
    <w:p w14:paraId="6F4ED9A1" w14:textId="5E240546" w:rsidR="6E4A8A92" w:rsidRPr="00251B39" w:rsidRDefault="6E4A8A92" w:rsidP="21D28A4C">
      <w:pPr>
        <w:pStyle w:val="Sarakstarindkopa"/>
        <w:numPr>
          <w:ilvl w:val="0"/>
          <w:numId w:val="18"/>
        </w:numPr>
        <w:jc w:val="both"/>
        <w:rPr>
          <w:b/>
          <w:bCs/>
          <w:sz w:val="18"/>
          <w:szCs w:val="18"/>
        </w:rPr>
      </w:pPr>
      <w:r>
        <w:rPr>
          <w:b/>
          <w:sz w:val="18"/>
        </w:rPr>
        <w:t>Senior debt.</w:t>
      </w:r>
      <w:r>
        <w:rPr>
          <w:sz w:val="18"/>
        </w:rPr>
        <w:t xml:space="preserve"> Indicate the planned share of senior debt in the total project capital investment and the corresponding interest rates. By default, an annuity or smoothed repayment schedule is used, where the regular repayments are equal for the duration of the loan. In the case of a PPP project implemented through a Contractual PPP or a Concession, it is important to determine the basic requirements of the financiers and to consider them as minimum requirements for the sufficiency of cash flows to repay the obligations. The assumptions on these shall be based on negotiations with financiers (e.g. European Investment Bank, European Bank for Reconstruction and Development, Nordic Investment Bank, commercial banks). A non-exhaustive list of indicators used to justify the ability to repay or service debts:</w:t>
      </w:r>
    </w:p>
    <w:p w14:paraId="28F243BB" w14:textId="7C590809" w:rsidR="6E4A8A92" w:rsidRPr="00332ACA" w:rsidRDefault="6E4A8A92" w:rsidP="00EF0F26">
      <w:pPr>
        <w:pStyle w:val="Sarakstarindkopa"/>
        <w:numPr>
          <w:ilvl w:val="0"/>
          <w:numId w:val="55"/>
        </w:numPr>
        <w:tabs>
          <w:tab w:val="left" w:pos="1800"/>
        </w:tabs>
        <w:jc w:val="both"/>
        <w:rPr>
          <w:sz w:val="18"/>
          <w:szCs w:val="18"/>
        </w:rPr>
      </w:pPr>
      <w:r>
        <w:rPr>
          <w:sz w:val="18"/>
        </w:rPr>
        <w:t xml:space="preserve">Debt service coverage ratio (DSCR) </w:t>
      </w:r>
    </w:p>
    <w:p w14:paraId="52DC07CF" w14:textId="7E963D6C" w:rsidR="6E4A8A92" w:rsidRPr="00332ACA" w:rsidRDefault="00515CBF" w:rsidP="00EF0F26">
      <w:pPr>
        <w:pStyle w:val="Sarakstarindkopa"/>
        <w:numPr>
          <w:ilvl w:val="0"/>
          <w:numId w:val="55"/>
        </w:numPr>
        <w:tabs>
          <w:tab w:val="left" w:pos="1800"/>
        </w:tabs>
        <w:jc w:val="both"/>
        <w:rPr>
          <w:bCs/>
          <w:sz w:val="18"/>
          <w:szCs w:val="18"/>
        </w:rPr>
      </w:pPr>
      <w:r>
        <w:rPr>
          <w:sz w:val="18"/>
        </w:rPr>
        <w:t xml:space="preserve">Loan life coverage ratio (LLCR) </w:t>
      </w:r>
    </w:p>
    <w:p w14:paraId="4A169230" w14:textId="64BF57AF" w:rsidR="6E4A8A92" w:rsidRPr="00332ACA" w:rsidRDefault="00515CBF" w:rsidP="00EF0F26">
      <w:pPr>
        <w:pStyle w:val="Sarakstarindkopa"/>
        <w:numPr>
          <w:ilvl w:val="0"/>
          <w:numId w:val="55"/>
        </w:numPr>
        <w:tabs>
          <w:tab w:val="left" w:pos="1800"/>
        </w:tabs>
        <w:jc w:val="both"/>
        <w:rPr>
          <w:sz w:val="18"/>
          <w:szCs w:val="18"/>
        </w:rPr>
      </w:pPr>
      <w:r>
        <w:rPr>
          <w:sz w:val="18"/>
        </w:rPr>
        <w:t xml:space="preserve">Project Life Coverage ratio (PLCR) </w:t>
      </w:r>
    </w:p>
    <w:p w14:paraId="5C444952" w14:textId="1B93D3BB" w:rsidR="6E4A8A92" w:rsidRPr="00332ACA" w:rsidRDefault="007D56D3" w:rsidP="00EF0F26">
      <w:pPr>
        <w:pStyle w:val="Sarakstarindkopa"/>
        <w:numPr>
          <w:ilvl w:val="0"/>
          <w:numId w:val="55"/>
        </w:numPr>
        <w:tabs>
          <w:tab w:val="left" w:pos="1800"/>
        </w:tabs>
        <w:jc w:val="both"/>
        <w:rPr>
          <w:sz w:val="18"/>
          <w:szCs w:val="18"/>
        </w:rPr>
      </w:pPr>
      <w:r>
        <w:rPr>
          <w:sz w:val="18"/>
        </w:rPr>
        <w:t>Major Maintenance reserve account (MMRA) replenishment requirements. This is a reserve fund account that is set up to accumulate maintenance costs for the totals of specified future periods</w:t>
      </w:r>
    </w:p>
    <w:p w14:paraId="355E5312" w14:textId="112E69C7" w:rsidR="6E4A8A92" w:rsidRPr="00332ACA" w:rsidRDefault="6E4A8A92" w:rsidP="00EF0F26">
      <w:pPr>
        <w:pStyle w:val="Sarakstarindkopa"/>
        <w:numPr>
          <w:ilvl w:val="0"/>
          <w:numId w:val="55"/>
        </w:numPr>
        <w:tabs>
          <w:tab w:val="left" w:pos="1800"/>
        </w:tabs>
        <w:jc w:val="both"/>
        <w:rPr>
          <w:sz w:val="18"/>
          <w:szCs w:val="18"/>
        </w:rPr>
      </w:pPr>
      <w:r>
        <w:rPr>
          <w:sz w:val="18"/>
        </w:rPr>
        <w:t>Debt service reserve account (DSRA) replenishment requirements. This is a reserve fund account that is set up to accumulate liability payments for the totals of specified future periods</w:t>
      </w:r>
    </w:p>
    <w:p w14:paraId="5F914E9F" w14:textId="3C9CBDA7" w:rsidR="6E4A8A92" w:rsidRPr="00332ACA" w:rsidRDefault="68A3781E" w:rsidP="00EF0F26">
      <w:pPr>
        <w:pStyle w:val="Sarakstarindkopa"/>
        <w:numPr>
          <w:ilvl w:val="0"/>
          <w:numId w:val="55"/>
        </w:numPr>
        <w:tabs>
          <w:tab w:val="left" w:pos="1800"/>
        </w:tabs>
        <w:jc w:val="both"/>
        <w:rPr>
          <w:sz w:val="18"/>
          <w:szCs w:val="18"/>
        </w:rPr>
      </w:pPr>
      <w:r>
        <w:rPr>
          <w:sz w:val="18"/>
        </w:rPr>
        <w:t xml:space="preserve">Interest rates shall be determined by taking into account the following rate components: credit risk premium, administrative premium, profit premium, interest rate </w:t>
      </w:r>
      <w:r w:rsidR="002066F1">
        <w:rPr>
          <w:sz w:val="18"/>
        </w:rPr>
        <w:t xml:space="preserve">swap </w:t>
      </w:r>
      <w:r>
        <w:rPr>
          <w:sz w:val="18"/>
        </w:rPr>
        <w:t>(SWAP) premium</w:t>
      </w:r>
    </w:p>
    <w:p w14:paraId="719E40C1" w14:textId="642478A5" w:rsidR="00550418" w:rsidRPr="00332ACA" w:rsidRDefault="3C3B93B7" w:rsidP="00EF0F26">
      <w:pPr>
        <w:pStyle w:val="Sarakstarindkopa"/>
        <w:numPr>
          <w:ilvl w:val="0"/>
          <w:numId w:val="55"/>
        </w:numPr>
        <w:tabs>
          <w:tab w:val="left" w:pos="1800"/>
        </w:tabs>
        <w:jc w:val="both"/>
        <w:rPr>
          <w:sz w:val="18"/>
          <w:szCs w:val="18"/>
        </w:rPr>
      </w:pPr>
      <w:r>
        <w:rPr>
          <w:sz w:val="18"/>
        </w:rPr>
        <w:t>Credit tail. This is the difference between the duration of the Partnership Contract and the duration of the loan</w:t>
      </w:r>
    </w:p>
    <w:p w14:paraId="78A59075" w14:textId="530007EC" w:rsidR="008C5DC0" w:rsidRPr="00251B39" w:rsidRDefault="00403124" w:rsidP="21D28A4C">
      <w:pPr>
        <w:jc w:val="both"/>
        <w:rPr>
          <w:sz w:val="18"/>
          <w:szCs w:val="18"/>
        </w:rPr>
      </w:pPr>
      <w:r>
        <w:rPr>
          <w:noProof/>
        </w:rPr>
        <mc:AlternateContent>
          <mc:Choice Requires="wps">
            <w:drawing>
              <wp:anchor distT="0" distB="0" distL="114300" distR="114300" simplePos="0" relativeHeight="251658259" behindDoc="0" locked="0" layoutInCell="1" allowOverlap="1" wp14:anchorId="058B14E2" wp14:editId="725BBDB4">
                <wp:simplePos x="0" y="0"/>
                <wp:positionH relativeFrom="column">
                  <wp:posOffset>-336550</wp:posOffset>
                </wp:positionH>
                <wp:positionV relativeFrom="paragraph">
                  <wp:posOffset>8255</wp:posOffset>
                </wp:positionV>
                <wp:extent cx="274320" cy="274320"/>
                <wp:effectExtent l="0" t="0" r="11430" b="11430"/>
                <wp:wrapNone/>
                <wp:docPr id="137566022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DDADDA" w14:textId="61D5594B" w:rsidR="00EF0F26" w:rsidRPr="00A8787F" w:rsidRDefault="00EF0F26" w:rsidP="00403124">
                            <w:pPr>
                              <w:pStyle w:val="Paraststmeklis"/>
                              <w:spacing w:after="0"/>
                              <w:jc w:val="center"/>
                              <w:rPr>
                                <w:rFonts w:ascii="Arial" w:hAnsi="Arial" w:cs="Arial"/>
                                <w:sz w:val="20"/>
                                <w:szCs w:val="20"/>
                              </w:rPr>
                            </w:pPr>
                            <w:r>
                              <w:rPr>
                                <w:rFonts w:ascii="Arial" w:hAnsi="Arial"/>
                                <w:sz w:val="20"/>
                              </w:rPr>
                              <w:t>6</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058B14E2" id="_x0000_s1155" style="position:absolute;left:0;text-align:left;margin-left:-26.5pt;margin-top:.65pt;width:21.6pt;height:21.6pt;z-index:251658259;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" fillcolor="#86bc25 [3204]" strokecolor="#425d12 [1604]" strokeweight="2pt">
                <v:path arrowok="t"/>
                <v:textbox inset="3.6pt,,3.6pt">
                  <w:txbxContent>
                    <w:p w14:paraId="75DDADDA" w14:textId="61D5594B" w:rsidR="00EF0F26" w:rsidRPr="00A8787F" w:rsidRDefault="00EF0F26" w:rsidP="00403124">
                      <w:pPr>
                        <w:pStyle w:val="Paraststmeklis"/>
                        <w:spacing w:after="0"/>
                        <w:jc w:val="center"/>
                        <w:rPr>
                          <w:rFonts w:ascii="Arial" w:hAnsi="Arial" w:cs="Arial"/>
                          <w:sz w:val="20"/>
                          <w:szCs w:val="20"/>
                        </w:rPr>
                      </w:pPr>
                      <w:r>
                        <w:rPr>
                          <w:rFonts w:ascii="Arial" w:hAnsi="Arial"/>
                          <w:sz w:val="20"/>
                        </w:rPr>
                        <w:t>6</w:t>
                      </w:r>
                    </w:p>
                  </w:txbxContent>
                </v:textbox>
              </v:roundrect>
            </w:pict>
          </mc:Fallback>
        </mc:AlternateContent>
      </w:r>
      <w:r>
        <w:rPr>
          <w:b/>
          <w:sz w:val="18"/>
        </w:rPr>
        <w:t>Capital investment cost plan.</w:t>
      </w:r>
      <w:r>
        <w:rPr>
          <w:sz w:val="18"/>
        </w:rPr>
        <w:t xml:space="preserve"> The capital investment cost plan shall be based on the results of market research, expert opinions and negotiations with potential</w:t>
      </w:r>
      <w:r>
        <w:rPr>
          <w:rFonts w:ascii="Verdana" w:hAnsi="Verdana"/>
          <w:color w:val="333333"/>
          <w:sz w:val="18"/>
        </w:rPr>
        <w:t xml:space="preserve"> service providers or contractors. </w:t>
      </w:r>
      <w:r>
        <w:rPr>
          <w:sz w:val="18"/>
        </w:rPr>
        <w:t xml:space="preserve">Capital investments shall reflect efficiencies and/or synergies (understood as the increase in operational effectiveness resulting from combining several activities into a single, interrelated project subject to a </w:t>
      </w:r>
      <w:r>
        <w:rPr>
          <w:sz w:val="18"/>
        </w:rPr>
        <w:lastRenderedPageBreak/>
        <w:t xml:space="preserve">single accountability mechanism) that may arise for the private partner, for example, from combining the construction and maintenance phases of the project, from using efficient technologies, or from having more influence over the PPP project's delivery approach, thereby reducing the amount of capital investment compared to a traditional procurement procedure. </w:t>
      </w:r>
    </w:p>
    <w:p w14:paraId="2C2EF488" w14:textId="75134918" w:rsidR="008C5DC0" w:rsidRPr="00251B39" w:rsidRDefault="00711162" w:rsidP="21D28A4C">
      <w:pPr>
        <w:jc w:val="both"/>
        <w:rPr>
          <w:sz w:val="18"/>
          <w:szCs w:val="18"/>
        </w:rPr>
      </w:pPr>
      <w:r>
        <w:rPr>
          <w:noProof/>
        </w:rPr>
        <mc:AlternateContent>
          <mc:Choice Requires="wps">
            <w:drawing>
              <wp:anchor distT="0" distB="0" distL="114300" distR="114300" simplePos="0" relativeHeight="251658260" behindDoc="0" locked="0" layoutInCell="1" allowOverlap="1" wp14:anchorId="6DCD310F" wp14:editId="52B28B6F">
                <wp:simplePos x="0" y="0"/>
                <wp:positionH relativeFrom="column">
                  <wp:posOffset>-349250</wp:posOffset>
                </wp:positionH>
                <wp:positionV relativeFrom="paragraph">
                  <wp:posOffset>4445</wp:posOffset>
                </wp:positionV>
                <wp:extent cx="274320" cy="274320"/>
                <wp:effectExtent l="0" t="0" r="11430" b="11430"/>
                <wp:wrapNone/>
                <wp:docPr id="137566022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FA4496" w14:textId="450F6DC6" w:rsidR="00EF0F26" w:rsidRPr="00A8787F" w:rsidRDefault="00EF0F26" w:rsidP="00403124">
                            <w:pPr>
                              <w:pStyle w:val="Paraststmeklis"/>
                              <w:spacing w:after="0"/>
                              <w:jc w:val="center"/>
                              <w:rPr>
                                <w:rFonts w:ascii="Arial" w:hAnsi="Arial" w:cs="Arial"/>
                                <w:sz w:val="20"/>
                                <w:szCs w:val="20"/>
                              </w:rPr>
                            </w:pPr>
                            <w:r>
                              <w:rPr>
                                <w:rFonts w:ascii="Arial" w:hAnsi="Arial"/>
                                <w:sz w:val="20"/>
                              </w:rPr>
                              <w:t>7</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6DCD310F" id="_x0000_s1156" style="position:absolute;left:0;text-align:left;margin-left:-27.5pt;margin-top:.35pt;width:21.6pt;height:21.6pt;z-index:251658260;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" fillcolor="#86bc25 [3204]" strokecolor="#425d12 [1604]" strokeweight="2pt">
                <v:path arrowok="t"/>
                <v:textbox inset="3.6pt,,3.6pt">
                  <w:txbxContent>
                    <w:p w14:paraId="46FA4496" w14:textId="450F6DC6" w:rsidR="00EF0F26" w:rsidRPr="00A8787F" w:rsidRDefault="00EF0F26" w:rsidP="00403124">
                      <w:pPr>
                        <w:pStyle w:val="Paraststmeklis"/>
                        <w:spacing w:after="0"/>
                        <w:jc w:val="center"/>
                        <w:rPr>
                          <w:rFonts w:ascii="Arial" w:hAnsi="Arial" w:cs="Arial"/>
                          <w:sz w:val="20"/>
                          <w:szCs w:val="20"/>
                        </w:rPr>
                      </w:pPr>
                      <w:r>
                        <w:rPr>
                          <w:rFonts w:ascii="Arial" w:hAnsi="Arial"/>
                          <w:sz w:val="20"/>
                        </w:rPr>
                        <w:t>7</w:t>
                      </w:r>
                    </w:p>
                  </w:txbxContent>
                </v:textbox>
              </v:roundrect>
            </w:pict>
          </mc:Fallback>
        </mc:AlternateContent>
      </w:r>
      <w:r>
        <w:rPr>
          <w:b/>
          <w:sz w:val="18"/>
        </w:rPr>
        <w:t xml:space="preserve">Cost plan. </w:t>
      </w:r>
      <w:r>
        <w:rPr>
          <w:sz w:val="18"/>
        </w:rPr>
        <w:t>The cost plan shall be based on the results of market research, expert opinions and negotiations with potential</w:t>
      </w:r>
      <w:r>
        <w:rPr>
          <w:rFonts w:ascii="Verdana" w:hAnsi="Verdana"/>
          <w:color w:val="333333"/>
          <w:sz w:val="18"/>
        </w:rPr>
        <w:t xml:space="preserve"> service providers or contractors</w:t>
      </w:r>
      <w:r>
        <w:rPr>
          <w:sz w:val="18"/>
        </w:rPr>
        <w:t>. R</w:t>
      </w:r>
      <w:r w:rsidR="00E618D2">
        <w:rPr>
          <w:sz w:val="18"/>
        </w:rPr>
        <w:t>outine</w:t>
      </w:r>
      <w:r>
        <w:rPr>
          <w:sz w:val="18"/>
        </w:rPr>
        <w:t xml:space="preserve"> and </w:t>
      </w:r>
      <w:r w:rsidR="00A84764">
        <w:rPr>
          <w:sz w:val="18"/>
        </w:rPr>
        <w:t>major</w:t>
      </w:r>
      <w:r>
        <w:rPr>
          <w:sz w:val="18"/>
        </w:rPr>
        <w:t xml:space="preserve"> maintenance costs shall reflect efficiencies and/or synergies (such as those listed in the Guideline's key assumption category 6), thereby reducing the level of costs compared to a traditional procurement procedure.</w:t>
      </w:r>
    </w:p>
    <w:p w14:paraId="02A3CAB3" w14:textId="5CB1D544" w:rsidR="008C5DC0" w:rsidRPr="00251B39" w:rsidRDefault="00F0633A" w:rsidP="5F33FD79">
      <w:pPr>
        <w:jc w:val="both"/>
        <w:rPr>
          <w:sz w:val="18"/>
          <w:szCs w:val="18"/>
        </w:rPr>
      </w:pPr>
      <w:r>
        <w:rPr>
          <w:sz w:val="18"/>
        </w:rPr>
        <w:t xml:space="preserve">For the following cost items, indicate the planned costs per quarter: </w:t>
      </w:r>
    </w:p>
    <w:p w14:paraId="77DB10AA" w14:textId="66354EFF" w:rsidR="00550418" w:rsidRPr="00251B39" w:rsidRDefault="2C8CD5F6" w:rsidP="008B6449">
      <w:pPr>
        <w:pStyle w:val="Sarakstarindkopa"/>
        <w:numPr>
          <w:ilvl w:val="0"/>
          <w:numId w:val="35"/>
        </w:numPr>
        <w:jc w:val="both"/>
        <w:rPr>
          <w:sz w:val="18"/>
          <w:szCs w:val="18"/>
        </w:rPr>
      </w:pPr>
      <w:r>
        <w:rPr>
          <w:sz w:val="18"/>
        </w:rPr>
        <w:t>Daily or r</w:t>
      </w:r>
      <w:r w:rsidR="00E618D2">
        <w:rPr>
          <w:sz w:val="18"/>
        </w:rPr>
        <w:t>outine</w:t>
      </w:r>
      <w:r>
        <w:rPr>
          <w:sz w:val="18"/>
        </w:rPr>
        <w:t xml:space="preserve"> maintenance costs (r</w:t>
      </w:r>
      <w:r w:rsidR="00E618D2">
        <w:rPr>
          <w:sz w:val="18"/>
        </w:rPr>
        <w:t>outine</w:t>
      </w:r>
      <w:r>
        <w:rPr>
          <w:sz w:val="18"/>
        </w:rPr>
        <w:t xml:space="preserve"> maintenance costs in the Financial Model)</w:t>
      </w:r>
    </w:p>
    <w:p w14:paraId="7B6A9E19" w14:textId="26246C8C" w:rsidR="00550418" w:rsidRPr="00387DD2" w:rsidRDefault="00387DD2" w:rsidP="008B6449">
      <w:pPr>
        <w:pStyle w:val="Sarakstarindkopa"/>
        <w:numPr>
          <w:ilvl w:val="0"/>
          <w:numId w:val="35"/>
        </w:numPr>
        <w:jc w:val="both"/>
        <w:rPr>
          <w:sz w:val="18"/>
          <w:szCs w:val="18"/>
        </w:rPr>
      </w:pPr>
      <w:r>
        <w:rPr>
          <w:sz w:val="18"/>
        </w:rPr>
        <w:t xml:space="preserve">Periodic capital investment or </w:t>
      </w:r>
      <w:r w:rsidR="00A84764">
        <w:rPr>
          <w:sz w:val="18"/>
        </w:rPr>
        <w:t>major</w:t>
      </w:r>
      <w:r>
        <w:rPr>
          <w:sz w:val="18"/>
        </w:rPr>
        <w:t xml:space="preserve"> maintenance costs (</w:t>
      </w:r>
      <w:r w:rsidR="00A84764">
        <w:rPr>
          <w:sz w:val="18"/>
        </w:rPr>
        <w:t>major</w:t>
      </w:r>
      <w:r>
        <w:rPr>
          <w:sz w:val="18"/>
        </w:rPr>
        <w:t xml:space="preserve"> maintenance costs in the Financial Model)</w:t>
      </w:r>
    </w:p>
    <w:p w14:paraId="08497749" w14:textId="5E64FD84" w:rsidR="00550418" w:rsidRPr="00251B39" w:rsidRDefault="00550418" w:rsidP="008B6449">
      <w:pPr>
        <w:pStyle w:val="Sarakstarindkopa"/>
        <w:numPr>
          <w:ilvl w:val="0"/>
          <w:numId w:val="35"/>
        </w:numPr>
        <w:jc w:val="both"/>
        <w:rPr>
          <w:sz w:val="18"/>
          <w:szCs w:val="18"/>
        </w:rPr>
      </w:pPr>
      <w:r>
        <w:rPr>
          <w:sz w:val="18"/>
        </w:rPr>
        <w:t>Insurance costs</w:t>
      </w:r>
    </w:p>
    <w:p w14:paraId="650E8789" w14:textId="635E95CE" w:rsidR="00550418" w:rsidRPr="00251B39" w:rsidRDefault="00550418" w:rsidP="008B6449">
      <w:pPr>
        <w:pStyle w:val="Sarakstarindkopa"/>
        <w:numPr>
          <w:ilvl w:val="0"/>
          <w:numId w:val="35"/>
        </w:numPr>
        <w:jc w:val="both"/>
        <w:rPr>
          <w:sz w:val="18"/>
          <w:szCs w:val="18"/>
        </w:rPr>
      </w:pPr>
      <w:r>
        <w:rPr>
          <w:sz w:val="18"/>
        </w:rPr>
        <w:t>Administrative costs for the private partner</w:t>
      </w:r>
    </w:p>
    <w:p w14:paraId="1F76F911" w14:textId="3EA5EC68" w:rsidR="00550418" w:rsidRPr="00251B39" w:rsidRDefault="00711162" w:rsidP="008B6449">
      <w:pPr>
        <w:pStyle w:val="Sarakstarindkopa"/>
        <w:numPr>
          <w:ilvl w:val="0"/>
          <w:numId w:val="35"/>
        </w:numPr>
        <w:jc w:val="both"/>
        <w:rPr>
          <w:sz w:val="18"/>
          <w:szCs w:val="18"/>
        </w:rPr>
      </w:pPr>
      <w:r>
        <w:rPr>
          <w:noProof/>
        </w:rPr>
        <mc:AlternateContent>
          <mc:Choice Requires="wps">
            <w:drawing>
              <wp:anchor distT="0" distB="0" distL="114300" distR="114300" simplePos="0" relativeHeight="251658261" behindDoc="0" locked="0" layoutInCell="1" allowOverlap="1" wp14:anchorId="06ECECF9" wp14:editId="3049E27D">
                <wp:simplePos x="0" y="0"/>
                <wp:positionH relativeFrom="column">
                  <wp:posOffset>-342900</wp:posOffset>
                </wp:positionH>
                <wp:positionV relativeFrom="paragraph">
                  <wp:posOffset>255270</wp:posOffset>
                </wp:positionV>
                <wp:extent cx="274320" cy="274320"/>
                <wp:effectExtent l="0" t="0" r="11430" b="11430"/>
                <wp:wrapNone/>
                <wp:docPr id="137566022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CDA52" w14:textId="26825873" w:rsidR="00EF0F26" w:rsidRPr="00A8787F" w:rsidRDefault="00EF0F26" w:rsidP="00403124">
                            <w:pPr>
                              <w:pStyle w:val="Paraststmeklis"/>
                              <w:spacing w:after="0"/>
                              <w:jc w:val="center"/>
                              <w:rPr>
                                <w:rFonts w:ascii="Arial" w:hAnsi="Arial" w:cs="Arial"/>
                                <w:sz w:val="20"/>
                                <w:szCs w:val="20"/>
                              </w:rPr>
                            </w:pPr>
                            <w:r>
                              <w:rPr>
                                <w:rFonts w:ascii="Arial" w:hAnsi="Arial"/>
                                <w:sz w:val="20"/>
                              </w:rPr>
                              <w:t>8</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06ECECF9" id="_x0000_s1157" style="position:absolute;left:0;text-align:left;margin-left:-27pt;margin-top:20.1pt;width:21.6pt;height:21.6pt;z-index:251658261;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" fillcolor="#86bc25 [3204]" strokecolor="#425d12 [1604]" strokeweight="2pt">
                <v:path arrowok="t"/>
                <v:textbox inset="3.6pt,,3.6pt">
                  <w:txbxContent>
                    <w:p w14:paraId="24FCDA52" w14:textId="26825873" w:rsidR="00EF0F26" w:rsidRPr="00A8787F" w:rsidRDefault="00EF0F26" w:rsidP="00403124">
                      <w:pPr>
                        <w:pStyle w:val="Paraststmeklis"/>
                        <w:spacing w:after="0"/>
                        <w:jc w:val="center"/>
                        <w:rPr>
                          <w:rFonts w:ascii="Arial" w:hAnsi="Arial" w:cs="Arial"/>
                          <w:sz w:val="20"/>
                          <w:szCs w:val="20"/>
                        </w:rPr>
                      </w:pPr>
                      <w:r>
                        <w:rPr>
                          <w:rFonts w:ascii="Arial" w:hAnsi="Arial"/>
                          <w:sz w:val="20"/>
                        </w:rPr>
                        <w:t>8</w:t>
                      </w:r>
                    </w:p>
                  </w:txbxContent>
                </v:textbox>
              </v:roundrect>
            </w:pict>
          </mc:Fallback>
        </mc:AlternateContent>
      </w:r>
      <w:r>
        <w:rPr>
          <w:sz w:val="18"/>
        </w:rPr>
        <w:t>Administrative costs for the public partner</w:t>
      </w:r>
    </w:p>
    <w:p w14:paraId="60A3E19C" w14:textId="7E6B332F" w:rsidR="008C5DC0" w:rsidRPr="00251B39" w:rsidRDefault="008C5DC0" w:rsidP="008C5DC0">
      <w:pPr>
        <w:jc w:val="both"/>
        <w:rPr>
          <w:sz w:val="18"/>
          <w:szCs w:val="18"/>
        </w:rPr>
      </w:pPr>
      <w:r>
        <w:rPr>
          <w:b/>
          <w:sz w:val="18"/>
        </w:rPr>
        <w:t>Revenue structure.</w:t>
      </w:r>
      <w:r>
        <w:rPr>
          <w:sz w:val="18"/>
        </w:rPr>
        <w:t xml:space="preserve"> This section defines the types of revenue to be </w:t>
      </w:r>
      <w:r w:rsidR="00D52A77">
        <w:rPr>
          <w:sz w:val="18"/>
        </w:rPr>
        <w:t xml:space="preserve">obtained </w:t>
      </w:r>
      <w:r>
        <w:rPr>
          <w:sz w:val="18"/>
        </w:rPr>
        <w:t>- user charges and/or availability payment. Where user charges are envisaged, the capacity and willingness to pay of users shall be based on the results of market research. Revenue shall also include the expected interest income on the cash in the reserve accounts, i.e. on the funds in the debt service reserve account (DSRA), in the major maintenance reserve account (MMRA) and/or other accounts from which interest income is calculated on the funds held.</w:t>
      </w:r>
    </w:p>
    <w:p w14:paraId="4F1CC045" w14:textId="338769FE" w:rsidR="00BA026A" w:rsidRPr="00251B39" w:rsidRDefault="00711162" w:rsidP="00BA026A">
      <w:pPr>
        <w:jc w:val="both"/>
        <w:rPr>
          <w:sz w:val="18"/>
          <w:szCs w:val="18"/>
        </w:rPr>
      </w:pPr>
      <w:r>
        <w:rPr>
          <w:noProof/>
        </w:rPr>
        <mc:AlternateContent>
          <mc:Choice Requires="wps">
            <w:drawing>
              <wp:anchor distT="0" distB="0" distL="114300" distR="114300" simplePos="0" relativeHeight="251658262" behindDoc="0" locked="0" layoutInCell="1" allowOverlap="1" wp14:anchorId="4C081B74" wp14:editId="6266B62A">
                <wp:simplePos x="0" y="0"/>
                <wp:positionH relativeFrom="column">
                  <wp:posOffset>-349250</wp:posOffset>
                </wp:positionH>
                <wp:positionV relativeFrom="paragraph">
                  <wp:posOffset>7620</wp:posOffset>
                </wp:positionV>
                <wp:extent cx="274320" cy="274320"/>
                <wp:effectExtent l="0" t="0" r="11430" b="11430"/>
                <wp:wrapNone/>
                <wp:docPr id="137566022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A1CFC" w14:textId="2E339EF0" w:rsidR="00EF0F26" w:rsidRPr="00A8787F" w:rsidRDefault="00EF0F26" w:rsidP="00403124">
                            <w:pPr>
                              <w:pStyle w:val="Paraststmeklis"/>
                              <w:spacing w:after="0"/>
                              <w:jc w:val="center"/>
                              <w:rPr>
                                <w:rFonts w:ascii="Arial" w:hAnsi="Arial" w:cs="Arial"/>
                                <w:sz w:val="20"/>
                                <w:szCs w:val="20"/>
                              </w:rPr>
                            </w:pPr>
                            <w:r>
                              <w:rPr>
                                <w:rFonts w:ascii="Arial" w:hAnsi="Arial"/>
                                <w:sz w:val="20"/>
                              </w:rPr>
                              <w:t>9</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anchor>
            </w:drawing>
          </mc:Choice>
          <mc:Fallback>
            <w:pict>
              <v:roundrect w14:anchorId="4C081B74" id="_x0000_s1158" style="position:absolute;left:0;text-align:left;margin-left:-27.5pt;margin-top:.6pt;width:21.6pt;height:21.6pt;z-index:251658262;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" fillcolor="#86bc25 [3204]" strokecolor="#425d12 [1604]" strokeweight="2pt">
                <v:path arrowok="t"/>
                <v:textbox inset="3.6pt,,3.6pt">
                  <w:txbxContent>
                    <w:p w14:paraId="183A1CFC" w14:textId="2E339EF0" w:rsidR="00EF0F26" w:rsidRPr="00A8787F" w:rsidRDefault="00EF0F26" w:rsidP="00403124">
                      <w:pPr>
                        <w:pStyle w:val="Paraststmeklis"/>
                        <w:spacing w:after="0"/>
                        <w:jc w:val="center"/>
                        <w:rPr>
                          <w:rFonts w:ascii="Arial" w:hAnsi="Arial" w:cs="Arial"/>
                          <w:sz w:val="20"/>
                          <w:szCs w:val="20"/>
                        </w:rPr>
                      </w:pPr>
                      <w:r>
                        <w:rPr>
                          <w:rFonts w:ascii="Arial" w:hAnsi="Arial"/>
                          <w:sz w:val="20"/>
                        </w:rPr>
                        <w:t>9</w:t>
                      </w:r>
                    </w:p>
                  </w:txbxContent>
                </v:textbox>
              </v:roundrect>
            </w:pict>
          </mc:Fallback>
        </mc:AlternateContent>
      </w:r>
      <w:r>
        <w:rPr>
          <w:b/>
          <w:sz w:val="18"/>
        </w:rPr>
        <w:t>Baseline Model assumptions.</w:t>
      </w:r>
      <w:r>
        <w:rPr>
          <w:sz w:val="18"/>
        </w:rPr>
        <w:t xml:space="preserve"> This section defines the capital investment and costs of the project if the PPP project would be implemented through a traditional procurement procedure. The positions are shown by quarter, taking into account the following considerations:</w:t>
      </w:r>
    </w:p>
    <w:p w14:paraId="00089230" w14:textId="7197975E" w:rsidR="0077430B" w:rsidRPr="00AE6A43" w:rsidRDefault="0077430B" w:rsidP="0042616B">
      <w:pPr>
        <w:pStyle w:val="Sarakstarindkopa"/>
        <w:numPr>
          <w:ilvl w:val="0"/>
          <w:numId w:val="54"/>
        </w:numPr>
        <w:jc w:val="both"/>
        <w:rPr>
          <w:b/>
          <w:sz w:val="18"/>
          <w:szCs w:val="18"/>
        </w:rPr>
      </w:pPr>
      <w:r>
        <w:rPr>
          <w:b/>
          <w:sz w:val="18"/>
        </w:rPr>
        <w:t xml:space="preserve">Extension of construction period - </w:t>
      </w:r>
      <w:r>
        <w:rPr>
          <w:sz w:val="18"/>
        </w:rPr>
        <w:t>indicate the difference in quarters between the construction period in a traditional procurement and that in the PPP Project Model (typically, the Baseline Model expects construction to take longer than the PPP Project Model)</w:t>
      </w:r>
    </w:p>
    <w:p w14:paraId="48EDCAB3" w14:textId="77777777" w:rsidR="00332ACA" w:rsidRPr="009D1EFB" w:rsidRDefault="00332ACA" w:rsidP="008B6449">
      <w:pPr>
        <w:pStyle w:val="Sarakstarindkopa"/>
        <w:numPr>
          <w:ilvl w:val="0"/>
          <w:numId w:val="39"/>
        </w:numPr>
        <w:jc w:val="both"/>
        <w:rPr>
          <w:b/>
          <w:sz w:val="18"/>
          <w:szCs w:val="18"/>
        </w:rPr>
      </w:pPr>
      <w:r>
        <w:rPr>
          <w:b/>
          <w:sz w:val="18"/>
        </w:rPr>
        <w:t xml:space="preserve">Costs calculated on the basis of the relevant items in the PPP Project Model and subject to adjustments: </w:t>
      </w:r>
    </w:p>
    <w:p w14:paraId="5DC80F08" w14:textId="68EEF34E" w:rsidR="00AC3C31" w:rsidRPr="000F02BF" w:rsidRDefault="00726E5F" w:rsidP="000F02BF">
      <w:pPr>
        <w:pStyle w:val="Sarakstarindkopa"/>
        <w:numPr>
          <w:ilvl w:val="0"/>
          <w:numId w:val="39"/>
        </w:numPr>
        <w:tabs>
          <w:tab w:val="left" w:pos="1620"/>
        </w:tabs>
        <w:spacing w:before="160"/>
        <w:ind w:left="1620" w:hanging="270"/>
        <w:contextualSpacing w:val="0"/>
        <w:jc w:val="both"/>
        <w:rPr>
          <w:b/>
          <w:bCs/>
          <w:sz w:val="18"/>
          <w:szCs w:val="18"/>
        </w:rPr>
      </w:pPr>
      <w:r>
        <w:rPr>
          <w:sz w:val="18"/>
        </w:rPr>
        <w:t>Changes in capital investment and maintenance costs</w:t>
      </w:r>
      <w:r>
        <w:rPr>
          <w:b/>
          <w:sz w:val="18"/>
        </w:rPr>
        <w:t xml:space="preserve"> - </w:t>
      </w:r>
      <w:r>
        <w:rPr>
          <w:sz w:val="18"/>
        </w:rPr>
        <w:t xml:space="preserve">indicate the difference between an increase in capital investment/maintenance costs compared to the PPP model (usually resulting from the loss of private partner efficiencies and/or synergies (see description of key assumption category 6 of the Guidelines) (as these do not arise in traditional procurement) and a decrease in capital investment/maintenance costs compared to the PPP model (if dentified as likely to arise in traditional procurement). </w:t>
      </w:r>
    </w:p>
    <w:p w14:paraId="0BE15F2A" w14:textId="31212D04" w:rsidR="000F02BF" w:rsidRPr="00614882" w:rsidRDefault="009034B5" w:rsidP="000F02BF">
      <w:pPr>
        <w:pStyle w:val="Sarakstarindkopa"/>
        <w:tabs>
          <w:tab w:val="left" w:pos="1620"/>
        </w:tabs>
        <w:spacing w:before="160"/>
        <w:ind w:left="2340"/>
        <w:contextualSpacing w:val="0"/>
        <w:jc w:val="both"/>
        <w:rPr>
          <w:b/>
          <w:bCs/>
          <w:sz w:val="18"/>
          <w:szCs w:val="18"/>
          <w:lang w:val="lv-LV"/>
        </w:rPr>
      </w:pPr>
      <w:r w:rsidRPr="00CC7CF8">
        <w:rPr>
          <w:rFonts w:ascii="Verdana" w:hAnsi="Verdana"/>
          <w:noProof/>
          <w:sz w:val="18"/>
        </w:rPr>
        <mc:AlternateContent>
          <mc:Choice Requires="wps">
            <w:drawing>
              <wp:anchor distT="45720" distB="45720" distL="114300" distR="114300" simplePos="0" relativeHeight="251658380" behindDoc="0" locked="0" layoutInCell="1" allowOverlap="1" wp14:anchorId="6C4CCE12" wp14:editId="1A6F2376">
                <wp:simplePos x="0" y="0"/>
                <wp:positionH relativeFrom="margin">
                  <wp:posOffset>981158</wp:posOffset>
                </wp:positionH>
                <wp:positionV relativeFrom="paragraph">
                  <wp:posOffset>206209</wp:posOffset>
                </wp:positionV>
                <wp:extent cx="1372428" cy="601152"/>
                <wp:effectExtent l="19050" t="19050" r="18415" b="27940"/>
                <wp:wrapNone/>
                <wp:docPr id="1563544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428" cy="601152"/>
                        </a:xfrm>
                        <a:prstGeom prst="rect">
                          <a:avLst/>
                        </a:prstGeom>
                        <a:solidFill>
                          <a:srgbClr val="FFFFFF"/>
                        </a:solidFill>
                        <a:ln w="28575">
                          <a:solidFill>
                            <a:srgbClr val="92D050"/>
                          </a:solidFill>
                          <a:miter lim="800000"/>
                          <a:headEnd/>
                          <a:tailEnd/>
                        </a:ln>
                      </wps:spPr>
                      <wps:txbx>
                        <w:txbxContent>
                          <w:p w14:paraId="3A841DC6" w14:textId="77777777" w:rsidR="009034B5" w:rsidRPr="009034B5" w:rsidRDefault="009034B5" w:rsidP="009034B5">
                            <w:pPr>
                              <w:jc w:val="center"/>
                              <w:rPr>
                                <w:b/>
                                <w:bCs/>
                                <w:sz w:val="12"/>
                                <w:szCs w:val="12"/>
                              </w:rPr>
                            </w:pPr>
                            <w:r w:rsidRPr="009034B5">
                              <w:rPr>
                                <w:b/>
                                <w:bCs/>
                                <w:sz w:val="12"/>
                                <w:szCs w:val="12"/>
                              </w:rPr>
                              <w:t>Changes in capital investment</w:t>
                            </w:r>
                          </w:p>
                          <w:p w14:paraId="78978329" w14:textId="28852688" w:rsidR="009034B5" w:rsidRPr="009034B5" w:rsidRDefault="009034B5" w:rsidP="009034B5">
                            <w:pPr>
                              <w:jc w:val="center"/>
                              <w:rPr>
                                <w:b/>
                                <w:bCs/>
                                <w:sz w:val="12"/>
                                <w:szCs w:val="12"/>
                              </w:rPr>
                            </w:pPr>
                            <w:r w:rsidRPr="009034B5">
                              <w:rPr>
                                <w:b/>
                                <w:bCs/>
                                <w:sz w:val="12"/>
                                <w:szCs w:val="12"/>
                              </w:rPr>
                              <w:t xml:space="preserve">Changes in maintenance costs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CCE12" id="_x0000_s1159" type="#_x0000_t202" style="position:absolute;left:0;text-align:left;margin-left:77.25pt;margin-top:16.25pt;width:108.05pt;height:47.35pt;z-index:2516583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" strokecolor="#92d050" strokeweight="2.25pt">
                <v:textbox>
                  <w:txbxContent>
                    <w:p w14:paraId="3A841DC6" w14:textId="77777777" w:rsidR="009034B5" w:rsidRPr="009034B5" w:rsidRDefault="009034B5" w:rsidP="009034B5">
                      <w:pPr>
                        <w:jc w:val="center"/>
                        <w:rPr>
                          <w:b/>
                          <w:bCs/>
                          <w:sz w:val="12"/>
                          <w:szCs w:val="12"/>
                        </w:rPr>
                      </w:pPr>
                      <w:r w:rsidRPr="009034B5">
                        <w:rPr>
                          <w:b/>
                          <w:bCs/>
                          <w:sz w:val="12"/>
                          <w:szCs w:val="12"/>
                        </w:rPr>
                        <w:t>Changes in capital investment</w:t>
                      </w:r>
                    </w:p>
                    <w:p w14:paraId="78978329" w14:textId="28852688" w:rsidR="009034B5" w:rsidRPr="009034B5" w:rsidRDefault="009034B5" w:rsidP="009034B5">
                      <w:pPr>
                        <w:jc w:val="center"/>
                        <w:rPr>
                          <w:b/>
                          <w:bCs/>
                          <w:sz w:val="12"/>
                          <w:szCs w:val="12"/>
                        </w:rPr>
                      </w:pPr>
                      <w:r w:rsidRPr="009034B5">
                        <w:rPr>
                          <w:b/>
                          <w:bCs/>
                          <w:sz w:val="12"/>
                          <w:szCs w:val="12"/>
                        </w:rPr>
                        <w:t xml:space="preserve">Changes in maintenance costs </w:t>
                      </w:r>
                    </w:p>
                  </w:txbxContent>
                </v:textbox>
                <w10:wrap anchorx="margin"/>
              </v:shape>
            </w:pict>
          </mc:Fallback>
        </mc:AlternateContent>
      </w:r>
    </w:p>
    <w:p w14:paraId="704D35BF" w14:textId="05539540" w:rsidR="0068299E" w:rsidRPr="00AC3C31" w:rsidRDefault="006200C7" w:rsidP="0068299E">
      <w:pPr>
        <w:pStyle w:val="Sarakstarindkopa"/>
        <w:tabs>
          <w:tab w:val="left" w:pos="1620"/>
        </w:tabs>
        <w:spacing w:before="160"/>
        <w:ind w:left="1620"/>
        <w:contextualSpacing w:val="0"/>
        <w:jc w:val="both"/>
        <w:rPr>
          <w:b/>
          <w:bCs/>
          <w:sz w:val="18"/>
          <w:szCs w:val="18"/>
          <w:highlight w:val="cyan"/>
        </w:rPr>
      </w:pPr>
      <w:r w:rsidRPr="00CC7CF8">
        <w:rPr>
          <w:rFonts w:ascii="Verdana" w:hAnsi="Verdana"/>
          <w:noProof/>
          <w:sz w:val="18"/>
        </w:rPr>
        <mc:AlternateContent>
          <mc:Choice Requires="wps">
            <w:drawing>
              <wp:anchor distT="45720" distB="45720" distL="114300" distR="114300" simplePos="0" relativeHeight="251658384" behindDoc="0" locked="0" layoutInCell="1" allowOverlap="1" wp14:anchorId="627A75A0" wp14:editId="0DD940E5">
                <wp:simplePos x="0" y="0"/>
                <wp:positionH relativeFrom="margin">
                  <wp:posOffset>4436800</wp:posOffset>
                </wp:positionH>
                <wp:positionV relativeFrom="paragraph">
                  <wp:posOffset>699439</wp:posOffset>
                </wp:positionV>
                <wp:extent cx="1451748" cy="516835"/>
                <wp:effectExtent l="0" t="0" r="0" b="0"/>
                <wp:wrapNone/>
                <wp:docPr id="1926294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748" cy="516835"/>
                        </a:xfrm>
                        <a:prstGeom prst="rect">
                          <a:avLst/>
                        </a:prstGeom>
                        <a:solidFill>
                          <a:srgbClr val="FFFFFF"/>
                        </a:solidFill>
                        <a:ln w="28575">
                          <a:noFill/>
                          <a:miter lim="800000"/>
                          <a:headEnd/>
                          <a:tailEnd/>
                        </a:ln>
                      </wps:spPr>
                      <wps:txbx>
                        <w:txbxContent>
                          <w:p w14:paraId="4F669D19" w14:textId="1C22DE42" w:rsidR="009034B5" w:rsidRPr="009034B5" w:rsidRDefault="006200C7" w:rsidP="009034B5">
                            <w:pPr>
                              <w:jc w:val="center"/>
                              <w:rPr>
                                <w:b/>
                                <w:bCs/>
                                <w:sz w:val="12"/>
                                <w:szCs w:val="12"/>
                              </w:rPr>
                            </w:pPr>
                            <w:r w:rsidRPr="006200C7">
                              <w:rPr>
                                <w:b/>
                                <w:bCs/>
                                <w:sz w:val="12"/>
                                <w:szCs w:val="12"/>
                              </w:rPr>
                              <w:t>Before applying, the public partner must ensure that the principle of competitive neutrality is respected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A75A0" id="_x0000_s1160" type="#_x0000_t202" style="position:absolute;left:0;text-align:left;margin-left:349.35pt;margin-top:55.05pt;width:114.3pt;height:40.7pt;z-index:25165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" stroked="f" strokeweight="2.25pt">
                <v:textbox>
                  <w:txbxContent>
                    <w:p w14:paraId="4F669D19" w14:textId="1C22DE42" w:rsidR="009034B5" w:rsidRPr="009034B5" w:rsidRDefault="006200C7" w:rsidP="009034B5">
                      <w:pPr>
                        <w:jc w:val="center"/>
                        <w:rPr>
                          <w:b/>
                          <w:bCs/>
                          <w:sz w:val="12"/>
                          <w:szCs w:val="12"/>
                        </w:rPr>
                      </w:pPr>
                      <w:r w:rsidRPr="006200C7">
                        <w:rPr>
                          <w:b/>
                          <w:bCs/>
                          <w:sz w:val="12"/>
                          <w:szCs w:val="12"/>
                        </w:rPr>
                        <w:t>Before applying, the public partner must ensure that the principle of competitive neutrality is respected</w:t>
                      </w:r>
                    </w:p>
                  </w:txbxContent>
                </v:textbox>
                <w10:wrap anchorx="margin"/>
              </v:shape>
            </w:pict>
          </mc:Fallback>
        </mc:AlternateContent>
      </w:r>
      <w:r w:rsidR="009034B5" w:rsidRPr="00CC7CF8">
        <w:rPr>
          <w:rFonts w:ascii="Verdana" w:hAnsi="Verdana"/>
          <w:noProof/>
          <w:sz w:val="18"/>
        </w:rPr>
        <mc:AlternateContent>
          <mc:Choice Requires="wps">
            <w:drawing>
              <wp:anchor distT="45720" distB="45720" distL="114300" distR="114300" simplePos="0" relativeHeight="251658383" behindDoc="0" locked="0" layoutInCell="1" allowOverlap="1" wp14:anchorId="45A5DB1A" wp14:editId="73D96403">
                <wp:simplePos x="0" y="0"/>
                <wp:positionH relativeFrom="margin">
                  <wp:posOffset>2777794</wp:posOffset>
                </wp:positionH>
                <wp:positionV relativeFrom="paragraph">
                  <wp:posOffset>655348</wp:posOffset>
                </wp:positionV>
                <wp:extent cx="1372428" cy="545493"/>
                <wp:effectExtent l="0" t="0" r="0" b="6985"/>
                <wp:wrapNone/>
                <wp:docPr id="1537938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428" cy="545493"/>
                        </a:xfrm>
                        <a:prstGeom prst="rect">
                          <a:avLst/>
                        </a:prstGeom>
                        <a:solidFill>
                          <a:srgbClr val="FFFFFF"/>
                        </a:solidFill>
                        <a:ln w="28575">
                          <a:noFill/>
                          <a:miter lim="800000"/>
                          <a:headEnd/>
                          <a:tailEnd/>
                        </a:ln>
                      </wps:spPr>
                      <wps:txbx>
                        <w:txbxContent>
                          <w:p w14:paraId="656CD97B" w14:textId="6BE3E5F7" w:rsidR="009034B5" w:rsidRPr="009034B5" w:rsidRDefault="009034B5" w:rsidP="009034B5">
                            <w:pPr>
                              <w:jc w:val="center"/>
                              <w:rPr>
                                <w:b/>
                                <w:bCs/>
                                <w:sz w:val="12"/>
                                <w:szCs w:val="12"/>
                              </w:rPr>
                            </w:pPr>
                            <w:r w:rsidRPr="009034B5">
                              <w:rPr>
                                <w:b/>
                                <w:bCs/>
                                <w:sz w:val="12"/>
                                <w:szCs w:val="12"/>
                              </w:rPr>
                              <w:t xml:space="preserve">Arising from </w:t>
                            </w:r>
                            <w:r>
                              <w:rPr>
                                <w:b/>
                                <w:bCs/>
                                <w:sz w:val="12"/>
                                <w:szCs w:val="12"/>
                              </w:rPr>
                              <w:t xml:space="preserve">the loss of </w:t>
                            </w:r>
                            <w:r w:rsidRPr="009034B5">
                              <w:rPr>
                                <w:b/>
                                <w:bCs/>
                                <w:sz w:val="12"/>
                                <w:szCs w:val="12"/>
                              </w:rPr>
                              <w:t>efficiencies and/or synergies not found in traditional procurement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5DB1A" id="_x0000_s1161" type="#_x0000_t202" style="position:absolute;left:0;text-align:left;margin-left:218.7pt;margin-top:51.6pt;width:108.05pt;height:42.95pt;z-index:2516583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" stroked="f" strokeweight="2.25pt">
                <v:textbox>
                  <w:txbxContent>
                    <w:p w14:paraId="656CD97B" w14:textId="6BE3E5F7" w:rsidR="009034B5" w:rsidRPr="009034B5" w:rsidRDefault="009034B5" w:rsidP="009034B5">
                      <w:pPr>
                        <w:jc w:val="center"/>
                        <w:rPr>
                          <w:b/>
                          <w:bCs/>
                          <w:sz w:val="12"/>
                          <w:szCs w:val="12"/>
                        </w:rPr>
                      </w:pPr>
                      <w:r w:rsidRPr="009034B5">
                        <w:rPr>
                          <w:b/>
                          <w:bCs/>
                          <w:sz w:val="12"/>
                          <w:szCs w:val="12"/>
                        </w:rPr>
                        <w:t xml:space="preserve">Arising from </w:t>
                      </w:r>
                      <w:r>
                        <w:rPr>
                          <w:b/>
                          <w:bCs/>
                          <w:sz w:val="12"/>
                          <w:szCs w:val="12"/>
                        </w:rPr>
                        <w:t xml:space="preserve">the loss of </w:t>
                      </w:r>
                      <w:r w:rsidRPr="009034B5">
                        <w:rPr>
                          <w:b/>
                          <w:bCs/>
                          <w:sz w:val="12"/>
                          <w:szCs w:val="12"/>
                        </w:rPr>
                        <w:t>efficiencies and/or synergies not found in traditional procurement</w:t>
                      </w:r>
                    </w:p>
                  </w:txbxContent>
                </v:textbox>
                <w10:wrap anchorx="margin"/>
              </v:shape>
            </w:pict>
          </mc:Fallback>
        </mc:AlternateContent>
      </w:r>
      <w:r w:rsidR="009034B5" w:rsidRPr="00CC7CF8">
        <w:rPr>
          <w:rFonts w:ascii="Verdana" w:hAnsi="Verdana"/>
          <w:noProof/>
          <w:sz w:val="18"/>
        </w:rPr>
        <mc:AlternateContent>
          <mc:Choice Requires="wps">
            <w:drawing>
              <wp:anchor distT="45720" distB="45720" distL="114300" distR="114300" simplePos="0" relativeHeight="251658382" behindDoc="0" locked="0" layoutInCell="1" allowOverlap="1" wp14:anchorId="47C548C7" wp14:editId="1493ACBF">
                <wp:simplePos x="0" y="0"/>
                <wp:positionH relativeFrom="margin">
                  <wp:posOffset>4567914</wp:posOffset>
                </wp:positionH>
                <wp:positionV relativeFrom="paragraph">
                  <wp:posOffset>28133</wp:posOffset>
                </wp:positionV>
                <wp:extent cx="1269061" cy="346710"/>
                <wp:effectExtent l="19050" t="19050" r="26670" b="15240"/>
                <wp:wrapNone/>
                <wp:docPr id="598157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061" cy="346710"/>
                        </a:xfrm>
                        <a:prstGeom prst="rect">
                          <a:avLst/>
                        </a:prstGeom>
                        <a:solidFill>
                          <a:srgbClr val="FFFFFF"/>
                        </a:solidFill>
                        <a:ln w="28575">
                          <a:solidFill>
                            <a:srgbClr val="92D050"/>
                          </a:solidFill>
                          <a:miter lim="800000"/>
                          <a:headEnd/>
                          <a:tailEnd/>
                        </a:ln>
                      </wps:spPr>
                      <wps:txbx>
                        <w:txbxContent>
                          <w:p w14:paraId="7AC052A9" w14:textId="619C1A5D" w:rsidR="009034B5" w:rsidRPr="009034B5" w:rsidRDefault="009034B5" w:rsidP="009034B5">
                            <w:pPr>
                              <w:jc w:val="center"/>
                              <w:rPr>
                                <w:b/>
                                <w:bCs/>
                                <w:sz w:val="16"/>
                                <w:szCs w:val="16"/>
                                <w:lang w:val="lv-LV"/>
                              </w:rPr>
                            </w:pPr>
                            <w:r>
                              <w:rPr>
                                <w:b/>
                                <w:bCs/>
                                <w:sz w:val="16"/>
                                <w:szCs w:val="16"/>
                                <w:lang w:val="lv-LV"/>
                              </w:rPr>
                              <w:t>Decrease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548C7" id="_x0000_s1162" type="#_x0000_t202" style="position:absolute;left:0;text-align:left;margin-left:359.7pt;margin-top:2.2pt;width:99.95pt;height:27.3pt;z-index:2516583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" strokecolor="#92d050" strokeweight="2.25pt">
                <v:textbox>
                  <w:txbxContent>
                    <w:p w14:paraId="7AC052A9" w14:textId="619C1A5D" w:rsidR="009034B5" w:rsidRPr="009034B5" w:rsidRDefault="009034B5" w:rsidP="009034B5">
                      <w:pPr>
                        <w:jc w:val="center"/>
                        <w:rPr>
                          <w:b/>
                          <w:bCs/>
                          <w:sz w:val="16"/>
                          <w:szCs w:val="16"/>
                          <w:lang w:val="lv-LV"/>
                        </w:rPr>
                      </w:pPr>
                      <w:r>
                        <w:rPr>
                          <w:b/>
                          <w:bCs/>
                          <w:sz w:val="16"/>
                          <w:szCs w:val="16"/>
                          <w:lang w:val="lv-LV"/>
                        </w:rPr>
                        <w:t>Decrease</w:t>
                      </w:r>
                    </w:p>
                  </w:txbxContent>
                </v:textbox>
                <w10:wrap anchorx="margin"/>
              </v:shape>
            </w:pict>
          </mc:Fallback>
        </mc:AlternateContent>
      </w:r>
      <w:r w:rsidR="009034B5" w:rsidRPr="00CC7CF8">
        <w:rPr>
          <w:rFonts w:ascii="Verdana" w:hAnsi="Verdana"/>
          <w:noProof/>
          <w:sz w:val="18"/>
        </w:rPr>
        <mc:AlternateContent>
          <mc:Choice Requires="wps">
            <w:drawing>
              <wp:anchor distT="45720" distB="45720" distL="114300" distR="114300" simplePos="0" relativeHeight="251658381" behindDoc="0" locked="0" layoutInCell="1" allowOverlap="1" wp14:anchorId="6F78F74D" wp14:editId="028E941B">
                <wp:simplePos x="0" y="0"/>
                <wp:positionH relativeFrom="margin">
                  <wp:posOffset>2817909</wp:posOffset>
                </wp:positionH>
                <wp:positionV relativeFrom="paragraph">
                  <wp:posOffset>27305</wp:posOffset>
                </wp:positionV>
                <wp:extent cx="1269061" cy="346710"/>
                <wp:effectExtent l="19050" t="19050" r="26670" b="15240"/>
                <wp:wrapNone/>
                <wp:docPr id="42317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061" cy="346710"/>
                        </a:xfrm>
                        <a:prstGeom prst="rect">
                          <a:avLst/>
                        </a:prstGeom>
                        <a:solidFill>
                          <a:srgbClr val="FFFFFF"/>
                        </a:solidFill>
                        <a:ln w="28575">
                          <a:solidFill>
                            <a:srgbClr val="92D050"/>
                          </a:solidFill>
                          <a:miter lim="800000"/>
                          <a:headEnd/>
                          <a:tailEnd/>
                        </a:ln>
                      </wps:spPr>
                      <wps:txbx>
                        <w:txbxContent>
                          <w:p w14:paraId="64B826BB" w14:textId="21B89386" w:rsidR="009034B5" w:rsidRPr="009034B5" w:rsidRDefault="009034B5" w:rsidP="009034B5">
                            <w:pPr>
                              <w:jc w:val="center"/>
                              <w:rPr>
                                <w:b/>
                                <w:bCs/>
                                <w:sz w:val="16"/>
                                <w:szCs w:val="16"/>
                              </w:rPr>
                            </w:pPr>
                            <w:r w:rsidRPr="009034B5">
                              <w:rPr>
                                <w:b/>
                                <w:bCs/>
                                <w:sz w:val="16"/>
                                <w:szCs w:val="16"/>
                              </w:rPr>
                              <w:t xml:space="preserve">Increase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8F74D" id="_x0000_s1163" type="#_x0000_t202" style="position:absolute;left:0;text-align:left;margin-left:221.9pt;margin-top:2.15pt;width:99.95pt;height:27.3pt;z-index:2516583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" strokecolor="#92d050" strokeweight="2.25pt">
                <v:textbox>
                  <w:txbxContent>
                    <w:p w14:paraId="64B826BB" w14:textId="21B89386" w:rsidR="009034B5" w:rsidRPr="009034B5" w:rsidRDefault="009034B5" w:rsidP="009034B5">
                      <w:pPr>
                        <w:jc w:val="center"/>
                        <w:rPr>
                          <w:b/>
                          <w:bCs/>
                          <w:sz w:val="16"/>
                          <w:szCs w:val="16"/>
                        </w:rPr>
                      </w:pPr>
                      <w:r w:rsidRPr="009034B5">
                        <w:rPr>
                          <w:b/>
                          <w:bCs/>
                          <w:sz w:val="16"/>
                          <w:szCs w:val="16"/>
                        </w:rPr>
                        <w:t xml:space="preserve">Increase </w:t>
                      </w:r>
                    </w:p>
                  </w:txbxContent>
                </v:textbox>
                <w10:wrap anchorx="margin"/>
              </v:shape>
            </w:pict>
          </mc:Fallback>
        </mc:AlternateContent>
      </w:r>
      <w:r w:rsidR="00614882">
        <w:rPr>
          <w:noProof/>
        </w:rPr>
        <mc:AlternateContent>
          <mc:Choice Requires="wps">
            <w:drawing>
              <wp:anchor distT="0" distB="0" distL="114300" distR="114300" simplePos="0" relativeHeight="251658271" behindDoc="0" locked="0" layoutInCell="1" allowOverlap="1" wp14:anchorId="593FB30A" wp14:editId="76AE2861">
                <wp:simplePos x="0" y="0"/>
                <wp:positionH relativeFrom="column">
                  <wp:posOffset>1035050</wp:posOffset>
                </wp:positionH>
                <wp:positionV relativeFrom="paragraph">
                  <wp:posOffset>1238885</wp:posOffset>
                </wp:positionV>
                <wp:extent cx="4721225" cy="635"/>
                <wp:effectExtent l="0" t="0" r="3175" b="0"/>
                <wp:wrapTopAndBottom/>
                <wp:docPr id="803084711" name="Text Box 803084711"/>
                <wp:cNvGraphicFramePr/>
                <a:graphic xmlns:a="http://schemas.openxmlformats.org/drawingml/2006/main">
                  <a:graphicData uri="http://schemas.microsoft.com/office/word/2010/wordprocessingShape">
                    <wps:wsp>
                      <wps:cNvSpPr txBox="1"/>
                      <wps:spPr>
                        <a:xfrm>
                          <a:off x="0" y="0"/>
                          <a:ext cx="4721225" cy="635"/>
                        </a:xfrm>
                        <a:prstGeom prst="rect">
                          <a:avLst/>
                        </a:prstGeom>
                        <a:solidFill>
                          <a:prstClr val="white"/>
                        </a:solidFill>
                        <a:ln>
                          <a:noFill/>
                        </a:ln>
                      </wps:spPr>
                      <wps:txbx>
                        <w:txbxContent>
                          <w:p w14:paraId="23D57DFE" w14:textId="564CB983" w:rsidR="00EF0F26" w:rsidRPr="00F07E31" w:rsidRDefault="00EF0F26" w:rsidP="00F07E31">
                            <w:pPr>
                              <w:pStyle w:val="Parakstszemobjekta"/>
                              <w:jc w:val="right"/>
                              <w:rPr>
                                <w:bCs/>
                                <w:sz w:val="16"/>
                              </w:rPr>
                            </w:pPr>
                            <w:r>
                              <w:rPr>
                                <w:sz w:val="16"/>
                              </w:rPr>
                              <w:t xml:space="preserve"> Figure 4: Calculation of Changes in Capital Investment/Maintenance Costs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3FB30A" id="Text Box 803084711" o:spid="_x0000_s1164" type="#_x0000_t202" style="position:absolute;left:0;text-align:left;margin-left:81.5pt;margin-top:97.55pt;width:371.75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" stroked="f">
                <v:textbox style="mso-fit-shape-to-text:t" inset="0,0,0,0">
                  <w:txbxContent>
                    <w:p w14:paraId="23D57DFE" w14:textId="564CB983" w:rsidR="00EF0F26" w:rsidRPr="00F07E31" w:rsidRDefault="00EF0F26" w:rsidP="00F07E31">
                      <w:pPr>
                        <w:pStyle w:val="Parakstszemobjekta"/>
                        <w:jc w:val="right"/>
                        <w:rPr>
                          <w:bCs/>
                          <w:sz w:val="16"/>
                        </w:rPr>
                      </w:pPr>
                      <w:r>
                        <w:rPr>
                          <w:sz w:val="16"/>
                        </w:rPr>
                        <w:t xml:space="preserve"> Figure 4: Calculation of Changes in Capital Investment/Maintenance Costs</w:t>
                      </w:r>
                    </w:p>
                  </w:txbxContent>
                </v:textbox>
                <w10:wrap type="topAndBottom"/>
              </v:shape>
            </w:pict>
          </mc:Fallback>
        </mc:AlternateContent>
      </w:r>
      <w:r w:rsidR="00614882">
        <w:rPr>
          <w:b/>
          <w:noProof/>
          <w:sz w:val="18"/>
        </w:rPr>
        <w:drawing>
          <wp:inline distT="0" distB="0" distL="0" distR="0" wp14:anchorId="3A3A4FCD" wp14:editId="46C6185B">
            <wp:extent cx="4829404" cy="1085850"/>
            <wp:effectExtent l="0" t="0" r="2540" b="0"/>
            <wp:docPr id="803084717" name="Picture 80308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29404" cy="1085850"/>
                    </a:xfrm>
                    <a:prstGeom prst="rect">
                      <a:avLst/>
                    </a:prstGeom>
                    <a:noFill/>
                  </pic:spPr>
                </pic:pic>
              </a:graphicData>
            </a:graphic>
          </wp:inline>
        </w:drawing>
      </w:r>
    </w:p>
    <w:p w14:paraId="1D9ED8DC" w14:textId="28ACB975" w:rsidR="00AC3C31" w:rsidRPr="00AE6A43" w:rsidRDefault="00332ACA" w:rsidP="00AC3C31">
      <w:pPr>
        <w:pStyle w:val="Sarakstarindkopa"/>
        <w:ind w:left="1620"/>
        <w:jc w:val="both"/>
        <w:rPr>
          <w:sz w:val="18"/>
          <w:szCs w:val="18"/>
        </w:rPr>
      </w:pPr>
      <w:r>
        <w:rPr>
          <w:sz w:val="18"/>
        </w:rPr>
        <w:t xml:space="preserve">If the public partner identifies any decrease in capital investment or maintenance costs, it must ensure that this is based on market evidence that respects the principle of competitive neutrality. The principle of competitive neutrality is the assumption that </w:t>
      </w:r>
      <w:r>
        <w:rPr>
          <w:sz w:val="18"/>
        </w:rPr>
        <w:lastRenderedPageBreak/>
        <w:t>both the public partner and the private partner face the same conditions in their economic activities (e.g. prices, taxes) and that the public partner does not have any competitive advantage</w:t>
      </w:r>
      <w:r>
        <w:rPr>
          <w:sz w:val="18"/>
          <w:shd w:val="clear" w:color="auto" w:fill="FFFFFF"/>
        </w:rPr>
        <w:t xml:space="preserve"> (advantage of the public partner over the private partner)</w:t>
      </w:r>
      <w:r>
        <w:rPr>
          <w:rFonts w:ascii="Arial" w:hAnsi="Arial"/>
          <w:shd w:val="clear" w:color="auto" w:fill="FFFFFF"/>
        </w:rPr>
        <w:t xml:space="preserve"> </w:t>
      </w:r>
      <w:r>
        <w:rPr>
          <w:sz w:val="18"/>
        </w:rPr>
        <w:t xml:space="preserve">solely because of its status (see reference to documents to be used: Recommendations, Guidelines and Best Practices Bearing on Competitive Neutrality).  </w:t>
      </w:r>
    </w:p>
    <w:p w14:paraId="796BF75D" w14:textId="417153C6" w:rsidR="00BD0236" w:rsidRPr="008F5971" w:rsidRDefault="00332ACA" w:rsidP="000F02BF">
      <w:pPr>
        <w:pStyle w:val="Sarakstarindkopa"/>
        <w:numPr>
          <w:ilvl w:val="0"/>
          <w:numId w:val="39"/>
        </w:numPr>
        <w:tabs>
          <w:tab w:val="left" w:pos="1620"/>
        </w:tabs>
        <w:spacing w:before="160"/>
        <w:ind w:left="1620" w:hanging="270"/>
        <w:contextualSpacing w:val="0"/>
        <w:jc w:val="both"/>
        <w:rPr>
          <w:b/>
          <w:bCs/>
          <w:sz w:val="18"/>
          <w:szCs w:val="18"/>
        </w:rPr>
      </w:pPr>
      <w:r>
        <w:rPr>
          <w:sz w:val="18"/>
        </w:rPr>
        <w:t>Changes in administrative costs of the private partner - indicate the difference between the administrative costs of the private partner in the PPP Model and in the Baseline Model (e.g. reduction of administrative burden due to the absence of costs related to the Partnership Procedure and the servicing of the Partnership Contract).</w:t>
      </w:r>
    </w:p>
    <w:p w14:paraId="7659E377" w14:textId="4A671ED3" w:rsidR="001652AE" w:rsidRPr="00D432AE" w:rsidRDefault="001652AE" w:rsidP="00AC3C31">
      <w:pPr>
        <w:pStyle w:val="Sarakstarindkopa"/>
        <w:numPr>
          <w:ilvl w:val="0"/>
          <w:numId w:val="54"/>
        </w:numPr>
        <w:spacing w:after="0"/>
        <w:contextualSpacing w:val="0"/>
        <w:jc w:val="both"/>
        <w:rPr>
          <w:b/>
          <w:bCs/>
          <w:sz w:val="18"/>
          <w:szCs w:val="18"/>
        </w:rPr>
      </w:pPr>
      <w:r>
        <w:rPr>
          <w:b/>
          <w:sz w:val="18"/>
        </w:rPr>
        <w:t xml:space="preserve">Administrative costs of the public partner - </w:t>
      </w:r>
      <w:r>
        <w:rPr>
          <w:sz w:val="18"/>
        </w:rPr>
        <w:t>indicate</w:t>
      </w:r>
      <w:r>
        <w:rPr>
          <w:b/>
          <w:sz w:val="18"/>
        </w:rPr>
        <w:t xml:space="preserve"> </w:t>
      </w:r>
      <w:r>
        <w:rPr>
          <w:sz w:val="18"/>
        </w:rPr>
        <w:t xml:space="preserve">the administrative costs incurred by the public partner in traditional procurement (costs). </w:t>
      </w:r>
    </w:p>
    <w:p w14:paraId="3AA8DCC5" w14:textId="0D5E527C" w:rsidR="001652AE" w:rsidRPr="00D432AE" w:rsidRDefault="00D432AE" w:rsidP="00AC3C31">
      <w:pPr>
        <w:pStyle w:val="Sarakstarindkopa"/>
        <w:numPr>
          <w:ilvl w:val="0"/>
          <w:numId w:val="54"/>
        </w:numPr>
        <w:spacing w:after="0"/>
        <w:jc w:val="both"/>
        <w:rPr>
          <w:b/>
          <w:bCs/>
          <w:sz w:val="18"/>
          <w:szCs w:val="18"/>
        </w:rPr>
      </w:pPr>
      <w:r>
        <w:rPr>
          <w:b/>
          <w:sz w:val="18"/>
        </w:rPr>
        <w:t xml:space="preserve">Socio-economic costs - </w:t>
      </w:r>
      <w:r>
        <w:rPr>
          <w:sz w:val="18"/>
        </w:rPr>
        <w:t>indicate</w:t>
      </w:r>
      <w:r>
        <w:rPr>
          <w:b/>
          <w:sz w:val="18"/>
        </w:rPr>
        <w:t xml:space="preserve"> </w:t>
      </w:r>
      <w:r>
        <w:rPr>
          <w:sz w:val="18"/>
        </w:rPr>
        <w:t>such</w:t>
      </w:r>
      <w:r>
        <w:rPr>
          <w:b/>
          <w:sz w:val="18"/>
        </w:rPr>
        <w:t xml:space="preserve"> </w:t>
      </w:r>
      <w:r>
        <w:rPr>
          <w:sz w:val="18"/>
        </w:rPr>
        <w:t>socio-economic costs that would be incurred if the project were implemented using traditional procurement, e.g: in the PPP Project Model, the probability of delays in works completion is low, whereas in the Baseline Model it is more likely, and therefore the socio-economic costs of works delays and/or unavailability of services shall be included in the Baseline Model (thus underlining the advantages of the PPP Project Model). Such costs shall be assessed using ECBA (see Chapter 2.2 and the reference to the documents to be used: A Guide to ECBA Preparation).</w:t>
      </w:r>
    </w:p>
    <w:p w14:paraId="5147D785" w14:textId="5362FA94" w:rsidR="00DD2833" w:rsidRPr="004B457D" w:rsidRDefault="00D432AE" w:rsidP="004B457D">
      <w:pPr>
        <w:pStyle w:val="Sarakstarindkopa"/>
        <w:numPr>
          <w:ilvl w:val="0"/>
          <w:numId w:val="54"/>
        </w:numPr>
        <w:jc w:val="both"/>
        <w:rPr>
          <w:sz w:val="18"/>
          <w:szCs w:val="18"/>
        </w:rPr>
      </w:pPr>
      <w:r>
        <w:rPr>
          <w:b/>
          <w:sz w:val="18"/>
        </w:rPr>
        <w:t>Cost of risks</w:t>
      </w:r>
      <w:r>
        <w:rPr>
          <w:sz w:val="18"/>
        </w:rPr>
        <w:t xml:space="preserve"> - the approach to quantifying risks is the same for the PPP Model and the Baseline Model. The quantification of risks shall be carried out in the "Risks" worksheet of the Financial Model, according to the methodology described in the key assumptions category 10 of the Guidelines.</w:t>
      </w:r>
    </w:p>
    <w:p w14:paraId="53CA21F1" w14:textId="77777777" w:rsidR="00B3402A" w:rsidRDefault="00711162" w:rsidP="00E274FC">
      <w:pPr>
        <w:jc w:val="both"/>
        <w:rPr>
          <w:sz w:val="18"/>
        </w:rPr>
      </w:pPr>
      <w:r>
        <w:rPr>
          <w:noProof/>
        </w:rPr>
        <mc:AlternateContent>
          <mc:Choice Requires="wps">
            <w:drawing>
              <wp:anchor distT="0" distB="0" distL="114300" distR="114300" simplePos="0" relativeHeight="251658263" behindDoc="0" locked="0" layoutInCell="1" allowOverlap="1" wp14:anchorId="1C131188" wp14:editId="42CFE307">
                <wp:simplePos x="0" y="0"/>
                <wp:positionH relativeFrom="column">
                  <wp:posOffset>-342900</wp:posOffset>
                </wp:positionH>
                <wp:positionV relativeFrom="paragraph">
                  <wp:posOffset>9525</wp:posOffset>
                </wp:positionV>
                <wp:extent cx="274320" cy="274320"/>
                <wp:effectExtent l="0" t="0" r="11430" b="11430"/>
                <wp:wrapNone/>
                <wp:docPr id="1375660230"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4B8E5C" w14:textId="793052D4" w:rsidR="00EF0F26" w:rsidRPr="00403124" w:rsidRDefault="00EF0F26" w:rsidP="00403124">
                            <w:pPr>
                              <w:pStyle w:val="Paraststmeklis"/>
                              <w:spacing w:after="0"/>
                              <w:jc w:val="center"/>
                              <w:rPr>
                                <w:rFonts w:ascii="Arial" w:hAnsi="Arial" w:cs="Arial"/>
                                <w:sz w:val="18"/>
                                <w:szCs w:val="20"/>
                              </w:rPr>
                            </w:pPr>
                            <w:r>
                              <w:rPr>
                                <w:rFonts w:ascii="Arial" w:hAnsi="Arial"/>
                                <w:sz w:val="18"/>
                              </w:rPr>
                              <w:t>10</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31188" id="_x0000_s1165" style="position:absolute;left:0;text-align:left;margin-left:-27pt;margin-top:.75pt;width:21.6pt;height:21.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" fillcolor="#86bc25 [3204]" strokecolor="#425d12 [1604]" strokeweight="2pt">
                <v:path arrowok="t"/>
                <v:textbox inset="3.6pt,,3.6pt">
                  <w:txbxContent>
                    <w:p w14:paraId="474B8E5C" w14:textId="793052D4" w:rsidR="00EF0F26" w:rsidRPr="00403124" w:rsidRDefault="00EF0F26" w:rsidP="00403124">
                      <w:pPr>
                        <w:pStyle w:val="Paraststmeklis"/>
                        <w:spacing w:after="0"/>
                        <w:jc w:val="center"/>
                        <w:rPr>
                          <w:rFonts w:ascii="Arial" w:hAnsi="Arial" w:cs="Arial"/>
                          <w:sz w:val="18"/>
                          <w:szCs w:val="20"/>
                        </w:rPr>
                      </w:pPr>
                      <w:r>
                        <w:rPr>
                          <w:rFonts w:ascii="Arial" w:hAnsi="Arial"/>
                          <w:sz w:val="18"/>
                        </w:rPr>
                        <w:t>10</w:t>
                      </w:r>
                    </w:p>
                  </w:txbxContent>
                </v:textbox>
              </v:roundrect>
            </w:pict>
          </mc:Fallback>
        </mc:AlternateContent>
      </w:r>
      <w:r>
        <w:rPr>
          <w:b/>
          <w:sz w:val="18"/>
        </w:rPr>
        <w:t>Quantifying risks.</w:t>
      </w:r>
      <w:r>
        <w:rPr>
          <w:sz w:val="18"/>
        </w:rPr>
        <w:t xml:space="preserve"> In accordance with the PPP project risk analysis described in Chapter 3.5, the public partner is required to quantify the identified risks. </w:t>
      </w:r>
    </w:p>
    <w:p w14:paraId="1F6E35ED" w14:textId="4B3924DE" w:rsidR="00B3402A" w:rsidRPr="00B3402A" w:rsidRDefault="00B3402A" w:rsidP="00B3402A">
      <w:pPr>
        <w:jc w:val="both"/>
        <w:rPr>
          <w:sz w:val="18"/>
        </w:rPr>
      </w:pPr>
      <w:r w:rsidRPr="00B3402A">
        <w:rPr>
          <w:sz w:val="18"/>
        </w:rPr>
        <w:t>For the PPP model, the quantification of risks sh</w:t>
      </w:r>
      <w:r>
        <w:rPr>
          <w:sz w:val="18"/>
        </w:rPr>
        <w:t>all</w:t>
      </w:r>
      <w:r w:rsidRPr="00B3402A">
        <w:rPr>
          <w:sz w:val="18"/>
        </w:rPr>
        <w:t xml:space="preserve"> be done in the Risk Tool</w:t>
      </w:r>
      <w:r>
        <w:rPr>
          <w:rStyle w:val="Vresatsauce"/>
          <w:sz w:val="18"/>
        </w:rPr>
        <w:footnoteReference w:id="39"/>
      </w:r>
      <w:r w:rsidRPr="00B3402A">
        <w:rPr>
          <w:sz w:val="18"/>
        </w:rPr>
        <w:t xml:space="preserve">, while the risks of the Baseline </w:t>
      </w:r>
      <w:r w:rsidR="000C2CA5">
        <w:rPr>
          <w:sz w:val="18"/>
        </w:rPr>
        <w:t>M</w:t>
      </w:r>
      <w:r w:rsidRPr="00B3402A">
        <w:rPr>
          <w:sz w:val="18"/>
        </w:rPr>
        <w:t>odel sh</w:t>
      </w:r>
      <w:r w:rsidR="000C2CA5">
        <w:rPr>
          <w:sz w:val="18"/>
        </w:rPr>
        <w:t>all</w:t>
      </w:r>
      <w:r w:rsidRPr="00B3402A">
        <w:rPr>
          <w:sz w:val="18"/>
        </w:rPr>
        <w:t xml:space="preserve"> be properly assessed in the "Risks" worksheet of the </w:t>
      </w:r>
      <w:r w:rsidR="000C2CA5">
        <w:rPr>
          <w:sz w:val="18"/>
        </w:rPr>
        <w:t>F</w:t>
      </w:r>
      <w:r w:rsidRPr="00B3402A">
        <w:rPr>
          <w:sz w:val="18"/>
        </w:rPr>
        <w:t xml:space="preserve">inancial </w:t>
      </w:r>
      <w:r w:rsidR="000C2CA5">
        <w:rPr>
          <w:sz w:val="18"/>
        </w:rPr>
        <w:t>M</w:t>
      </w:r>
      <w:r w:rsidRPr="00B3402A">
        <w:rPr>
          <w:sz w:val="18"/>
        </w:rPr>
        <w:t>odel (Excel)</w:t>
      </w:r>
      <w:r w:rsidR="00771F69">
        <w:rPr>
          <w:sz w:val="18"/>
        </w:rPr>
        <w:t>. F</w:t>
      </w:r>
      <w:r w:rsidRPr="00B3402A">
        <w:rPr>
          <w:sz w:val="18"/>
        </w:rPr>
        <w:t xml:space="preserve">or the Baseline </w:t>
      </w:r>
      <w:r w:rsidR="00771F69">
        <w:rPr>
          <w:sz w:val="18"/>
        </w:rPr>
        <w:t>M</w:t>
      </w:r>
      <w:r w:rsidRPr="00B3402A">
        <w:rPr>
          <w:sz w:val="18"/>
        </w:rPr>
        <w:t>odel risks</w:t>
      </w:r>
      <w:r w:rsidR="00A87290">
        <w:rPr>
          <w:sz w:val="18"/>
        </w:rPr>
        <w:t>,</w:t>
      </w:r>
      <w:r w:rsidRPr="00B3402A">
        <w:rPr>
          <w:sz w:val="18"/>
        </w:rPr>
        <w:t xml:space="preserve"> the probability and impact of the occurrence of the specific risk sh</w:t>
      </w:r>
      <w:r w:rsidR="00771F69">
        <w:rPr>
          <w:sz w:val="18"/>
        </w:rPr>
        <w:t>all</w:t>
      </w:r>
      <w:r w:rsidRPr="00B3402A">
        <w:rPr>
          <w:sz w:val="18"/>
        </w:rPr>
        <w:t xml:space="preserve"> be determined, the risk value and the risk cost sh</w:t>
      </w:r>
      <w:r w:rsidR="00771F69">
        <w:rPr>
          <w:sz w:val="18"/>
        </w:rPr>
        <w:t>all</w:t>
      </w:r>
      <w:r w:rsidRPr="00B3402A">
        <w:rPr>
          <w:sz w:val="18"/>
        </w:rPr>
        <w:t xml:space="preserve"> be calculated. </w:t>
      </w:r>
    </w:p>
    <w:p w14:paraId="62179B30" w14:textId="7B21757B" w:rsidR="00B3402A" w:rsidRPr="00B3402A" w:rsidRDefault="00B3402A" w:rsidP="00B3402A">
      <w:pPr>
        <w:jc w:val="both"/>
        <w:rPr>
          <w:sz w:val="18"/>
        </w:rPr>
      </w:pPr>
      <w:r w:rsidRPr="00B3402A">
        <w:rPr>
          <w:sz w:val="18"/>
        </w:rPr>
        <w:t>The risk analysis sh</w:t>
      </w:r>
      <w:r w:rsidR="00A87290">
        <w:rPr>
          <w:sz w:val="18"/>
        </w:rPr>
        <w:t xml:space="preserve">all </w:t>
      </w:r>
      <w:r w:rsidRPr="00B3402A">
        <w:rPr>
          <w:sz w:val="18"/>
        </w:rPr>
        <w:t>identify the probability, impact and value of the specific risk, identify mitigating actions</w:t>
      </w:r>
      <w:r w:rsidR="00A87290">
        <w:rPr>
          <w:rStyle w:val="Vresatsauce"/>
          <w:sz w:val="18"/>
        </w:rPr>
        <w:footnoteReference w:id="40"/>
      </w:r>
      <w:r w:rsidRPr="00B3402A">
        <w:rPr>
          <w:sz w:val="18"/>
        </w:rPr>
        <w:t xml:space="preserve"> and monetise them. </w:t>
      </w:r>
    </w:p>
    <w:p w14:paraId="6297FDE5" w14:textId="5664406F" w:rsidR="00B3402A" w:rsidRDefault="00B3402A" w:rsidP="00B3402A">
      <w:pPr>
        <w:jc w:val="both"/>
        <w:rPr>
          <w:sz w:val="18"/>
        </w:rPr>
      </w:pPr>
      <w:r w:rsidRPr="00B3402A">
        <w:rPr>
          <w:b/>
          <w:bCs/>
          <w:sz w:val="18"/>
        </w:rPr>
        <w:t>Risk probability</w:t>
      </w:r>
      <w:r w:rsidRPr="00B3402A">
        <w:rPr>
          <w:sz w:val="18"/>
        </w:rPr>
        <w:t xml:space="preserve">. Reflects the probability with which a risk is assessed to occur (on a scale of one (1) to three (3)). If the probability of the risk occurring is assessed as high (three (3)), it may jeopardise the implementation of the project. When assessing the risks affecting the project, each risk is assigned a probability of occurrence </w:t>
      </w:r>
      <w:r w:rsidR="00FF6C18">
        <w:rPr>
          <w:sz w:val="18"/>
        </w:rPr>
        <w:t>degree</w:t>
      </w:r>
      <w:r w:rsidRPr="00B3402A">
        <w:rPr>
          <w:sz w:val="18"/>
        </w:rPr>
        <w:t xml:space="preserve"> (1, 2 or 3).</w:t>
      </w:r>
    </w:p>
    <w:p w14:paraId="58ED66BB" w14:textId="7F1022BF" w:rsidR="00FF6C18" w:rsidRPr="00FF6C18" w:rsidRDefault="00FF6C18" w:rsidP="00FF6C18">
      <w:pPr>
        <w:jc w:val="both"/>
        <w:rPr>
          <w:sz w:val="18"/>
        </w:rPr>
      </w:pPr>
      <w:r w:rsidRPr="00FF6C18">
        <w:rPr>
          <w:sz w:val="18"/>
        </w:rPr>
        <w:t xml:space="preserve">The </w:t>
      </w:r>
      <w:r w:rsidRPr="00FF6C18">
        <w:rPr>
          <w:b/>
          <w:bCs/>
          <w:sz w:val="18"/>
        </w:rPr>
        <w:t>risk value</w:t>
      </w:r>
      <w:r w:rsidRPr="00FF6C18">
        <w:rPr>
          <w:sz w:val="18"/>
        </w:rPr>
        <w:t xml:space="preserve"> is the result of multiplying the probability of the risk by the impact of the risk.</w:t>
      </w:r>
    </w:p>
    <w:p w14:paraId="268B0527" w14:textId="3C132A3A" w:rsidR="00FF6C18" w:rsidRPr="00FF6C18" w:rsidRDefault="00FF6C18" w:rsidP="00FF6C18">
      <w:pPr>
        <w:jc w:val="both"/>
        <w:rPr>
          <w:sz w:val="18"/>
        </w:rPr>
      </w:pPr>
      <w:r w:rsidRPr="00FF6C18">
        <w:rPr>
          <w:b/>
          <w:bCs/>
          <w:sz w:val="18"/>
        </w:rPr>
        <w:t xml:space="preserve">Risk </w:t>
      </w:r>
      <w:r>
        <w:rPr>
          <w:b/>
          <w:bCs/>
          <w:sz w:val="18"/>
        </w:rPr>
        <w:t>allocation</w:t>
      </w:r>
      <w:r w:rsidRPr="00FF6C18">
        <w:rPr>
          <w:sz w:val="18"/>
        </w:rPr>
        <w:t xml:space="preserve">. The objective of risk </w:t>
      </w:r>
      <w:r>
        <w:rPr>
          <w:sz w:val="18"/>
        </w:rPr>
        <w:t>allocation</w:t>
      </w:r>
      <w:r w:rsidRPr="00FF6C18">
        <w:rPr>
          <w:sz w:val="18"/>
        </w:rPr>
        <w:t xml:space="preserve"> is to transfer the management of each risk to the partner best placed to manage it qualitatively and to minimise the cost of its occurrence.</w:t>
      </w:r>
    </w:p>
    <w:p w14:paraId="3E516E41" w14:textId="3BF96211" w:rsidR="00FF6C18" w:rsidRPr="00FF6C18" w:rsidRDefault="00FF6C18" w:rsidP="00FF6C18">
      <w:pPr>
        <w:jc w:val="both"/>
        <w:rPr>
          <w:sz w:val="18"/>
        </w:rPr>
      </w:pPr>
      <w:r w:rsidRPr="00FF6C18">
        <w:rPr>
          <w:sz w:val="18"/>
        </w:rPr>
        <w:t xml:space="preserve">The </w:t>
      </w:r>
      <w:r w:rsidRPr="00FF6C18">
        <w:rPr>
          <w:b/>
          <w:bCs/>
          <w:sz w:val="18"/>
        </w:rPr>
        <w:t>risk cost</w:t>
      </w:r>
      <w:r>
        <w:rPr>
          <w:sz w:val="18"/>
        </w:rPr>
        <w:t xml:space="preserve"> is</w:t>
      </w:r>
      <w:r w:rsidRPr="00FF6C18">
        <w:rPr>
          <w:sz w:val="18"/>
        </w:rPr>
        <w:t xml:space="preserve"> calculated taking into account risk mitigation measures and </w:t>
      </w:r>
      <w:r w:rsidR="001F1D76">
        <w:rPr>
          <w:sz w:val="18"/>
        </w:rPr>
        <w:t>is</w:t>
      </w:r>
      <w:r w:rsidRPr="00FF6C18">
        <w:rPr>
          <w:sz w:val="18"/>
        </w:rPr>
        <w:t xml:space="preserve"> determined by the expert method. Examples of costs of risk mitigation measures:</w:t>
      </w:r>
    </w:p>
    <w:p w14:paraId="00DD3488" w14:textId="5F96F6BE" w:rsidR="00A50F95" w:rsidRDefault="00A50F95" w:rsidP="00FF6C18">
      <w:pPr>
        <w:pStyle w:val="Sarakstarindkopa"/>
        <w:numPr>
          <w:ilvl w:val="0"/>
          <w:numId w:val="62"/>
        </w:numPr>
        <w:jc w:val="both"/>
        <w:rPr>
          <w:sz w:val="18"/>
        </w:rPr>
      </w:pPr>
      <w:r w:rsidRPr="00A50F95">
        <w:rPr>
          <w:sz w:val="18"/>
        </w:rPr>
        <w:lastRenderedPageBreak/>
        <w:t>c</w:t>
      </w:r>
      <w:r w:rsidR="00FF6C18" w:rsidRPr="00A50F95">
        <w:rPr>
          <w:sz w:val="18"/>
        </w:rPr>
        <w:t>onstruction quality risks require the services of a building surveyor. The cost of the building surveyor will be the cost of mitigation</w:t>
      </w:r>
    </w:p>
    <w:p w14:paraId="08EE6706" w14:textId="3D84D222" w:rsidR="00A50F95" w:rsidRDefault="00FF6C18" w:rsidP="00FF6C18">
      <w:pPr>
        <w:pStyle w:val="Sarakstarindkopa"/>
        <w:numPr>
          <w:ilvl w:val="0"/>
          <w:numId w:val="62"/>
        </w:numPr>
        <w:jc w:val="both"/>
        <w:rPr>
          <w:sz w:val="18"/>
        </w:rPr>
      </w:pPr>
      <w:r w:rsidRPr="00A50F95">
        <w:rPr>
          <w:sz w:val="18"/>
        </w:rPr>
        <w:t xml:space="preserve">the cost of obtaining construction insurance policies, performance bonds will be </w:t>
      </w:r>
      <w:r w:rsidR="00060074" w:rsidRPr="00A50F95">
        <w:rPr>
          <w:sz w:val="18"/>
        </w:rPr>
        <w:t>the cost of mitigation</w:t>
      </w:r>
    </w:p>
    <w:p w14:paraId="62B34EE6" w14:textId="2B7E268A" w:rsidR="00B3402A" w:rsidRPr="00A50F95" w:rsidRDefault="00FF6C18" w:rsidP="00FF6C18">
      <w:pPr>
        <w:pStyle w:val="Sarakstarindkopa"/>
        <w:numPr>
          <w:ilvl w:val="0"/>
          <w:numId w:val="62"/>
        </w:numPr>
        <w:jc w:val="both"/>
        <w:rPr>
          <w:sz w:val="18"/>
        </w:rPr>
      </w:pPr>
      <w:r w:rsidRPr="00A50F95">
        <w:rPr>
          <w:sz w:val="18"/>
        </w:rPr>
        <w:t>the cost of engaging specialists to carry out monitoring activities</w:t>
      </w:r>
    </w:p>
    <w:p w14:paraId="753B312C" w14:textId="26EC7E18" w:rsidR="005103F2" w:rsidRPr="005103F2" w:rsidRDefault="005103F2" w:rsidP="005103F2">
      <w:pPr>
        <w:jc w:val="both"/>
        <w:rPr>
          <w:sz w:val="18"/>
        </w:rPr>
      </w:pPr>
      <w:r w:rsidRPr="005103F2">
        <w:rPr>
          <w:sz w:val="18"/>
        </w:rPr>
        <w:t xml:space="preserve">The </w:t>
      </w:r>
      <w:r>
        <w:rPr>
          <w:sz w:val="18"/>
        </w:rPr>
        <w:t>risk value</w:t>
      </w:r>
      <w:r w:rsidRPr="005103F2">
        <w:rPr>
          <w:sz w:val="18"/>
        </w:rPr>
        <w:t xml:space="preserve"> is formed by multiplying the probability of the risk by the impact of the risk, which can be 1, 2 or 3, </w:t>
      </w:r>
      <w:r w:rsidR="001E15D4">
        <w:rPr>
          <w:sz w:val="18"/>
        </w:rPr>
        <w:t>thus</w:t>
      </w:r>
      <w:r w:rsidRPr="005103F2">
        <w:rPr>
          <w:sz w:val="18"/>
        </w:rPr>
        <w:t xml:space="preserve"> the possible risk values are 1,2,3,4,6,9</w:t>
      </w:r>
      <w:r>
        <w:rPr>
          <w:rStyle w:val="Vresatsauce"/>
          <w:sz w:val="18"/>
        </w:rPr>
        <w:footnoteReference w:id="41"/>
      </w:r>
      <w:r w:rsidR="001E15D4">
        <w:rPr>
          <w:sz w:val="18"/>
        </w:rPr>
        <w:t xml:space="preserve"> respectively</w:t>
      </w:r>
      <w:r w:rsidRPr="005103F2">
        <w:rPr>
          <w:sz w:val="18"/>
        </w:rPr>
        <w:t xml:space="preserve">. Costs are necessarily identifiable for risks with a risk value of nine (9) or six (6). The </w:t>
      </w:r>
      <w:r w:rsidR="00062CAC">
        <w:rPr>
          <w:sz w:val="18"/>
        </w:rPr>
        <w:t>descriptive part of the FEC</w:t>
      </w:r>
      <w:r w:rsidRPr="005103F2">
        <w:rPr>
          <w:sz w:val="18"/>
        </w:rPr>
        <w:t xml:space="preserve"> sh</w:t>
      </w:r>
      <w:r w:rsidR="00062CAC">
        <w:rPr>
          <w:sz w:val="18"/>
        </w:rPr>
        <w:t>all</w:t>
      </w:r>
      <w:r w:rsidRPr="005103F2">
        <w:rPr>
          <w:sz w:val="18"/>
        </w:rPr>
        <w:t xml:space="preserve"> also identify the cost (potential loss) of the risk occurrence.</w:t>
      </w:r>
    </w:p>
    <w:p w14:paraId="7ADA5CF1" w14:textId="5E1B3EA0" w:rsidR="005103F2" w:rsidRPr="005103F2" w:rsidRDefault="005103F2" w:rsidP="005103F2">
      <w:pPr>
        <w:jc w:val="both"/>
        <w:rPr>
          <w:sz w:val="18"/>
        </w:rPr>
      </w:pPr>
      <w:r w:rsidRPr="005103F2">
        <w:rPr>
          <w:sz w:val="18"/>
        </w:rPr>
        <w:t xml:space="preserve">Where the risk value is four (4), the cost of avoiding the risk may be </w:t>
      </w:r>
      <w:r w:rsidR="00DE34E5" w:rsidRPr="005103F2">
        <w:rPr>
          <w:sz w:val="18"/>
        </w:rPr>
        <w:t>optionally determined</w:t>
      </w:r>
      <w:r w:rsidRPr="005103F2">
        <w:rPr>
          <w:sz w:val="18"/>
        </w:rPr>
        <w:t xml:space="preserve">. </w:t>
      </w:r>
    </w:p>
    <w:p w14:paraId="262C8269" w14:textId="055719B7" w:rsidR="005103F2" w:rsidRPr="005103F2" w:rsidRDefault="005103F2" w:rsidP="005103F2">
      <w:pPr>
        <w:jc w:val="both"/>
        <w:rPr>
          <w:sz w:val="18"/>
        </w:rPr>
      </w:pPr>
      <w:r w:rsidRPr="005103F2">
        <w:rPr>
          <w:sz w:val="18"/>
        </w:rPr>
        <w:t>If the risk probability is high (3) and the risk impact is low (1), the risk does not need to be quantified. If the risk probability is low (1) and the risk impact is high (3), then the cost of avoiding the risk can be optionally determined. In this case, the cost of the risk occurrence (potential loss) sh</w:t>
      </w:r>
      <w:r w:rsidR="00FD6DBB">
        <w:rPr>
          <w:sz w:val="18"/>
        </w:rPr>
        <w:t>all</w:t>
      </w:r>
      <w:r w:rsidRPr="005103F2">
        <w:rPr>
          <w:sz w:val="18"/>
        </w:rPr>
        <w:t xml:space="preserve"> also be specified in the </w:t>
      </w:r>
      <w:r w:rsidR="00FD6DBB">
        <w:rPr>
          <w:sz w:val="18"/>
        </w:rPr>
        <w:t>descriptive part of the FEC</w:t>
      </w:r>
      <w:r w:rsidRPr="005103F2">
        <w:rPr>
          <w:sz w:val="18"/>
        </w:rPr>
        <w:t>.</w:t>
      </w:r>
    </w:p>
    <w:p w14:paraId="1493CF89" w14:textId="1359728C" w:rsidR="005103F2" w:rsidRPr="005103F2" w:rsidRDefault="005103F2" w:rsidP="005103F2">
      <w:pPr>
        <w:jc w:val="both"/>
        <w:rPr>
          <w:sz w:val="18"/>
        </w:rPr>
      </w:pPr>
      <w:r w:rsidRPr="005103F2">
        <w:rPr>
          <w:sz w:val="18"/>
        </w:rPr>
        <w:t xml:space="preserve">For risks with a risk value of two (2) or one (1), the cost of avoiding the risk </w:t>
      </w:r>
      <w:r w:rsidR="00293AD6">
        <w:rPr>
          <w:sz w:val="18"/>
        </w:rPr>
        <w:t>shall not</w:t>
      </w:r>
      <w:r w:rsidRPr="005103F2">
        <w:rPr>
          <w:sz w:val="18"/>
        </w:rPr>
        <w:t xml:space="preserve"> be determined. </w:t>
      </w:r>
    </w:p>
    <w:p w14:paraId="13239A31" w14:textId="515396D4" w:rsidR="00B3402A" w:rsidRDefault="005103F2" w:rsidP="005103F2">
      <w:pPr>
        <w:jc w:val="both"/>
        <w:rPr>
          <w:sz w:val="18"/>
        </w:rPr>
      </w:pPr>
      <w:r w:rsidRPr="005103F2">
        <w:rPr>
          <w:sz w:val="18"/>
        </w:rPr>
        <w:t xml:space="preserve">In the </w:t>
      </w:r>
      <w:r w:rsidR="000D0BAD">
        <w:rPr>
          <w:sz w:val="18"/>
        </w:rPr>
        <w:t>R</w:t>
      </w:r>
      <w:r w:rsidRPr="005103F2">
        <w:rPr>
          <w:sz w:val="18"/>
        </w:rPr>
        <w:t xml:space="preserve">isk </w:t>
      </w:r>
      <w:r w:rsidR="000D0BAD">
        <w:rPr>
          <w:sz w:val="18"/>
        </w:rPr>
        <w:t>T</w:t>
      </w:r>
      <w:r w:rsidRPr="005103F2">
        <w:rPr>
          <w:sz w:val="18"/>
        </w:rPr>
        <w:t>ool it is possible to have a risk value of zero (0), meaning that the risk does not exist.</w:t>
      </w:r>
    </w:p>
    <w:p w14:paraId="0243D853" w14:textId="0198A810" w:rsidR="002A7085" w:rsidRPr="002A7085" w:rsidRDefault="002A7085" w:rsidP="002A7085">
      <w:pPr>
        <w:jc w:val="both"/>
        <w:rPr>
          <w:sz w:val="18"/>
        </w:rPr>
      </w:pPr>
      <w:r w:rsidRPr="002A7085">
        <w:rPr>
          <w:sz w:val="18"/>
        </w:rPr>
        <w:t xml:space="preserve">Not all potential risks need to be quantified as not all of them have a material impact on the Financial Model (Excel). </w:t>
      </w:r>
      <w:r w:rsidRPr="003845E4">
        <w:rPr>
          <w:b/>
          <w:bCs/>
          <w:sz w:val="18"/>
        </w:rPr>
        <w:t xml:space="preserve">The risks that must be quantified </w:t>
      </w:r>
      <w:r w:rsidRPr="002A7085">
        <w:rPr>
          <w:sz w:val="18"/>
        </w:rPr>
        <w:t xml:space="preserve">are construction, availability and demand risks, as well as those risks that have a </w:t>
      </w:r>
      <w:r>
        <w:rPr>
          <w:sz w:val="18"/>
        </w:rPr>
        <w:t>material</w:t>
      </w:r>
      <w:r w:rsidRPr="002A7085">
        <w:rPr>
          <w:sz w:val="18"/>
        </w:rPr>
        <w:t xml:space="preserve"> impact on the specific nature of the PPP project. In the case of a PPP project involving construction, those risks that are construction related and may affect the construction process sh</w:t>
      </w:r>
      <w:r>
        <w:rPr>
          <w:sz w:val="18"/>
        </w:rPr>
        <w:t>all</w:t>
      </w:r>
      <w:r w:rsidRPr="002A7085">
        <w:rPr>
          <w:sz w:val="18"/>
        </w:rPr>
        <w:t xml:space="preserve"> be quantified. On the other hand, if the PPP project is related to the provision of a service, more emphasis sh</w:t>
      </w:r>
      <w:r w:rsidR="00F46A2B">
        <w:rPr>
          <w:sz w:val="18"/>
        </w:rPr>
        <w:t>all</w:t>
      </w:r>
      <w:r w:rsidRPr="002A7085">
        <w:rPr>
          <w:sz w:val="18"/>
        </w:rPr>
        <w:t xml:space="preserve"> be placed on the risks of availability or, in the case of a Concession, on the risks of demand.</w:t>
      </w:r>
    </w:p>
    <w:p w14:paraId="7FCE9628" w14:textId="18D9EBC5" w:rsidR="002A7085" w:rsidRPr="002A7085" w:rsidRDefault="002A7085" w:rsidP="002A7085">
      <w:pPr>
        <w:jc w:val="both"/>
        <w:rPr>
          <w:sz w:val="18"/>
        </w:rPr>
      </w:pPr>
      <w:r w:rsidRPr="002A7085">
        <w:rPr>
          <w:sz w:val="18"/>
        </w:rPr>
        <w:t>It sh</w:t>
      </w:r>
      <w:r w:rsidR="00F46A2B">
        <w:rPr>
          <w:sz w:val="18"/>
        </w:rPr>
        <w:t>all</w:t>
      </w:r>
      <w:r w:rsidRPr="002A7085">
        <w:rPr>
          <w:sz w:val="18"/>
        </w:rPr>
        <w:t xml:space="preserve"> be noted that the relevant risk that is present in the PPP model may not be present in the Baseline </w:t>
      </w:r>
      <w:r w:rsidR="00F46A2B">
        <w:rPr>
          <w:sz w:val="18"/>
        </w:rPr>
        <w:t>M</w:t>
      </w:r>
      <w:r w:rsidRPr="002A7085">
        <w:rPr>
          <w:sz w:val="18"/>
        </w:rPr>
        <w:t xml:space="preserve">odel. If the risk is present in both the PPP model and the Baseline </w:t>
      </w:r>
      <w:r w:rsidR="00F46A2B">
        <w:rPr>
          <w:sz w:val="18"/>
        </w:rPr>
        <w:t>M</w:t>
      </w:r>
      <w:r w:rsidRPr="002A7085">
        <w:rPr>
          <w:sz w:val="18"/>
        </w:rPr>
        <w:t>odel, the mitigating actions may differ.</w:t>
      </w:r>
    </w:p>
    <w:p w14:paraId="065157DF" w14:textId="34EF30E8" w:rsidR="002A7085" w:rsidRDefault="002A7085" w:rsidP="002A7085">
      <w:pPr>
        <w:jc w:val="both"/>
        <w:rPr>
          <w:sz w:val="18"/>
        </w:rPr>
      </w:pPr>
      <w:r w:rsidRPr="002A7085">
        <w:rPr>
          <w:sz w:val="18"/>
        </w:rPr>
        <w:t xml:space="preserve">The cost of occurrence of risks is not included in the cash flow of the Financial Model (Excel) as it is the probable cost of occurrence of the risk. If the cost of the risks </w:t>
      </w:r>
      <w:r w:rsidR="00F46A2B">
        <w:rPr>
          <w:sz w:val="18"/>
        </w:rPr>
        <w:t xml:space="preserve">occurring </w:t>
      </w:r>
      <w:r w:rsidRPr="002A7085">
        <w:rPr>
          <w:sz w:val="18"/>
        </w:rPr>
        <w:t xml:space="preserve">is high, resulting in a </w:t>
      </w:r>
      <w:r w:rsidR="00F46A2B">
        <w:rPr>
          <w:sz w:val="18"/>
        </w:rPr>
        <w:t>material</w:t>
      </w:r>
      <w:r w:rsidRPr="002A7085">
        <w:rPr>
          <w:sz w:val="18"/>
        </w:rPr>
        <w:t xml:space="preserve"> impact on the project, then mitigating actions can be foreseen for the risk concerned and included in the (Excel) cash flow (</w:t>
      </w:r>
      <w:r w:rsidR="00F46A2B" w:rsidRPr="00713FA2">
        <w:rPr>
          <w:i/>
          <w:iCs/>
          <w:sz w:val="18"/>
          <w:szCs w:val="18"/>
        </w:rPr>
        <w:t>with updates to the FEC Guidelines on 25.09.2024</w:t>
      </w:r>
      <w:r w:rsidR="00F46A2B" w:rsidRPr="000848C3">
        <w:rPr>
          <w:sz w:val="18"/>
          <w:szCs w:val="18"/>
        </w:rPr>
        <w:t>)</w:t>
      </w:r>
      <w:r w:rsidRPr="002A7085">
        <w:rPr>
          <w:sz w:val="18"/>
        </w:rPr>
        <w:t>.</w:t>
      </w:r>
    </w:p>
    <w:p w14:paraId="24A0F0AF" w14:textId="77777777" w:rsidR="00B3402A" w:rsidRDefault="00B3402A" w:rsidP="00E274FC">
      <w:pPr>
        <w:jc w:val="both"/>
        <w:rPr>
          <w:sz w:val="18"/>
        </w:rPr>
      </w:pPr>
    </w:p>
    <w:p w14:paraId="056F64DA" w14:textId="77777777" w:rsidR="00E274FC" w:rsidRPr="00985A72" w:rsidRDefault="00E274FC" w:rsidP="00985A72">
      <w:pPr>
        <w:tabs>
          <w:tab w:val="left" w:pos="0"/>
        </w:tabs>
        <w:jc w:val="both"/>
        <w:rPr>
          <w:sz w:val="18"/>
          <w:szCs w:val="18"/>
          <w:lang w:val="lv-LV"/>
        </w:rPr>
      </w:pPr>
    </w:p>
    <w:p w14:paraId="43C91287" w14:textId="5B2D4454" w:rsidR="00626ADB" w:rsidRDefault="00711162" w:rsidP="00626ADB">
      <w:pPr>
        <w:tabs>
          <w:tab w:val="left" w:pos="3500"/>
        </w:tabs>
        <w:jc w:val="both"/>
        <w:rPr>
          <w:b/>
          <w:sz w:val="18"/>
        </w:rPr>
      </w:pPr>
      <w:r>
        <w:rPr>
          <w:noProof/>
        </w:rPr>
        <mc:AlternateContent>
          <mc:Choice Requires="wps">
            <w:drawing>
              <wp:anchor distT="0" distB="0" distL="114300" distR="114300" simplePos="0" relativeHeight="251658264" behindDoc="0" locked="0" layoutInCell="1" allowOverlap="1" wp14:anchorId="48762119" wp14:editId="222BF0F5">
                <wp:simplePos x="0" y="0"/>
                <wp:positionH relativeFrom="column">
                  <wp:posOffset>-361950</wp:posOffset>
                </wp:positionH>
                <wp:positionV relativeFrom="paragraph">
                  <wp:posOffset>1905</wp:posOffset>
                </wp:positionV>
                <wp:extent cx="274320" cy="274320"/>
                <wp:effectExtent l="0" t="0" r="11430" b="11430"/>
                <wp:wrapNone/>
                <wp:docPr id="1375660231"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F7FEE4" w14:textId="21C0ECEA" w:rsidR="00EF0F26" w:rsidRPr="00403124" w:rsidRDefault="00EF0F26" w:rsidP="00403124">
                            <w:pPr>
                              <w:pStyle w:val="Paraststmeklis"/>
                              <w:spacing w:after="0"/>
                              <w:jc w:val="center"/>
                              <w:rPr>
                                <w:rFonts w:ascii="Arial" w:hAnsi="Arial" w:cs="Arial"/>
                                <w:sz w:val="18"/>
                                <w:szCs w:val="20"/>
                              </w:rPr>
                            </w:pPr>
                            <w:r>
                              <w:rPr>
                                <w:rFonts w:ascii="Arial" w:hAnsi="Arial"/>
                                <w:sz w:val="18"/>
                              </w:rPr>
                              <w:t>11</w:t>
                            </w:r>
                          </w:p>
                        </w:txbxContent>
                      </wps:txbx>
                      <wps:bodyPr rot="0" spcFirstLastPara="0" vertOverflow="overflow" horzOverflow="overflow" vert="horz" wrap="square" lIns="45720" tIns="45720" rIns="45720" bIns="45720" numCol="1" spcCol="0" rtlCol="0" fromWordArt="0" anchor="ctr" anchorCtr="1"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62119" id="_x0000_s1166" style="position:absolute;left:0;text-align:left;margin-left:-28.5pt;margin-top:.15pt;width:21.6pt;height:21.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" fillcolor="#86bc25 [3204]" strokecolor="#425d12 [1604]" strokeweight="2pt">
                <v:path arrowok="t"/>
                <v:textbox inset="3.6pt,,3.6pt">
                  <w:txbxContent>
                    <w:p w14:paraId="5BF7FEE4" w14:textId="21C0ECEA" w:rsidR="00EF0F26" w:rsidRPr="00403124" w:rsidRDefault="00EF0F26" w:rsidP="00403124">
                      <w:pPr>
                        <w:pStyle w:val="Paraststmeklis"/>
                        <w:spacing w:after="0"/>
                        <w:jc w:val="center"/>
                        <w:rPr>
                          <w:rFonts w:ascii="Arial" w:hAnsi="Arial" w:cs="Arial"/>
                          <w:sz w:val="18"/>
                          <w:szCs w:val="20"/>
                        </w:rPr>
                      </w:pPr>
                      <w:r>
                        <w:rPr>
                          <w:rFonts w:ascii="Arial" w:hAnsi="Arial"/>
                          <w:sz w:val="18"/>
                        </w:rPr>
                        <w:t>11</w:t>
                      </w:r>
                    </w:p>
                  </w:txbxContent>
                </v:textbox>
              </v:roundrect>
            </w:pict>
          </mc:Fallback>
        </mc:AlternateContent>
      </w:r>
      <w:r>
        <w:rPr>
          <w:b/>
          <w:sz w:val="18"/>
        </w:rPr>
        <w:t>Statistical treatment.</w:t>
      </w:r>
      <w:r w:rsidR="00626ADB">
        <w:rPr>
          <w:b/>
          <w:sz w:val="18"/>
        </w:rPr>
        <w:t xml:space="preserve"> </w:t>
      </w:r>
      <w:r w:rsidR="00626ADB" w:rsidRPr="00626ADB">
        <w:rPr>
          <w:bCs/>
          <w:sz w:val="18"/>
        </w:rPr>
        <w:t xml:space="preserve">Statistical </w:t>
      </w:r>
      <w:r w:rsidR="00626ADB">
        <w:rPr>
          <w:bCs/>
          <w:sz w:val="18"/>
        </w:rPr>
        <w:t>treatment</w:t>
      </w:r>
      <w:r w:rsidR="00626ADB" w:rsidRPr="00626ADB">
        <w:rPr>
          <w:bCs/>
          <w:sz w:val="18"/>
        </w:rPr>
        <w:t>, i.e. risk identification and allocation, sh</w:t>
      </w:r>
      <w:r w:rsidR="00626ADB">
        <w:rPr>
          <w:bCs/>
          <w:sz w:val="18"/>
        </w:rPr>
        <w:t>all</w:t>
      </w:r>
      <w:r w:rsidR="00626ADB" w:rsidRPr="00626ADB">
        <w:rPr>
          <w:bCs/>
          <w:sz w:val="18"/>
        </w:rPr>
        <w:t xml:space="preserve"> be carried out in the Risk Tool</w:t>
      </w:r>
      <w:r w:rsidR="00626ADB">
        <w:rPr>
          <w:rStyle w:val="Vresatsauce"/>
          <w:bCs/>
          <w:sz w:val="18"/>
        </w:rPr>
        <w:footnoteReference w:id="42"/>
      </w:r>
      <w:r w:rsidR="00626ADB" w:rsidRPr="00626ADB">
        <w:rPr>
          <w:bCs/>
          <w:sz w:val="18"/>
        </w:rPr>
        <w:t xml:space="preserve"> and annexed to the </w:t>
      </w:r>
      <w:r w:rsidR="006572CA">
        <w:rPr>
          <w:bCs/>
          <w:sz w:val="18"/>
        </w:rPr>
        <w:t>descriptive document of the FEC</w:t>
      </w:r>
      <w:r w:rsidR="00626ADB" w:rsidRPr="00626ADB">
        <w:rPr>
          <w:bCs/>
          <w:sz w:val="18"/>
        </w:rPr>
        <w:t xml:space="preserve">. The conclusions of the analysis of the statistical </w:t>
      </w:r>
      <w:r w:rsidR="006572CA">
        <w:rPr>
          <w:bCs/>
          <w:sz w:val="18"/>
        </w:rPr>
        <w:t>treatment shall</w:t>
      </w:r>
      <w:r w:rsidR="00626ADB" w:rsidRPr="00626ADB">
        <w:rPr>
          <w:bCs/>
          <w:sz w:val="18"/>
        </w:rPr>
        <w:t xml:space="preserve"> be reflected in the </w:t>
      </w:r>
      <w:r w:rsidR="006572CA">
        <w:rPr>
          <w:bCs/>
          <w:sz w:val="18"/>
        </w:rPr>
        <w:t>descriptive document of the FEC</w:t>
      </w:r>
      <w:r w:rsidR="006572CA" w:rsidRPr="00626ADB">
        <w:rPr>
          <w:bCs/>
          <w:sz w:val="18"/>
        </w:rPr>
        <w:t xml:space="preserve"> </w:t>
      </w:r>
      <w:r w:rsidR="00626ADB" w:rsidRPr="00626ADB">
        <w:rPr>
          <w:bCs/>
          <w:sz w:val="18"/>
        </w:rPr>
        <w:t>(</w:t>
      </w:r>
      <w:r w:rsidR="006572CA" w:rsidRPr="00713FA2">
        <w:rPr>
          <w:i/>
          <w:iCs/>
          <w:sz w:val="18"/>
          <w:szCs w:val="18"/>
        </w:rPr>
        <w:t>with updates to the FEC Guidelines on 25.09.2024</w:t>
      </w:r>
      <w:r w:rsidR="00626ADB" w:rsidRPr="00626ADB">
        <w:rPr>
          <w:bCs/>
          <w:sz w:val="18"/>
        </w:rPr>
        <w:t>)</w:t>
      </w:r>
      <w:r w:rsidR="009A0CF9">
        <w:rPr>
          <w:bCs/>
          <w:sz w:val="18"/>
        </w:rPr>
        <w:t>.</w:t>
      </w:r>
    </w:p>
    <w:p w14:paraId="792BAC12" w14:textId="77777777" w:rsidR="00626ADB" w:rsidRDefault="00626ADB" w:rsidP="00403124">
      <w:pPr>
        <w:jc w:val="both"/>
        <w:rPr>
          <w:b/>
          <w:sz w:val="18"/>
        </w:rPr>
      </w:pPr>
    </w:p>
    <w:p w14:paraId="792A6538" w14:textId="77777777" w:rsidR="00626ADB" w:rsidRDefault="00626ADB" w:rsidP="00403124">
      <w:pPr>
        <w:jc w:val="both"/>
        <w:rPr>
          <w:b/>
          <w:sz w:val="18"/>
        </w:rPr>
      </w:pPr>
    </w:p>
    <w:p w14:paraId="7A1BB21D" w14:textId="77777777" w:rsidR="008C5DC0" w:rsidRPr="00251B39" w:rsidRDefault="008C5DC0" w:rsidP="0025725F">
      <w:pPr>
        <w:pStyle w:val="Virsraksts2"/>
        <w:numPr>
          <w:ilvl w:val="1"/>
          <w:numId w:val="16"/>
        </w:numPr>
        <w:spacing w:before="240"/>
        <w:ind w:left="431" w:hanging="431"/>
        <w:rPr>
          <w:rFonts w:asciiTheme="minorHAnsi" w:hAnsiTheme="minorHAnsi"/>
        </w:rPr>
      </w:pPr>
      <w:bookmarkStart w:id="182" w:name="_Ieguldījumam_atbilstošās_vērtības"/>
      <w:bookmarkStart w:id="183" w:name="_Toc2879284"/>
      <w:bookmarkStart w:id="184" w:name="_Toc3205492"/>
      <w:bookmarkStart w:id="185" w:name="_Toc3246842"/>
      <w:bookmarkStart w:id="186" w:name="_Toc3249551"/>
      <w:bookmarkStart w:id="187" w:name="_Toc3759973"/>
      <w:bookmarkStart w:id="188" w:name="_Toc3805010"/>
      <w:bookmarkStart w:id="189" w:name="_Toc178586373"/>
      <w:bookmarkEnd w:id="182"/>
      <w:r>
        <w:rPr>
          <w:rFonts w:asciiTheme="minorHAnsi" w:hAnsiTheme="minorHAnsi"/>
        </w:rPr>
        <w:lastRenderedPageBreak/>
        <w:t>Determining Value for Money</w:t>
      </w:r>
      <w:bookmarkEnd w:id="183"/>
      <w:bookmarkEnd w:id="184"/>
      <w:bookmarkEnd w:id="185"/>
      <w:bookmarkEnd w:id="186"/>
      <w:bookmarkEnd w:id="187"/>
      <w:bookmarkEnd w:id="188"/>
      <w:bookmarkEnd w:id="189"/>
    </w:p>
    <w:p w14:paraId="0C7034C2" w14:textId="77777777" w:rsidR="006D0E49" w:rsidRPr="00251B39" w:rsidRDefault="006D0E49" w:rsidP="008C5DC0">
      <w:pPr>
        <w:jc w:val="both"/>
        <w:rPr>
          <w:rFonts w:cs="Arial"/>
          <w:sz w:val="18"/>
          <w:szCs w:val="18"/>
          <w:lang w:val="lv-LV"/>
        </w:rPr>
      </w:pPr>
    </w:p>
    <w:p w14:paraId="208A029F" w14:textId="12713D3E" w:rsidR="008C5DC0" w:rsidRPr="00251B39" w:rsidRDefault="52A756B8" w:rsidP="008C5DC0">
      <w:pPr>
        <w:jc w:val="both"/>
        <w:rPr>
          <w:rFonts w:cs="Arial"/>
          <w:sz w:val="18"/>
          <w:szCs w:val="18"/>
        </w:rPr>
      </w:pPr>
      <w:r>
        <w:rPr>
          <w:sz w:val="18"/>
        </w:rPr>
        <w:t>The financial results of the project implementation alternatives shall be compared and analysed, identifying the type of contract and the estimated contract price of the best alternative and the estimated impact of the project on the State budget.</w:t>
      </w:r>
    </w:p>
    <w:p w14:paraId="69934AC0" w14:textId="73428715" w:rsidR="008C5DC0" w:rsidRPr="00251B39" w:rsidRDefault="5456C133" w:rsidP="135A1CBC">
      <w:pPr>
        <w:pStyle w:val="Default"/>
        <w:jc w:val="both"/>
        <w:rPr>
          <w:rFonts w:asciiTheme="minorHAnsi" w:hAnsiTheme="minorHAnsi" w:cs="Arial"/>
          <w:b/>
          <w:bCs/>
          <w:color w:val="auto"/>
          <w:sz w:val="18"/>
          <w:szCs w:val="18"/>
        </w:rPr>
      </w:pPr>
      <w:r>
        <w:rPr>
          <w:rFonts w:asciiTheme="minorHAnsi" w:hAnsiTheme="minorHAnsi"/>
          <w:b/>
          <w:color w:val="auto"/>
          <w:sz w:val="18"/>
        </w:rPr>
        <w:t xml:space="preserve">Determination of VFM </w:t>
      </w:r>
    </w:p>
    <w:p w14:paraId="1B7D5D8C" w14:textId="01F78B34" w:rsidR="135A1CBC" w:rsidRPr="00251B39" w:rsidRDefault="135A1CBC" w:rsidP="135A1CBC">
      <w:pPr>
        <w:pStyle w:val="Default"/>
        <w:jc w:val="both"/>
        <w:rPr>
          <w:rFonts w:asciiTheme="minorHAnsi" w:hAnsiTheme="minorHAnsi" w:cs="Arial"/>
          <w:b/>
          <w:bCs/>
          <w:color w:val="auto"/>
          <w:sz w:val="18"/>
          <w:szCs w:val="18"/>
          <w:lang w:val="lv-LV"/>
        </w:rPr>
      </w:pPr>
    </w:p>
    <w:p w14:paraId="5BFEE45D" w14:textId="1702903E" w:rsidR="008C5DC0" w:rsidRPr="00251B39" w:rsidRDefault="6E4A8A92" w:rsidP="6E4A8A92">
      <w:pPr>
        <w:jc w:val="both"/>
        <w:rPr>
          <w:rFonts w:cs="Arial"/>
          <w:sz w:val="18"/>
          <w:szCs w:val="18"/>
        </w:rPr>
      </w:pPr>
      <w:r>
        <w:rPr>
          <w:sz w:val="18"/>
        </w:rPr>
        <w:t xml:space="preserve">A positive VFM occurs if, when comparing the total cash flows of the public partner in the Baseline Model and in each of the PPP arrangements and PPP models evaluated, the NPV of the project implementation alternative is higher than the NPV of the Baseline Model. The alternative with the highest VFM shall be considered to be the most advantageous for the public partner. </w:t>
      </w:r>
    </w:p>
    <w:p w14:paraId="6D9B5E8E" w14:textId="03E4AB1F" w:rsidR="008C5DC0" w:rsidRPr="007C247E" w:rsidRDefault="5456C133" w:rsidP="007C247E">
      <w:pPr>
        <w:spacing w:after="0"/>
        <w:jc w:val="both"/>
        <w:rPr>
          <w:rFonts w:eastAsiaTheme="minorEastAsia"/>
          <w:sz w:val="18"/>
          <w:szCs w:val="18"/>
        </w:rPr>
      </w:pPr>
      <w:r>
        <w:rPr>
          <w:sz w:val="18"/>
        </w:rPr>
        <w:t>As the financial assessment of VFM is based on assumptions, the outcome of the calculation will involve some inaccuracy. Therefore, conclusions shall be assessed on a relative basis, accompanied by a sensitivity analysis and always considering the expected non-financial benefits and losses, as a positive VFM does not necessarily mean that a PPP arrangement or PPP model should be used, just as a negative VFM does not mean that a PPP arrangement is not suitable for the project.</w:t>
      </w:r>
    </w:p>
    <w:p w14:paraId="4E012332" w14:textId="7F39598D" w:rsidR="008C5DC0" w:rsidRPr="00251B39" w:rsidRDefault="008C5DC0" w:rsidP="6E4A8A92">
      <w:pPr>
        <w:pStyle w:val="Default"/>
        <w:jc w:val="both"/>
        <w:rPr>
          <w:rFonts w:asciiTheme="minorHAnsi" w:eastAsiaTheme="minorEastAsia" w:hAnsiTheme="minorHAnsi" w:cstheme="minorBidi"/>
          <w:sz w:val="18"/>
          <w:szCs w:val="18"/>
          <w:lang w:val="lv-LV"/>
        </w:rPr>
      </w:pPr>
    </w:p>
    <w:p w14:paraId="787D5BC1" w14:textId="72385255" w:rsidR="008C5DC0" w:rsidRPr="00390AEF" w:rsidRDefault="6B3043BF" w:rsidP="6B3043BF">
      <w:pPr>
        <w:pStyle w:val="Default"/>
        <w:jc w:val="both"/>
        <w:rPr>
          <w:rFonts w:asciiTheme="minorHAnsi" w:eastAsiaTheme="minorEastAsia" w:hAnsiTheme="minorHAnsi" w:cstheme="minorBidi"/>
          <w:sz w:val="18"/>
          <w:szCs w:val="18"/>
        </w:rPr>
      </w:pPr>
      <w:r>
        <w:rPr>
          <w:rFonts w:asciiTheme="minorHAnsi" w:hAnsiTheme="minorHAnsi"/>
          <w:sz w:val="18"/>
        </w:rPr>
        <w:t xml:space="preserve">For each PPP arrangement and PPP model, a Partnership Contract price corridor and the resulting VFM corridor shall be defined. The contract price corridor is formed between the potential lowest and highest potential contract price of the Partnership as calculated by the FEC as a result of the sensitivity analysis. The basic principles of the sensitivity analysis and the principles for determining the Contract price corridor are described below. </w:t>
      </w:r>
    </w:p>
    <w:p w14:paraId="74C06BDD" w14:textId="36E295A0" w:rsidR="008C5DC0" w:rsidRPr="00390AEF" w:rsidRDefault="005658A3" w:rsidP="6E4A8A92">
      <w:pPr>
        <w:pStyle w:val="Default"/>
        <w:jc w:val="both"/>
        <w:rPr>
          <w:rFonts w:asciiTheme="minorHAnsi" w:eastAsiaTheme="minorEastAsia" w:hAnsiTheme="minorHAnsi" w:cstheme="minorBidi"/>
          <w:sz w:val="18"/>
          <w:szCs w:val="18"/>
        </w:rPr>
      </w:pPr>
      <w:r>
        <w:rPr>
          <w:rFonts w:asciiTheme="minorHAnsi" w:hAnsiTheme="minorHAnsi"/>
          <w:sz w:val="18"/>
        </w:rPr>
        <w:t xml:space="preserve"> </w:t>
      </w:r>
    </w:p>
    <w:p w14:paraId="560B48C4" w14:textId="4ACCE12D" w:rsidR="008BB93E" w:rsidRPr="00390AEF" w:rsidRDefault="6F01107F" w:rsidP="008BB93E">
      <w:pPr>
        <w:pStyle w:val="Default"/>
        <w:jc w:val="both"/>
        <w:rPr>
          <w:rFonts w:asciiTheme="minorHAnsi" w:hAnsiTheme="minorHAnsi" w:cs="Arial"/>
          <w:b/>
          <w:bCs/>
          <w:color w:val="auto"/>
          <w:sz w:val="18"/>
          <w:szCs w:val="18"/>
        </w:rPr>
      </w:pPr>
      <w:r>
        <w:rPr>
          <w:rFonts w:asciiTheme="minorHAnsi" w:hAnsiTheme="minorHAnsi"/>
          <w:b/>
          <w:color w:val="auto"/>
          <w:sz w:val="18"/>
        </w:rPr>
        <w:t>Partnership Contract price corridor</w:t>
      </w:r>
    </w:p>
    <w:p w14:paraId="6D5B78BF" w14:textId="6BDADBF5" w:rsidR="008BB93E" w:rsidRPr="00390AEF" w:rsidRDefault="6F01107F" w:rsidP="007F7B01">
      <w:pPr>
        <w:pStyle w:val="Default"/>
        <w:spacing w:before="240"/>
        <w:jc w:val="both"/>
        <w:rPr>
          <w:rFonts w:asciiTheme="minorHAnsi" w:hAnsiTheme="minorHAnsi" w:cs="Arial"/>
          <w:color w:val="auto"/>
          <w:sz w:val="18"/>
          <w:szCs w:val="18"/>
        </w:rPr>
      </w:pPr>
      <w:r>
        <w:rPr>
          <w:rFonts w:asciiTheme="minorHAnsi" w:hAnsiTheme="minorHAnsi"/>
          <w:color w:val="auto"/>
          <w:sz w:val="18"/>
        </w:rPr>
        <w:t xml:space="preserve">The Partnership Contract price is the sum of the availability payment and/or end-user payments, equal to: </w:t>
      </w:r>
    </w:p>
    <w:p w14:paraId="4A11B49A" w14:textId="5A7F2F39" w:rsidR="008BB93E" w:rsidRPr="007F7B01" w:rsidRDefault="2839D35B" w:rsidP="007F7B01">
      <w:pPr>
        <w:pStyle w:val="Default"/>
        <w:numPr>
          <w:ilvl w:val="0"/>
          <w:numId w:val="32"/>
        </w:numPr>
        <w:spacing w:before="240"/>
        <w:jc w:val="both"/>
        <w:rPr>
          <w:rFonts w:asciiTheme="minorHAnsi" w:eastAsiaTheme="minorEastAsia" w:hAnsiTheme="minorHAnsi" w:cstheme="minorBidi"/>
          <w:sz w:val="18"/>
          <w:szCs w:val="18"/>
        </w:rPr>
      </w:pPr>
      <w:r>
        <w:rPr>
          <w:rFonts w:asciiTheme="minorHAnsi" w:hAnsiTheme="minorHAnsi"/>
          <w:sz w:val="18"/>
        </w:rPr>
        <w:t xml:space="preserve">the total discounted cash flow of the public partner when the availability payment is paid in full on the date of signature of the Partnership Contract; or </w:t>
      </w:r>
    </w:p>
    <w:p w14:paraId="2632F41A" w14:textId="7C8299DD" w:rsidR="008BB93E" w:rsidRPr="007F7B01" w:rsidRDefault="2839D35B" w:rsidP="008B6449">
      <w:pPr>
        <w:pStyle w:val="Default"/>
        <w:numPr>
          <w:ilvl w:val="0"/>
          <w:numId w:val="32"/>
        </w:numPr>
        <w:jc w:val="both"/>
        <w:rPr>
          <w:rFonts w:asciiTheme="minorHAnsi" w:eastAsiaTheme="minorEastAsia" w:hAnsiTheme="minorHAnsi" w:cstheme="minorBidi"/>
          <w:sz w:val="18"/>
          <w:szCs w:val="18"/>
        </w:rPr>
      </w:pPr>
      <w:r>
        <w:rPr>
          <w:rFonts w:asciiTheme="minorHAnsi" w:hAnsiTheme="minorHAnsi"/>
          <w:sz w:val="18"/>
        </w:rPr>
        <w:t>the total undiscounted cash flow of the public partner when the availability payment is paid over the life cycle of the PPP project.</w:t>
      </w:r>
    </w:p>
    <w:p w14:paraId="08258E38" w14:textId="77777777" w:rsidR="00EC4AB5" w:rsidRPr="00EC4AB5" w:rsidRDefault="00EC4AB5" w:rsidP="00EC4AB5">
      <w:pPr>
        <w:pStyle w:val="Default"/>
        <w:ind w:left="720"/>
        <w:jc w:val="both"/>
        <w:rPr>
          <w:rFonts w:asciiTheme="minorHAnsi" w:eastAsiaTheme="minorEastAsia" w:hAnsiTheme="minorHAnsi" w:cstheme="minorBidi"/>
          <w:sz w:val="18"/>
          <w:szCs w:val="18"/>
          <w:lang w:val="lv-LV"/>
        </w:rPr>
      </w:pPr>
    </w:p>
    <w:p w14:paraId="7C85B464" w14:textId="550B47A8" w:rsidR="6B3043BF" w:rsidRPr="00614882" w:rsidRDefault="21D28A4C" w:rsidP="21D28A4C">
      <w:pPr>
        <w:pStyle w:val="Default"/>
        <w:jc w:val="both"/>
        <w:rPr>
          <w:rFonts w:asciiTheme="minorHAnsi" w:eastAsiaTheme="minorEastAsia" w:hAnsiTheme="minorHAnsi" w:cstheme="minorBidi"/>
          <w:color w:val="auto"/>
          <w:sz w:val="18"/>
          <w:szCs w:val="18"/>
        </w:rPr>
      </w:pPr>
      <w:r>
        <w:rPr>
          <w:rFonts w:asciiTheme="minorHAnsi" w:hAnsiTheme="minorHAnsi"/>
          <w:sz w:val="18"/>
        </w:rPr>
        <w:t xml:space="preserve">The calculation of the contract price corridor also includes an </w:t>
      </w:r>
      <w:r>
        <w:rPr>
          <w:rFonts w:asciiTheme="minorHAnsi" w:hAnsiTheme="minorHAnsi"/>
          <w:color w:val="auto"/>
          <w:sz w:val="18"/>
        </w:rPr>
        <w:t>VFM corridor, which is the difference between the potential lowest and highest calculated VFM as a result of the sensitivity analysis. Contract price and VFM corridors are interlinked and usually vary in proportion to the inverse.</w:t>
      </w:r>
    </w:p>
    <w:p w14:paraId="36D6B5E9" w14:textId="5F6CB924" w:rsidR="008C5DC0" w:rsidRPr="00614882" w:rsidRDefault="008C5DC0" w:rsidP="6E4A8A92">
      <w:pPr>
        <w:pStyle w:val="Default"/>
        <w:jc w:val="both"/>
        <w:rPr>
          <w:rFonts w:asciiTheme="minorHAnsi" w:eastAsiaTheme="minorEastAsia" w:hAnsiTheme="minorHAnsi" w:cstheme="minorBidi"/>
          <w:b/>
          <w:bCs/>
          <w:color w:val="auto"/>
          <w:sz w:val="18"/>
          <w:szCs w:val="18"/>
          <w:lang w:val="lv-LV"/>
        </w:rPr>
      </w:pPr>
    </w:p>
    <w:p w14:paraId="040E56E3" w14:textId="3B5FD77A" w:rsidR="008C5DC0" w:rsidRPr="00251B39" w:rsidRDefault="008BB93E" w:rsidP="6E4A8A92">
      <w:pPr>
        <w:pStyle w:val="Default"/>
        <w:jc w:val="both"/>
        <w:rPr>
          <w:rFonts w:asciiTheme="minorHAnsi" w:eastAsiaTheme="minorEastAsia" w:hAnsiTheme="minorHAnsi" w:cstheme="minorBidi"/>
          <w:b/>
          <w:bCs/>
          <w:color w:val="auto"/>
          <w:sz w:val="18"/>
          <w:szCs w:val="18"/>
        </w:rPr>
      </w:pPr>
      <w:r>
        <w:rPr>
          <w:rFonts w:asciiTheme="minorHAnsi" w:hAnsiTheme="minorHAnsi"/>
          <w:b/>
          <w:color w:val="auto"/>
          <w:sz w:val="18"/>
        </w:rPr>
        <w:t xml:space="preserve">Sensitivity analysis </w:t>
      </w:r>
    </w:p>
    <w:p w14:paraId="4B5CA8E9" w14:textId="5A29CCB0" w:rsidR="008BB93E" w:rsidRPr="00251B39" w:rsidRDefault="008BB93E" w:rsidP="008BB93E">
      <w:pPr>
        <w:pStyle w:val="Default"/>
        <w:jc w:val="both"/>
        <w:rPr>
          <w:rFonts w:asciiTheme="minorHAnsi" w:eastAsiaTheme="minorEastAsia" w:hAnsiTheme="minorHAnsi" w:cs="Arial"/>
          <w:color w:val="auto"/>
          <w:sz w:val="18"/>
          <w:szCs w:val="18"/>
          <w:lang w:val="lv-LV"/>
        </w:rPr>
      </w:pPr>
    </w:p>
    <w:p w14:paraId="122F936A" w14:textId="22AC6138" w:rsidR="6B3043BF" w:rsidRDefault="6B3043BF" w:rsidP="6B3043BF">
      <w:pPr>
        <w:pStyle w:val="Default"/>
        <w:jc w:val="both"/>
        <w:rPr>
          <w:rFonts w:asciiTheme="minorHAnsi" w:eastAsiaTheme="minorEastAsia" w:hAnsiTheme="minorHAnsi" w:cstheme="minorBidi"/>
          <w:sz w:val="18"/>
          <w:szCs w:val="18"/>
        </w:rPr>
      </w:pPr>
      <w:r>
        <w:rPr>
          <w:rFonts w:asciiTheme="minorHAnsi" w:hAnsiTheme="minorHAnsi"/>
          <w:color w:val="auto"/>
          <w:sz w:val="18"/>
        </w:rPr>
        <w:t xml:space="preserve">The sensitivity analysis adjusts the key assumptions in the models to determine their individual impact on the most important model outputs - the VFM and the Partnership Contract price. The sensitivity analysis results in the VFM and Partnership Contract price corridors. These include the </w:t>
      </w:r>
      <w:r>
        <w:rPr>
          <w:rFonts w:asciiTheme="minorHAnsi" w:hAnsiTheme="minorHAnsi"/>
          <w:sz w:val="18"/>
        </w:rPr>
        <w:t>range between the possible maximum and minimum value of the VFM and the Partnership Contract price. The price fluctuations between the VFM and the Partnership Contract are most often inversely proportional. For example, an increase in capital investment will increase the Partnership Contract price, but is likely to reduce the VFM, as the difference between the PPP Project Model and the Baseline Model will decrease.</w:t>
      </w:r>
    </w:p>
    <w:p w14:paraId="3527F38B" w14:textId="092CB415" w:rsidR="008C5DC0" w:rsidRPr="00251B39" w:rsidRDefault="5456C133" w:rsidP="5456C133">
      <w:pPr>
        <w:pStyle w:val="Default"/>
        <w:spacing w:before="240" w:after="240"/>
        <w:jc w:val="both"/>
        <w:rPr>
          <w:rFonts w:asciiTheme="minorHAnsi" w:hAnsiTheme="minorHAnsi" w:cs="Arial"/>
          <w:color w:val="auto"/>
          <w:sz w:val="18"/>
          <w:szCs w:val="18"/>
        </w:rPr>
      </w:pPr>
      <w:r>
        <w:rPr>
          <w:rFonts w:asciiTheme="minorHAnsi" w:hAnsiTheme="minorHAnsi"/>
          <w:sz w:val="18"/>
        </w:rPr>
        <w:t>The public partner shall identify and test key assumptions and justify the selected sensitivity range with the results of market research. The sensitivity analysis</w:t>
      </w:r>
      <w:r>
        <w:rPr>
          <w:rFonts w:asciiTheme="minorHAnsi" w:hAnsiTheme="minorHAnsi"/>
          <w:color w:val="auto"/>
          <w:sz w:val="18"/>
        </w:rPr>
        <w:t xml:space="preserve"> also determines the volatility of the results of changes in key assumptions by applying positive and negative percentage or absolute fluctuations (e.g. changes in capital investment costs, extension of construction period, changes in macroeconomic indicators, changes in interest rates, changes in costs and revenues, etc.).</w:t>
      </w:r>
    </w:p>
    <w:tbl>
      <w:tblPr>
        <w:tblStyle w:val="Reatabula"/>
        <w:tblW w:w="9360" w:type="dxa"/>
        <w:tblLayout w:type="fixed"/>
        <w:tblLook w:val="06A0" w:firstRow="1" w:lastRow="0" w:firstColumn="1" w:lastColumn="0" w:noHBand="1" w:noVBand="1"/>
      </w:tblPr>
      <w:tblGrid>
        <w:gridCol w:w="3120"/>
        <w:gridCol w:w="3120"/>
        <w:gridCol w:w="3120"/>
      </w:tblGrid>
      <w:tr w:rsidR="2839D35B" w:rsidRPr="00251B39" w14:paraId="4B2DD4F6" w14:textId="77777777" w:rsidTr="008D4A66">
        <w:trPr>
          <w:trHeight w:val="303"/>
        </w:trPr>
        <w:tc>
          <w:tcPr>
            <w:tcW w:w="3120" w:type="dxa"/>
            <w:shd w:val="clear" w:color="auto" w:fill="E3E3E4" w:themeFill="accent6" w:themeFillTint="33"/>
            <w:vAlign w:val="center"/>
          </w:tcPr>
          <w:p w14:paraId="1F449B82" w14:textId="3BE019EC" w:rsidR="2839D35B" w:rsidRPr="008D4A66" w:rsidRDefault="135A1CBC" w:rsidP="135A1CBC">
            <w:pPr>
              <w:rPr>
                <w:rFonts w:cs="Arial"/>
                <w:b/>
                <w:sz w:val="16"/>
                <w:szCs w:val="16"/>
              </w:rPr>
            </w:pPr>
            <w:r>
              <w:rPr>
                <w:b/>
                <w:sz w:val="16"/>
              </w:rPr>
              <w:t>Increase</w:t>
            </w:r>
          </w:p>
        </w:tc>
        <w:tc>
          <w:tcPr>
            <w:tcW w:w="3120" w:type="dxa"/>
            <w:shd w:val="clear" w:color="auto" w:fill="E3E3E4" w:themeFill="accent6" w:themeFillTint="33"/>
            <w:vAlign w:val="center"/>
          </w:tcPr>
          <w:p w14:paraId="27BEF228" w14:textId="7EB42892" w:rsidR="2839D35B" w:rsidRPr="008D4A66" w:rsidRDefault="135A1CBC" w:rsidP="135A1CBC">
            <w:pPr>
              <w:rPr>
                <w:rFonts w:cs="Arial"/>
                <w:b/>
                <w:sz w:val="16"/>
                <w:szCs w:val="16"/>
              </w:rPr>
            </w:pPr>
            <w:r>
              <w:rPr>
                <w:b/>
                <w:sz w:val="16"/>
              </w:rPr>
              <w:t>Increase/decrease</w:t>
            </w:r>
          </w:p>
        </w:tc>
        <w:tc>
          <w:tcPr>
            <w:tcW w:w="3120" w:type="dxa"/>
            <w:shd w:val="clear" w:color="auto" w:fill="E3E3E4" w:themeFill="accent6" w:themeFillTint="33"/>
            <w:vAlign w:val="center"/>
          </w:tcPr>
          <w:p w14:paraId="1E5E6625" w14:textId="530AD509" w:rsidR="135A1CBC" w:rsidRPr="008D4A66" w:rsidRDefault="135A1CBC" w:rsidP="135A1CBC">
            <w:pPr>
              <w:rPr>
                <w:rFonts w:cs="Arial"/>
                <w:b/>
                <w:sz w:val="16"/>
                <w:szCs w:val="16"/>
              </w:rPr>
            </w:pPr>
            <w:r>
              <w:rPr>
                <w:b/>
                <w:sz w:val="16"/>
              </w:rPr>
              <w:t>Decrease</w:t>
            </w:r>
          </w:p>
        </w:tc>
      </w:tr>
      <w:tr w:rsidR="2839D35B" w:rsidRPr="00251B39" w14:paraId="236E4EA5" w14:textId="77777777" w:rsidTr="008D4A66">
        <w:trPr>
          <w:trHeight w:val="309"/>
        </w:trPr>
        <w:tc>
          <w:tcPr>
            <w:tcW w:w="3120" w:type="dxa"/>
            <w:vAlign w:val="center"/>
          </w:tcPr>
          <w:p w14:paraId="660E9882" w14:textId="60499CF0" w:rsidR="2839D35B" w:rsidRPr="008D4A66" w:rsidRDefault="135A1CBC" w:rsidP="135A1CBC">
            <w:pPr>
              <w:rPr>
                <w:rFonts w:cs="Arial"/>
                <w:sz w:val="16"/>
                <w:szCs w:val="16"/>
              </w:rPr>
            </w:pPr>
            <w:r>
              <w:rPr>
                <w:sz w:val="16"/>
              </w:rPr>
              <w:lastRenderedPageBreak/>
              <w:t>Capital investment</w:t>
            </w:r>
          </w:p>
        </w:tc>
        <w:tc>
          <w:tcPr>
            <w:tcW w:w="3120" w:type="dxa"/>
            <w:vAlign w:val="center"/>
          </w:tcPr>
          <w:p w14:paraId="43C1A4FD" w14:textId="098961B4" w:rsidR="2839D35B" w:rsidRPr="008D4A66" w:rsidRDefault="135A1CBC" w:rsidP="135A1CBC">
            <w:pPr>
              <w:rPr>
                <w:rFonts w:cs="Arial"/>
                <w:sz w:val="16"/>
                <w:szCs w:val="16"/>
              </w:rPr>
            </w:pPr>
            <w:r>
              <w:rPr>
                <w:sz w:val="16"/>
              </w:rPr>
              <w:t>Macroeconomic indices</w:t>
            </w:r>
          </w:p>
        </w:tc>
        <w:tc>
          <w:tcPr>
            <w:tcW w:w="3120" w:type="dxa"/>
            <w:vAlign w:val="center"/>
          </w:tcPr>
          <w:p w14:paraId="3B95F278" w14:textId="3C5D486D" w:rsidR="135A1CBC" w:rsidRPr="008D4A66" w:rsidRDefault="135A1CBC" w:rsidP="135A1CBC">
            <w:pPr>
              <w:rPr>
                <w:rFonts w:cs="Arial"/>
                <w:sz w:val="16"/>
                <w:szCs w:val="16"/>
              </w:rPr>
            </w:pPr>
            <w:r>
              <w:rPr>
                <w:sz w:val="16"/>
              </w:rPr>
              <w:t>Level of demand</w:t>
            </w:r>
          </w:p>
        </w:tc>
      </w:tr>
      <w:tr w:rsidR="2839D35B" w:rsidRPr="00251B39" w14:paraId="10A8951B" w14:textId="77777777" w:rsidTr="008D4A66">
        <w:trPr>
          <w:trHeight w:val="309"/>
        </w:trPr>
        <w:tc>
          <w:tcPr>
            <w:tcW w:w="3120" w:type="dxa"/>
            <w:vAlign w:val="center"/>
          </w:tcPr>
          <w:p w14:paraId="183B3EF0" w14:textId="541E37D7" w:rsidR="2839D35B" w:rsidRPr="008D4A66" w:rsidRDefault="135A1CBC" w:rsidP="135A1CBC">
            <w:pPr>
              <w:rPr>
                <w:rFonts w:cs="Arial"/>
                <w:sz w:val="16"/>
                <w:szCs w:val="16"/>
              </w:rPr>
            </w:pPr>
            <w:r>
              <w:rPr>
                <w:sz w:val="16"/>
              </w:rPr>
              <w:t>Costs</w:t>
            </w:r>
          </w:p>
        </w:tc>
        <w:tc>
          <w:tcPr>
            <w:tcW w:w="3120" w:type="dxa"/>
            <w:vAlign w:val="center"/>
          </w:tcPr>
          <w:p w14:paraId="66AE1AB9" w14:textId="144B3563" w:rsidR="2839D35B" w:rsidRPr="008D4A66" w:rsidRDefault="135A1CBC" w:rsidP="135A1CBC">
            <w:pPr>
              <w:rPr>
                <w:rFonts w:cs="Arial"/>
                <w:sz w:val="16"/>
                <w:szCs w:val="16"/>
              </w:rPr>
            </w:pPr>
            <w:r>
              <w:rPr>
                <w:sz w:val="16"/>
              </w:rPr>
              <w:t>Discount rate</w:t>
            </w:r>
          </w:p>
        </w:tc>
        <w:tc>
          <w:tcPr>
            <w:tcW w:w="3120" w:type="dxa"/>
            <w:vAlign w:val="center"/>
          </w:tcPr>
          <w:p w14:paraId="6BEF0399" w14:textId="235DFBDC" w:rsidR="135A1CBC" w:rsidRPr="008D4A66" w:rsidRDefault="008D4A66" w:rsidP="135A1CBC">
            <w:pPr>
              <w:rPr>
                <w:rFonts w:cs="Arial"/>
                <w:sz w:val="16"/>
                <w:szCs w:val="16"/>
              </w:rPr>
            </w:pPr>
            <w:r>
              <w:rPr>
                <w:sz w:val="16"/>
              </w:rPr>
              <w:t>Usage fee</w:t>
            </w:r>
          </w:p>
        </w:tc>
      </w:tr>
      <w:tr w:rsidR="2839D35B" w:rsidRPr="00251B39" w14:paraId="6EA438FC" w14:textId="77777777" w:rsidTr="008D4A66">
        <w:trPr>
          <w:trHeight w:val="309"/>
        </w:trPr>
        <w:tc>
          <w:tcPr>
            <w:tcW w:w="3120" w:type="dxa"/>
            <w:vAlign w:val="center"/>
          </w:tcPr>
          <w:p w14:paraId="1EF06788" w14:textId="04AAA8FA" w:rsidR="2839D35B" w:rsidRPr="008D4A66" w:rsidRDefault="135A1CBC" w:rsidP="135A1CBC">
            <w:pPr>
              <w:rPr>
                <w:rFonts w:eastAsiaTheme="minorEastAsia"/>
                <w:sz w:val="16"/>
                <w:szCs w:val="16"/>
              </w:rPr>
            </w:pPr>
            <w:r>
              <w:rPr>
                <w:sz w:val="16"/>
              </w:rPr>
              <w:t>Interest rates</w:t>
            </w:r>
          </w:p>
        </w:tc>
        <w:tc>
          <w:tcPr>
            <w:tcW w:w="3120" w:type="dxa"/>
            <w:vAlign w:val="center"/>
          </w:tcPr>
          <w:p w14:paraId="0D7B3896" w14:textId="268E8CEA" w:rsidR="2839D35B" w:rsidRPr="008D4A66" w:rsidRDefault="2839D35B" w:rsidP="135A1CBC">
            <w:pPr>
              <w:rPr>
                <w:rFonts w:eastAsiaTheme="minorEastAsia"/>
                <w:sz w:val="16"/>
                <w:szCs w:val="16"/>
                <w:lang w:val="lv-LV"/>
              </w:rPr>
            </w:pPr>
          </w:p>
        </w:tc>
        <w:tc>
          <w:tcPr>
            <w:tcW w:w="3120" w:type="dxa"/>
            <w:vAlign w:val="center"/>
          </w:tcPr>
          <w:p w14:paraId="5CE5AFDC" w14:textId="268E8CEA" w:rsidR="2839D35B" w:rsidRPr="008D4A66" w:rsidRDefault="2839D35B" w:rsidP="135A1CBC">
            <w:pPr>
              <w:rPr>
                <w:rFonts w:eastAsiaTheme="minorEastAsia"/>
                <w:sz w:val="16"/>
                <w:szCs w:val="16"/>
                <w:lang w:val="lv-LV"/>
              </w:rPr>
            </w:pPr>
          </w:p>
        </w:tc>
      </w:tr>
    </w:tbl>
    <w:p w14:paraId="51D078B0" w14:textId="69F08201" w:rsidR="135A1CBC" w:rsidRPr="00251B39" w:rsidRDefault="006A1BA9" w:rsidP="135A1CBC">
      <w:pPr>
        <w:pStyle w:val="Parakstszemobjekta"/>
        <w:jc w:val="right"/>
      </w:pPr>
      <w:r>
        <w:t xml:space="preserve"> Table 4: Negative Impact of Changes in Assumptions on VFM </w:t>
      </w:r>
    </w:p>
    <w:p w14:paraId="7DC95798" w14:textId="5D90D1AA" w:rsidR="008C5DC0" w:rsidRPr="00251B39" w:rsidRDefault="6B3043BF" w:rsidP="21D28A4C">
      <w:pPr>
        <w:jc w:val="both"/>
        <w:rPr>
          <w:rFonts w:cs="Arial"/>
          <w:sz w:val="18"/>
          <w:szCs w:val="18"/>
        </w:rPr>
      </w:pPr>
      <w:r>
        <w:rPr>
          <w:sz w:val="18"/>
        </w:rPr>
        <w:t xml:space="preserve">The sensitivity analysis can be developed manually using the Microsoft Excel function DATA TABLES, which is embedded in the Financial Model worksheet 'Sensitivity Analysis'. In this worksheet, indicators can be added, their range of fluctuations defined and the price fluctuations of the VFM and the Partnership Contract calculated accordingly by reference to the variables in the assumptions sheet using the DATA TABLE function. Whichever method is chosen, the calculation principles used are the same. The minimum and maximum values derived from the lower and upper threshold of the key assumptions are used to determine the price corridor for the VFM and the Partnership Contract. </w:t>
      </w:r>
    </w:p>
    <w:p w14:paraId="1049F424" w14:textId="69E141FF" w:rsidR="008C5DC0" w:rsidRPr="00251B39" w:rsidRDefault="008BB93E" w:rsidP="008BB93E">
      <w:pPr>
        <w:jc w:val="both"/>
        <w:rPr>
          <w:b/>
          <w:bCs/>
          <w:sz w:val="18"/>
          <w:szCs w:val="18"/>
        </w:rPr>
      </w:pPr>
      <w:r>
        <w:rPr>
          <w:b/>
          <w:sz w:val="18"/>
        </w:rPr>
        <w:t>Scenario analysis</w:t>
      </w:r>
    </w:p>
    <w:p w14:paraId="01B53030" w14:textId="549BFAB2" w:rsidR="008BB93E" w:rsidRPr="00127390" w:rsidRDefault="5456C133" w:rsidP="007F7B01">
      <w:pPr>
        <w:spacing w:before="240" w:after="0"/>
        <w:jc w:val="both"/>
        <w:rPr>
          <w:sz w:val="18"/>
          <w:szCs w:val="18"/>
        </w:rPr>
      </w:pPr>
      <w:r>
        <w:rPr>
          <w:sz w:val="18"/>
        </w:rPr>
        <w:t>The sensitivity analysis may be complemented by a scenario analysis if the public partner foresees specific scenarios in which the interrelationship of the key assumptions can be objectively demonstrated. For example, assumptions about the expected level of demand for services (e.g. number of users, frequency of use, prices of the service) are key in a Concession. When carrying out a sensitivity analysis, several demand scenarios can be tested, such as:</w:t>
      </w:r>
    </w:p>
    <w:p w14:paraId="15386C20" w14:textId="21993ADA" w:rsidR="008BB93E" w:rsidRPr="00251B39" w:rsidRDefault="6B3043BF" w:rsidP="21D28A4C">
      <w:pPr>
        <w:pStyle w:val="Sarakstarindkopa"/>
        <w:numPr>
          <w:ilvl w:val="0"/>
          <w:numId w:val="33"/>
        </w:numPr>
        <w:spacing w:before="240"/>
        <w:jc w:val="both"/>
        <w:rPr>
          <w:sz w:val="18"/>
          <w:szCs w:val="18"/>
        </w:rPr>
      </w:pPr>
      <w:r>
        <w:rPr>
          <w:i/>
          <w:sz w:val="18"/>
        </w:rPr>
        <w:t>a base case</w:t>
      </w:r>
      <w:r>
        <w:rPr>
          <w:sz w:val="18"/>
        </w:rPr>
        <w:t xml:space="preserve"> using the most likely expected level of demand for the service</w:t>
      </w:r>
    </w:p>
    <w:p w14:paraId="1B901BF0" w14:textId="30AF001C" w:rsidR="008BB93E" w:rsidRPr="00251B39" w:rsidRDefault="6B3043BF" w:rsidP="008B6449">
      <w:pPr>
        <w:pStyle w:val="Sarakstarindkopa"/>
        <w:numPr>
          <w:ilvl w:val="0"/>
          <w:numId w:val="33"/>
        </w:numPr>
        <w:jc w:val="both"/>
        <w:rPr>
          <w:i/>
          <w:iCs/>
          <w:sz w:val="18"/>
          <w:szCs w:val="18"/>
        </w:rPr>
      </w:pPr>
      <w:r>
        <w:rPr>
          <w:i/>
          <w:sz w:val="18"/>
        </w:rPr>
        <w:t xml:space="preserve">a down-side case </w:t>
      </w:r>
      <w:r>
        <w:rPr>
          <w:sz w:val="18"/>
        </w:rPr>
        <w:t>in which the level of demand is lower than the base case; and</w:t>
      </w:r>
    </w:p>
    <w:p w14:paraId="26807C0E" w14:textId="0E7371F3" w:rsidR="008BB93E" w:rsidRPr="00251B39" w:rsidRDefault="6B3043BF" w:rsidP="008B6449">
      <w:pPr>
        <w:pStyle w:val="Sarakstarindkopa"/>
        <w:numPr>
          <w:ilvl w:val="0"/>
          <w:numId w:val="33"/>
        </w:numPr>
        <w:jc w:val="both"/>
        <w:rPr>
          <w:i/>
          <w:iCs/>
          <w:sz w:val="18"/>
          <w:szCs w:val="18"/>
        </w:rPr>
      </w:pPr>
      <w:r>
        <w:rPr>
          <w:i/>
          <w:sz w:val="18"/>
        </w:rPr>
        <w:t xml:space="preserve">an up-side case </w:t>
      </w:r>
      <w:r>
        <w:rPr>
          <w:sz w:val="18"/>
        </w:rPr>
        <w:t>with a higher level of demand than the base case</w:t>
      </w:r>
    </w:p>
    <w:p w14:paraId="1589452A" w14:textId="61EBEE23" w:rsidR="2C8CD5F6" w:rsidRDefault="5456C133" w:rsidP="7DB09CA3">
      <w:pPr>
        <w:jc w:val="both"/>
        <w:rPr>
          <w:sz w:val="18"/>
          <w:szCs w:val="18"/>
        </w:rPr>
      </w:pPr>
      <w:r>
        <w:rPr>
          <w:sz w:val="18"/>
        </w:rPr>
        <w:t>In a PPP project with an availability payment, the most important assumptions are the level of the private partner's costs (consisting of</w:t>
      </w:r>
      <w:r>
        <w:rPr>
          <w:color w:val="0E57FC" w:themeColor="accent4" w:themeTint="99"/>
          <w:sz w:val="18"/>
        </w:rPr>
        <w:t xml:space="preserve"> </w:t>
      </w:r>
      <w:r>
        <w:rPr>
          <w:sz w:val="18"/>
        </w:rPr>
        <w:t>e.g. capital investment, maintenance costs, financing costs). When carrying out a sensitivity analysis, several cost scenarios can be tested such as:</w:t>
      </w:r>
    </w:p>
    <w:p w14:paraId="64FEE6CE" w14:textId="7DE725F4" w:rsidR="2C8CD5F6" w:rsidRDefault="21D28A4C" w:rsidP="21D28A4C">
      <w:pPr>
        <w:pStyle w:val="Sarakstarindkopa"/>
        <w:numPr>
          <w:ilvl w:val="0"/>
          <w:numId w:val="33"/>
        </w:numPr>
        <w:jc w:val="both"/>
        <w:rPr>
          <w:sz w:val="18"/>
          <w:szCs w:val="18"/>
        </w:rPr>
      </w:pPr>
      <w:r>
        <w:rPr>
          <w:i/>
          <w:sz w:val="18"/>
        </w:rPr>
        <w:t xml:space="preserve">a base case </w:t>
      </w:r>
      <w:r>
        <w:rPr>
          <w:sz w:val="18"/>
        </w:rPr>
        <w:t>using the most likely expected cost levels</w:t>
      </w:r>
    </w:p>
    <w:p w14:paraId="0C2711ED" w14:textId="4DDACD2F" w:rsidR="2C8CD5F6" w:rsidRDefault="5456C133" w:rsidP="5456C133">
      <w:pPr>
        <w:pStyle w:val="Sarakstarindkopa"/>
        <w:numPr>
          <w:ilvl w:val="0"/>
          <w:numId w:val="33"/>
        </w:numPr>
        <w:jc w:val="both"/>
        <w:rPr>
          <w:i/>
          <w:iCs/>
          <w:sz w:val="18"/>
          <w:szCs w:val="18"/>
        </w:rPr>
      </w:pPr>
      <w:r>
        <w:rPr>
          <w:i/>
          <w:sz w:val="18"/>
        </w:rPr>
        <w:t xml:space="preserve">a down-side case </w:t>
      </w:r>
      <w:r>
        <w:rPr>
          <w:sz w:val="18"/>
        </w:rPr>
        <w:t>with cost levels higher than the base case; and</w:t>
      </w:r>
    </w:p>
    <w:p w14:paraId="2537C86B" w14:textId="27A80810" w:rsidR="2C8CD5F6" w:rsidRDefault="5456C133" w:rsidP="5456C133">
      <w:pPr>
        <w:pStyle w:val="Sarakstarindkopa"/>
        <w:numPr>
          <w:ilvl w:val="0"/>
          <w:numId w:val="33"/>
        </w:numPr>
        <w:jc w:val="both"/>
        <w:rPr>
          <w:i/>
          <w:iCs/>
          <w:sz w:val="18"/>
          <w:szCs w:val="18"/>
        </w:rPr>
      </w:pPr>
      <w:r>
        <w:rPr>
          <w:i/>
          <w:sz w:val="18"/>
        </w:rPr>
        <w:t xml:space="preserve">an up-side case </w:t>
      </w:r>
      <w:r>
        <w:rPr>
          <w:sz w:val="18"/>
        </w:rPr>
        <w:t>with cost levels lower than the base case</w:t>
      </w:r>
    </w:p>
    <w:p w14:paraId="4F91056E" w14:textId="75B41F0C" w:rsidR="008BB93E" w:rsidRPr="00251B39" w:rsidRDefault="00F504DD" w:rsidP="21D28A4C">
      <w:pPr>
        <w:jc w:val="both"/>
        <w:rPr>
          <w:sz w:val="18"/>
          <w:szCs w:val="18"/>
        </w:rPr>
      </w:pPr>
      <w:r>
        <w:rPr>
          <w:sz w:val="18"/>
        </w:rPr>
        <w:t>Whereas the sensitivity analysis will assess the effect of changing a key assumption, a scenario analysis will assess the effect of a group of (usually linked) assumptions changing at the same. Sensitivity analysis usually focuses on the assumptions that are likely to have the greatest impact on the project's cash flow, e.g. capital investments, costs, interest rates and macroeconomic indices. The scenarios analysed can be presented as separate financial models using the Financial Model.</w:t>
      </w:r>
    </w:p>
    <w:p w14:paraId="158966B1" w14:textId="77777777" w:rsidR="00B42E48" w:rsidRDefault="6B3043BF" w:rsidP="21D28A4C">
      <w:pPr>
        <w:jc w:val="both"/>
        <w:rPr>
          <w:sz w:val="18"/>
          <w:szCs w:val="18"/>
        </w:rPr>
      </w:pPr>
      <w:r>
        <w:rPr>
          <w:sz w:val="18"/>
        </w:rPr>
        <w:t>The development of scenario analysis shall be considered taking into account the specificities of the PPP project and external factors. The rationale for developing a scenario analysis could be, for example, if the public partner considers, when developing the FEC, that:</w:t>
      </w:r>
    </w:p>
    <w:p w14:paraId="603DB5CF" w14:textId="30AAC196" w:rsidR="00B42E48" w:rsidRDefault="008E1E65" w:rsidP="00B42E48">
      <w:pPr>
        <w:pStyle w:val="Sarakstarindkopa"/>
        <w:numPr>
          <w:ilvl w:val="0"/>
          <w:numId w:val="57"/>
        </w:numPr>
        <w:ind w:left="720"/>
        <w:jc w:val="both"/>
        <w:rPr>
          <w:sz w:val="18"/>
          <w:szCs w:val="18"/>
        </w:rPr>
      </w:pPr>
      <w:r>
        <w:rPr>
          <w:sz w:val="18"/>
        </w:rPr>
        <w:t xml:space="preserve">the project assumptions are interrelated; or </w:t>
      </w:r>
    </w:p>
    <w:p w14:paraId="47877BB6" w14:textId="5699AAE3" w:rsidR="6B3043BF" w:rsidRPr="00B42E48" w:rsidRDefault="008E1E65" w:rsidP="00B42E48">
      <w:pPr>
        <w:pStyle w:val="Sarakstarindkopa"/>
        <w:numPr>
          <w:ilvl w:val="0"/>
          <w:numId w:val="57"/>
        </w:numPr>
        <w:ind w:left="720"/>
        <w:jc w:val="both"/>
        <w:rPr>
          <w:sz w:val="18"/>
          <w:szCs w:val="18"/>
        </w:rPr>
      </w:pPr>
      <w:r>
        <w:rPr>
          <w:sz w:val="18"/>
        </w:rPr>
        <w:t>changes in the general economic situation have a high probability of triggering certain combinations of assumptions.</w:t>
      </w:r>
    </w:p>
    <w:p w14:paraId="2CABF178" w14:textId="25DA3F30" w:rsidR="001840D0" w:rsidRDefault="6B3043BF" w:rsidP="6B3043BF">
      <w:pPr>
        <w:rPr>
          <w:sz w:val="18"/>
          <w:szCs w:val="18"/>
        </w:rPr>
        <w:sectPr w:rsidR="001840D0" w:rsidSect="00714F21">
          <w:headerReference w:type="default" r:id="rId95"/>
          <w:footerReference w:type="default" r:id="rId96"/>
          <w:footerReference w:type="first" r:id="rId97"/>
          <w:pgSz w:w="12240" w:h="15840"/>
          <w:pgMar w:top="1440" w:right="1440" w:bottom="1440" w:left="1440" w:header="720" w:footer="720" w:gutter="0"/>
          <w:pgNumType w:start="0"/>
          <w:cols w:space="720"/>
          <w:titlePg/>
          <w:docGrid w:linePitch="360"/>
        </w:sectPr>
      </w:pPr>
      <w:r>
        <w:rPr>
          <w:sz w:val="18"/>
        </w:rPr>
        <w:t>Both sensitivity and scenario analysis are useful for the public partner, providing a better understanding of the risks and potential challenges of a PPP project.</w:t>
      </w:r>
    </w:p>
    <w:p w14:paraId="41CD41E3" w14:textId="6856E7E9" w:rsidR="000D2972" w:rsidRDefault="000D2972" w:rsidP="000D2972">
      <w:pPr>
        <w:pStyle w:val="Virsraksts1"/>
        <w:rPr>
          <w:noProof/>
        </w:rPr>
      </w:pPr>
      <w:bookmarkStart w:id="190" w:name="_Pielikums_A._Izmantotie"/>
      <w:bookmarkStart w:id="191" w:name="_Pielikums_A._Shematisks"/>
      <w:bookmarkStart w:id="192" w:name="_Toc3759974"/>
      <w:bookmarkStart w:id="193" w:name="_Toc3805011"/>
      <w:bookmarkStart w:id="194" w:name="_Toc178586374"/>
      <w:bookmarkEnd w:id="190"/>
      <w:bookmarkEnd w:id="191"/>
      <w:r>
        <w:rPr>
          <w:sz w:val="26"/>
        </w:rPr>
        <w:lastRenderedPageBreak/>
        <w:t>Annex A: Schematic Representation of the Development of FEC</w:t>
      </w:r>
      <w:bookmarkEnd w:id="192"/>
      <w:bookmarkEnd w:id="193"/>
      <w:bookmarkEnd w:id="194"/>
      <w:r>
        <w:t xml:space="preserve"> </w:t>
      </w:r>
    </w:p>
    <w:p w14:paraId="741ECD2C" w14:textId="5980A945" w:rsidR="000D2972" w:rsidRDefault="00D52A77" w:rsidP="00F510E6">
      <w:pPr>
        <w:rPr>
          <w:sz w:val="26"/>
          <w:szCs w:val="26"/>
        </w:rPr>
      </w:pPr>
      <w:r w:rsidRPr="0087352B">
        <w:rPr>
          <w:noProof/>
          <w:sz w:val="26"/>
        </w:rPr>
        <mc:AlternateContent>
          <mc:Choice Requires="wps">
            <w:drawing>
              <wp:anchor distT="45720" distB="45720" distL="114300" distR="114300" simplePos="0" relativeHeight="251658410" behindDoc="0" locked="0" layoutInCell="1" allowOverlap="1" wp14:anchorId="1B0FEA88" wp14:editId="108B16C6">
                <wp:simplePos x="0" y="0"/>
                <wp:positionH relativeFrom="margin">
                  <wp:posOffset>7061200</wp:posOffset>
                </wp:positionH>
                <wp:positionV relativeFrom="paragraph">
                  <wp:posOffset>1815465</wp:posOffset>
                </wp:positionV>
                <wp:extent cx="723900" cy="552450"/>
                <wp:effectExtent l="0" t="0" r="0" b="0"/>
                <wp:wrapNone/>
                <wp:docPr id="1205127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52450"/>
                        </a:xfrm>
                        <a:prstGeom prst="rect">
                          <a:avLst/>
                        </a:prstGeom>
                        <a:solidFill>
                          <a:schemeClr val="tx1">
                            <a:lumMod val="50000"/>
                            <a:lumOff val="50000"/>
                          </a:schemeClr>
                        </a:solidFill>
                        <a:ln w="9525">
                          <a:noFill/>
                          <a:miter lim="800000"/>
                          <a:headEnd/>
                          <a:tailEnd/>
                        </a:ln>
                      </wps:spPr>
                      <wps:txbx>
                        <w:txbxContent>
                          <w:p w14:paraId="31680E9C" w14:textId="21A846DB" w:rsidR="005271F1" w:rsidRPr="005271F1" w:rsidRDefault="005271F1" w:rsidP="005271F1">
                            <w:pPr>
                              <w:jc w:val="center"/>
                              <w:rPr>
                                <w:color w:val="FFFFFF" w:themeColor="background1"/>
                                <w:sz w:val="14"/>
                                <w:szCs w:val="14"/>
                                <w:lang w:val="en-GB"/>
                              </w:rPr>
                            </w:pPr>
                            <w:r w:rsidRPr="005271F1">
                              <w:rPr>
                                <w:color w:val="FFFFFF" w:themeColor="background1"/>
                                <w:sz w:val="14"/>
                                <w:szCs w:val="14"/>
                                <w:lang w:val="en-GB"/>
                              </w:rPr>
                              <w:t xml:space="preserve">Financing </w:t>
                            </w:r>
                            <w:r w:rsidR="00D52A77">
                              <w:rPr>
                                <w:color w:val="FFFFFF" w:themeColor="background1"/>
                                <w:sz w:val="14"/>
                                <w:szCs w:val="14"/>
                                <w:lang w:val="en-GB"/>
                              </w:rPr>
                              <w:t>attracting</w:t>
                            </w:r>
                            <w:r w:rsidR="00D52A77" w:rsidRPr="005271F1">
                              <w:rPr>
                                <w:color w:val="FFFFFF" w:themeColor="background1"/>
                                <w:sz w:val="14"/>
                                <w:szCs w:val="14"/>
                                <w:lang w:val="en-GB"/>
                              </w:rPr>
                              <w:t xml:space="preserve"> </w:t>
                            </w:r>
                            <w:r w:rsidRPr="005271F1">
                              <w:rPr>
                                <w:color w:val="FFFFFF" w:themeColor="background1"/>
                                <w:sz w:val="14"/>
                                <w:szCs w:val="14"/>
                                <w:lang w:val="en-GB"/>
                              </w:rPr>
                              <w:t>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EA88" id="_x0000_s1167" type="#_x0000_t202" style="position:absolute;margin-left:556pt;margin-top:142.95pt;width:57pt;height:43.5pt;z-index:2516584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" fillcolor="gray [1629]" stroked="f">
                <v:textbox>
                  <w:txbxContent>
                    <w:p w14:paraId="31680E9C" w14:textId="21A846DB" w:rsidR="005271F1" w:rsidRPr="005271F1" w:rsidRDefault="005271F1" w:rsidP="005271F1">
                      <w:pPr>
                        <w:jc w:val="center"/>
                        <w:rPr>
                          <w:color w:val="FFFFFF" w:themeColor="background1"/>
                          <w:sz w:val="14"/>
                          <w:szCs w:val="14"/>
                          <w:lang w:val="en-GB"/>
                        </w:rPr>
                      </w:pPr>
                      <w:r w:rsidRPr="005271F1">
                        <w:rPr>
                          <w:color w:val="FFFFFF" w:themeColor="background1"/>
                          <w:sz w:val="14"/>
                          <w:szCs w:val="14"/>
                          <w:lang w:val="en-GB"/>
                        </w:rPr>
                        <w:t xml:space="preserve">Financing </w:t>
                      </w:r>
                      <w:r w:rsidR="00D52A77">
                        <w:rPr>
                          <w:color w:val="FFFFFF" w:themeColor="background1"/>
                          <w:sz w:val="14"/>
                          <w:szCs w:val="14"/>
                          <w:lang w:val="en-GB"/>
                        </w:rPr>
                        <w:t>attracting</w:t>
                      </w:r>
                      <w:r w:rsidR="00D52A77" w:rsidRPr="005271F1">
                        <w:rPr>
                          <w:color w:val="FFFFFF" w:themeColor="background1"/>
                          <w:sz w:val="14"/>
                          <w:szCs w:val="14"/>
                          <w:lang w:val="en-GB"/>
                        </w:rPr>
                        <w:t xml:space="preserve"> </w:t>
                      </w:r>
                      <w:r w:rsidRPr="005271F1">
                        <w:rPr>
                          <w:color w:val="FFFFFF" w:themeColor="background1"/>
                          <w:sz w:val="14"/>
                          <w:szCs w:val="14"/>
                          <w:lang w:val="en-GB"/>
                        </w:rPr>
                        <w:t>assessment</w:t>
                      </w:r>
                    </w:p>
                  </w:txbxContent>
                </v:textbox>
                <w10:wrap anchorx="margin"/>
              </v:shape>
            </w:pict>
          </mc:Fallback>
        </mc:AlternateContent>
      </w:r>
      <w:r w:rsidR="00A663CE" w:rsidRPr="0087352B">
        <w:rPr>
          <w:noProof/>
          <w:sz w:val="26"/>
        </w:rPr>
        <mc:AlternateContent>
          <mc:Choice Requires="wps">
            <w:drawing>
              <wp:anchor distT="45720" distB="45720" distL="114300" distR="114300" simplePos="0" relativeHeight="251658432" behindDoc="0" locked="0" layoutInCell="1" allowOverlap="1" wp14:anchorId="652D1790" wp14:editId="39283135">
                <wp:simplePos x="0" y="0"/>
                <wp:positionH relativeFrom="margin">
                  <wp:posOffset>-545630</wp:posOffset>
                </wp:positionH>
                <wp:positionV relativeFrom="paragraph">
                  <wp:posOffset>656685</wp:posOffset>
                </wp:positionV>
                <wp:extent cx="1490291" cy="332312"/>
                <wp:effectExtent l="7302" t="0" r="3493" b="3492"/>
                <wp:wrapNone/>
                <wp:docPr id="1602967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90291" cy="332312"/>
                        </a:xfrm>
                        <a:prstGeom prst="rect">
                          <a:avLst/>
                        </a:prstGeom>
                        <a:solidFill>
                          <a:schemeClr val="accent4"/>
                        </a:solidFill>
                        <a:ln w="9525">
                          <a:noFill/>
                          <a:miter lim="800000"/>
                          <a:headEnd/>
                          <a:tailEnd/>
                        </a:ln>
                      </wps:spPr>
                      <wps:txbx>
                        <w:txbxContent>
                          <w:p w14:paraId="7D6F96BA" w14:textId="3BD4FC82" w:rsidR="00A663CE" w:rsidRPr="00A663CE" w:rsidRDefault="00A663CE" w:rsidP="00A663CE">
                            <w:pPr>
                              <w:jc w:val="center"/>
                              <w:rPr>
                                <w:b/>
                                <w:bCs/>
                                <w:color w:val="FFFFFF" w:themeColor="background1"/>
                                <w:sz w:val="14"/>
                                <w:szCs w:val="14"/>
                                <w:lang w:val="lv-LV"/>
                              </w:rPr>
                            </w:pPr>
                            <w:r>
                              <w:rPr>
                                <w:b/>
                                <w:bCs/>
                                <w:color w:val="FFFFFF" w:themeColor="background1"/>
                                <w:sz w:val="14"/>
                                <w:szCs w:val="14"/>
                                <w:lang w:val="lv-LV"/>
                              </w:rPr>
                              <w:t>2. Justification of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D1790" id="_x0000_s1168" type="#_x0000_t202" style="position:absolute;margin-left:-42.95pt;margin-top:51.7pt;width:117.35pt;height:26.15pt;rotation:-90;z-index:25165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" fillcolor="#012169 [3207]" stroked="f">
                <v:textbox>
                  <w:txbxContent>
                    <w:p w14:paraId="7D6F96BA" w14:textId="3BD4FC82" w:rsidR="00A663CE" w:rsidRPr="00A663CE" w:rsidRDefault="00A663CE" w:rsidP="00A663CE">
                      <w:pPr>
                        <w:jc w:val="center"/>
                        <w:rPr>
                          <w:b/>
                          <w:bCs/>
                          <w:color w:val="FFFFFF" w:themeColor="background1"/>
                          <w:sz w:val="14"/>
                          <w:szCs w:val="14"/>
                          <w:lang w:val="lv-LV"/>
                        </w:rPr>
                      </w:pPr>
                      <w:r>
                        <w:rPr>
                          <w:b/>
                          <w:bCs/>
                          <w:color w:val="FFFFFF" w:themeColor="background1"/>
                          <w:sz w:val="14"/>
                          <w:szCs w:val="14"/>
                          <w:lang w:val="lv-LV"/>
                        </w:rPr>
                        <w:t>2. Justification of project implementation</w:t>
                      </w:r>
                    </w:p>
                  </w:txbxContent>
                </v:textbox>
                <w10:wrap anchorx="margin"/>
              </v:shape>
            </w:pict>
          </mc:Fallback>
        </mc:AlternateContent>
      </w:r>
      <w:r w:rsidR="00A663CE" w:rsidRPr="0087352B">
        <w:rPr>
          <w:noProof/>
          <w:sz w:val="26"/>
        </w:rPr>
        <mc:AlternateContent>
          <mc:Choice Requires="wps">
            <w:drawing>
              <wp:anchor distT="45720" distB="45720" distL="114300" distR="114300" simplePos="0" relativeHeight="251658431" behindDoc="0" locked="0" layoutInCell="1" allowOverlap="1" wp14:anchorId="652EFD7B" wp14:editId="014252F1">
                <wp:simplePos x="0" y="0"/>
                <wp:positionH relativeFrom="margin">
                  <wp:posOffset>-759818</wp:posOffset>
                </wp:positionH>
                <wp:positionV relativeFrom="paragraph">
                  <wp:posOffset>2463467</wp:posOffset>
                </wp:positionV>
                <wp:extent cx="1905855" cy="324926"/>
                <wp:effectExtent l="0" t="9525" r="8890" b="8890"/>
                <wp:wrapNone/>
                <wp:docPr id="1113557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05855" cy="324926"/>
                        </a:xfrm>
                        <a:prstGeom prst="rect">
                          <a:avLst/>
                        </a:prstGeom>
                        <a:solidFill>
                          <a:schemeClr val="accent2"/>
                        </a:solidFill>
                        <a:ln w="9525">
                          <a:noFill/>
                          <a:miter lim="800000"/>
                          <a:headEnd/>
                          <a:tailEnd/>
                        </a:ln>
                      </wps:spPr>
                      <wps:txbx>
                        <w:txbxContent>
                          <w:p w14:paraId="5D105172" w14:textId="303151DF" w:rsidR="00A663CE" w:rsidRPr="00A663CE" w:rsidRDefault="00A663CE" w:rsidP="00A663CE">
                            <w:pPr>
                              <w:jc w:val="center"/>
                              <w:rPr>
                                <w:b/>
                                <w:bCs/>
                                <w:color w:val="FFFFFF" w:themeColor="background1"/>
                                <w:sz w:val="14"/>
                                <w:szCs w:val="14"/>
                                <w:lang w:val="lv-LV"/>
                              </w:rPr>
                            </w:pPr>
                            <w:r>
                              <w:rPr>
                                <w:b/>
                                <w:bCs/>
                                <w:color w:val="FFFFFF" w:themeColor="background1"/>
                                <w:sz w:val="14"/>
                                <w:szCs w:val="14"/>
                                <w:lang w:val="lv-LV"/>
                              </w:rPr>
                              <w:t>3. Assessment of the project’s implementation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EFD7B" id="_x0000_s1169" type="#_x0000_t202" style="position:absolute;margin-left:-59.85pt;margin-top:193.95pt;width:150.05pt;height:25.6pt;rotation:-90;z-index:2516584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" fillcolor="#2c5234 [3205]" stroked="f">
                <v:textbox>
                  <w:txbxContent>
                    <w:p w14:paraId="5D105172" w14:textId="303151DF" w:rsidR="00A663CE" w:rsidRPr="00A663CE" w:rsidRDefault="00A663CE" w:rsidP="00A663CE">
                      <w:pPr>
                        <w:jc w:val="center"/>
                        <w:rPr>
                          <w:b/>
                          <w:bCs/>
                          <w:color w:val="FFFFFF" w:themeColor="background1"/>
                          <w:sz w:val="14"/>
                          <w:szCs w:val="14"/>
                          <w:lang w:val="lv-LV"/>
                        </w:rPr>
                      </w:pPr>
                      <w:r>
                        <w:rPr>
                          <w:b/>
                          <w:bCs/>
                          <w:color w:val="FFFFFF" w:themeColor="background1"/>
                          <w:sz w:val="14"/>
                          <w:szCs w:val="14"/>
                          <w:lang w:val="lv-LV"/>
                        </w:rPr>
                        <w:t>3. Assessment of the project’s implementation alternatives</w:t>
                      </w:r>
                    </w:p>
                  </w:txbxContent>
                </v:textbox>
                <w10:wrap anchorx="margin"/>
              </v:shape>
            </w:pict>
          </mc:Fallback>
        </mc:AlternateContent>
      </w:r>
      <w:r w:rsidR="00A663CE" w:rsidRPr="0087352B">
        <w:rPr>
          <w:noProof/>
          <w:sz w:val="26"/>
        </w:rPr>
        <mc:AlternateContent>
          <mc:Choice Requires="wps">
            <w:drawing>
              <wp:anchor distT="45720" distB="45720" distL="114300" distR="114300" simplePos="0" relativeHeight="251658430" behindDoc="0" locked="0" layoutInCell="1" allowOverlap="1" wp14:anchorId="435B375B" wp14:editId="611CFBD1">
                <wp:simplePos x="0" y="0"/>
                <wp:positionH relativeFrom="margin">
                  <wp:posOffset>-357892</wp:posOffset>
                </wp:positionH>
                <wp:positionV relativeFrom="paragraph">
                  <wp:posOffset>4455602</wp:posOffset>
                </wp:positionV>
                <wp:extent cx="1152939" cy="206734"/>
                <wp:effectExtent l="0" t="3175" r="6350" b="6350"/>
                <wp:wrapNone/>
                <wp:docPr id="717457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2939" cy="206734"/>
                        </a:xfrm>
                        <a:prstGeom prst="rect">
                          <a:avLst/>
                        </a:prstGeom>
                        <a:solidFill>
                          <a:schemeClr val="accent3"/>
                        </a:solidFill>
                        <a:ln w="9525">
                          <a:noFill/>
                          <a:miter lim="800000"/>
                          <a:headEnd/>
                          <a:tailEnd/>
                        </a:ln>
                      </wps:spPr>
                      <wps:txbx>
                        <w:txbxContent>
                          <w:p w14:paraId="47D13DDB" w14:textId="4F378E19" w:rsidR="00A663CE" w:rsidRPr="00A663CE" w:rsidRDefault="00A663CE" w:rsidP="00A663CE">
                            <w:pPr>
                              <w:jc w:val="center"/>
                              <w:rPr>
                                <w:b/>
                                <w:bCs/>
                                <w:color w:val="FFFFFF" w:themeColor="background1"/>
                                <w:sz w:val="14"/>
                                <w:szCs w:val="14"/>
                                <w:lang w:val="lv-LV"/>
                              </w:rPr>
                            </w:pPr>
                            <w:r w:rsidRPr="00A663CE">
                              <w:rPr>
                                <w:b/>
                                <w:bCs/>
                                <w:color w:val="FFFFFF" w:themeColor="background1"/>
                                <w:sz w:val="14"/>
                                <w:szCs w:val="14"/>
                                <w:lang w:val="lv-LV"/>
                              </w:rPr>
                              <w:t>4. MFV calculation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B375B" id="_x0000_s1170" type="#_x0000_t202" style="position:absolute;margin-left:-28.2pt;margin-top:350.85pt;width:90.8pt;height:16.3pt;rotation:-90;z-index:2516584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" fillcolor="#00a3e0 [3206]" stroked="f">
                <v:textbox>
                  <w:txbxContent>
                    <w:p w14:paraId="47D13DDB" w14:textId="4F378E19" w:rsidR="00A663CE" w:rsidRPr="00A663CE" w:rsidRDefault="00A663CE" w:rsidP="00A663CE">
                      <w:pPr>
                        <w:jc w:val="center"/>
                        <w:rPr>
                          <w:b/>
                          <w:bCs/>
                          <w:color w:val="FFFFFF" w:themeColor="background1"/>
                          <w:sz w:val="14"/>
                          <w:szCs w:val="14"/>
                          <w:lang w:val="lv-LV"/>
                        </w:rPr>
                      </w:pPr>
                      <w:r w:rsidRPr="00A663CE">
                        <w:rPr>
                          <w:b/>
                          <w:bCs/>
                          <w:color w:val="FFFFFF" w:themeColor="background1"/>
                          <w:sz w:val="14"/>
                          <w:szCs w:val="14"/>
                          <w:lang w:val="lv-LV"/>
                        </w:rPr>
                        <w:t>4. MFV calculation</w:t>
                      </w:r>
                    </w:p>
                  </w:txbxContent>
                </v:textbox>
                <w10:wrap anchorx="margin"/>
              </v:shape>
            </w:pict>
          </mc:Fallback>
        </mc:AlternateContent>
      </w:r>
      <w:r w:rsidR="0032643B" w:rsidRPr="0087352B">
        <w:rPr>
          <w:noProof/>
          <w:sz w:val="26"/>
        </w:rPr>
        <mc:AlternateContent>
          <mc:Choice Requires="wps">
            <w:drawing>
              <wp:anchor distT="45720" distB="45720" distL="114300" distR="114300" simplePos="0" relativeHeight="251658429" behindDoc="0" locked="0" layoutInCell="1" allowOverlap="1" wp14:anchorId="54AFF733" wp14:editId="20CAC9E4">
                <wp:simplePos x="0" y="0"/>
                <wp:positionH relativeFrom="column">
                  <wp:posOffset>7251120</wp:posOffset>
                </wp:positionH>
                <wp:positionV relativeFrom="paragraph">
                  <wp:posOffset>4217062</wp:posOffset>
                </wp:positionV>
                <wp:extent cx="842838" cy="604299"/>
                <wp:effectExtent l="0" t="0" r="0" b="5715"/>
                <wp:wrapNone/>
                <wp:docPr id="747033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 cy="604299"/>
                        </a:xfrm>
                        <a:prstGeom prst="rect">
                          <a:avLst/>
                        </a:prstGeom>
                        <a:solidFill>
                          <a:srgbClr val="FFFFFF"/>
                        </a:solidFill>
                        <a:ln w="9525">
                          <a:noFill/>
                          <a:miter lim="800000"/>
                          <a:headEnd/>
                          <a:tailEnd/>
                        </a:ln>
                      </wps:spPr>
                      <wps:txbx>
                        <w:txbxContent>
                          <w:p w14:paraId="147EF562" w14:textId="1EE6CFD3" w:rsidR="0032643B" w:rsidRPr="0032643B" w:rsidRDefault="0032643B" w:rsidP="0032643B">
                            <w:pPr>
                              <w:jc w:val="center"/>
                              <w:rPr>
                                <w:b/>
                                <w:bCs/>
                                <w:sz w:val="12"/>
                                <w:szCs w:val="12"/>
                                <w:lang w:val="en-GB"/>
                              </w:rPr>
                            </w:pPr>
                            <w:r w:rsidRPr="0032643B">
                              <w:rPr>
                                <w:b/>
                                <w:bCs/>
                                <w:sz w:val="12"/>
                                <w:szCs w:val="12"/>
                                <w:lang w:val="en-GB"/>
                              </w:rPr>
                              <w:t>Developed FEC are submitted to the CFCA and MoF for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FF733" id="_x0000_s1171" type="#_x0000_t202" style="position:absolute;margin-left:570.95pt;margin-top:332.05pt;width:66.35pt;height:47.6pt;z-index:251658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" stroked="f">
                <v:textbox>
                  <w:txbxContent>
                    <w:p w14:paraId="147EF562" w14:textId="1EE6CFD3" w:rsidR="0032643B" w:rsidRPr="0032643B" w:rsidRDefault="0032643B" w:rsidP="0032643B">
                      <w:pPr>
                        <w:jc w:val="center"/>
                        <w:rPr>
                          <w:b/>
                          <w:bCs/>
                          <w:sz w:val="12"/>
                          <w:szCs w:val="12"/>
                          <w:lang w:val="en-GB"/>
                        </w:rPr>
                      </w:pPr>
                      <w:r w:rsidRPr="0032643B">
                        <w:rPr>
                          <w:b/>
                          <w:bCs/>
                          <w:sz w:val="12"/>
                          <w:szCs w:val="12"/>
                          <w:lang w:val="en-GB"/>
                        </w:rPr>
                        <w:t>Developed FEC are submitted to the CFCA and MoF for approval</w:t>
                      </w:r>
                    </w:p>
                  </w:txbxContent>
                </v:textbox>
              </v:shape>
            </w:pict>
          </mc:Fallback>
        </mc:AlternateContent>
      </w:r>
      <w:r w:rsidR="002419FA" w:rsidRPr="0087352B">
        <w:rPr>
          <w:noProof/>
          <w:sz w:val="26"/>
        </w:rPr>
        <mc:AlternateContent>
          <mc:Choice Requires="wps">
            <w:drawing>
              <wp:anchor distT="45720" distB="45720" distL="114300" distR="114300" simplePos="0" relativeHeight="251658428" behindDoc="0" locked="0" layoutInCell="1" allowOverlap="1" wp14:anchorId="3C18C587" wp14:editId="15F72D0D">
                <wp:simplePos x="0" y="0"/>
                <wp:positionH relativeFrom="column">
                  <wp:posOffset>3768918</wp:posOffset>
                </wp:positionH>
                <wp:positionV relativeFrom="paragraph">
                  <wp:posOffset>4551155</wp:posOffset>
                </wp:positionV>
                <wp:extent cx="1828800" cy="500546"/>
                <wp:effectExtent l="0" t="0" r="0" b="0"/>
                <wp:wrapNone/>
                <wp:docPr id="1778164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0546"/>
                        </a:xfrm>
                        <a:prstGeom prst="rect">
                          <a:avLst/>
                        </a:prstGeom>
                        <a:solidFill>
                          <a:srgbClr val="FFFFFF"/>
                        </a:solidFill>
                        <a:ln w="9525">
                          <a:noFill/>
                          <a:miter lim="800000"/>
                          <a:headEnd/>
                          <a:tailEnd/>
                        </a:ln>
                      </wps:spPr>
                      <wps:txbx>
                        <w:txbxContent>
                          <w:p w14:paraId="4A4DA934" w14:textId="3D21F48B" w:rsidR="002419FA" w:rsidRPr="007F2F09" w:rsidRDefault="002419FA" w:rsidP="002419FA">
                            <w:pPr>
                              <w:jc w:val="center"/>
                              <w:rPr>
                                <w:sz w:val="12"/>
                                <w:szCs w:val="12"/>
                                <w:lang w:val="en-GB"/>
                              </w:rPr>
                            </w:pPr>
                            <w:r w:rsidRPr="002419FA">
                              <w:rPr>
                                <w:sz w:val="12"/>
                                <w:szCs w:val="12"/>
                                <w:lang w:val="en-GB"/>
                              </w:rPr>
                              <w:t>Do non-financial benefits and/or other strategic considerations justify the use of the PPP model for project</w:t>
                            </w:r>
                            <w:r>
                              <w:rPr>
                                <w:sz w:val="12"/>
                                <w:szCs w:val="12"/>
                                <w:lang w:val="en-GB"/>
                              </w:rPr>
                              <w:t xml:space="preserve"> implementation</w:t>
                            </w:r>
                            <w:r w:rsidRPr="002419FA">
                              <w:rPr>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8C587" id="_x0000_s1172" type="#_x0000_t202" style="position:absolute;margin-left:296.75pt;margin-top:358.35pt;width:2in;height:39.4pt;z-index:2516584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" stroked="f">
                <v:textbox>
                  <w:txbxContent>
                    <w:p w14:paraId="4A4DA934" w14:textId="3D21F48B" w:rsidR="002419FA" w:rsidRPr="007F2F09" w:rsidRDefault="002419FA" w:rsidP="002419FA">
                      <w:pPr>
                        <w:jc w:val="center"/>
                        <w:rPr>
                          <w:sz w:val="12"/>
                          <w:szCs w:val="12"/>
                          <w:lang w:val="en-GB"/>
                        </w:rPr>
                      </w:pPr>
                      <w:r w:rsidRPr="002419FA">
                        <w:rPr>
                          <w:sz w:val="12"/>
                          <w:szCs w:val="12"/>
                          <w:lang w:val="en-GB"/>
                        </w:rPr>
                        <w:t>Do non-financial benefits and/or other strategic considerations justify the use of the PPP model for project</w:t>
                      </w:r>
                      <w:r>
                        <w:rPr>
                          <w:sz w:val="12"/>
                          <w:szCs w:val="12"/>
                          <w:lang w:val="en-GB"/>
                        </w:rPr>
                        <w:t xml:space="preserve"> implementation</w:t>
                      </w:r>
                      <w:r w:rsidRPr="002419FA">
                        <w:rPr>
                          <w:sz w:val="12"/>
                          <w:szCs w:val="12"/>
                          <w:lang w:val="en-GB"/>
                        </w:rPr>
                        <w:t>?</w:t>
                      </w:r>
                    </w:p>
                  </w:txbxContent>
                </v:textbox>
              </v:shape>
            </w:pict>
          </mc:Fallback>
        </mc:AlternateContent>
      </w:r>
      <w:r w:rsidR="008D2275" w:rsidRPr="0087352B">
        <w:rPr>
          <w:noProof/>
          <w:sz w:val="26"/>
        </w:rPr>
        <mc:AlternateContent>
          <mc:Choice Requires="wps">
            <w:drawing>
              <wp:anchor distT="45720" distB="45720" distL="114300" distR="114300" simplePos="0" relativeHeight="251658427" behindDoc="0" locked="0" layoutInCell="1" allowOverlap="1" wp14:anchorId="380908DF" wp14:editId="4052F848">
                <wp:simplePos x="0" y="0"/>
                <wp:positionH relativeFrom="column">
                  <wp:posOffset>1725295</wp:posOffset>
                </wp:positionH>
                <wp:positionV relativeFrom="paragraph">
                  <wp:posOffset>3318455</wp:posOffset>
                </wp:positionV>
                <wp:extent cx="1932167" cy="596045"/>
                <wp:effectExtent l="0" t="0" r="0" b="0"/>
                <wp:wrapNone/>
                <wp:docPr id="1535181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596045"/>
                        </a:xfrm>
                        <a:prstGeom prst="rect">
                          <a:avLst/>
                        </a:prstGeom>
                        <a:solidFill>
                          <a:srgbClr val="FFFFFF"/>
                        </a:solidFill>
                        <a:ln w="9525">
                          <a:noFill/>
                          <a:miter lim="800000"/>
                          <a:headEnd/>
                          <a:tailEnd/>
                        </a:ln>
                      </wps:spPr>
                      <wps:txbx>
                        <w:txbxContent>
                          <w:p w14:paraId="27E37BCD" w14:textId="12E681D5" w:rsidR="008D2275" w:rsidRPr="007F2F09" w:rsidRDefault="008D2275" w:rsidP="008D2275">
                            <w:pPr>
                              <w:jc w:val="center"/>
                              <w:rPr>
                                <w:sz w:val="12"/>
                                <w:szCs w:val="12"/>
                                <w:lang w:val="en-GB"/>
                              </w:rPr>
                            </w:pPr>
                            <w:r w:rsidRPr="008D2275">
                              <w:rPr>
                                <w:sz w:val="12"/>
                                <w:szCs w:val="12"/>
                                <w:lang w:val="en-GB"/>
                              </w:rPr>
                              <w:t xml:space="preserve">Does the </w:t>
                            </w:r>
                            <w:r>
                              <w:rPr>
                                <w:sz w:val="12"/>
                                <w:szCs w:val="12"/>
                                <w:lang w:val="en-GB"/>
                              </w:rPr>
                              <w:t>p</w:t>
                            </w:r>
                            <w:r w:rsidRPr="008D2275">
                              <w:rPr>
                                <w:sz w:val="12"/>
                                <w:szCs w:val="12"/>
                                <w:lang w:val="en-GB"/>
                              </w:rPr>
                              <w:t xml:space="preserve">artnership's statistical </w:t>
                            </w:r>
                            <w:r>
                              <w:rPr>
                                <w:sz w:val="12"/>
                                <w:szCs w:val="12"/>
                                <w:lang w:val="en-GB"/>
                              </w:rPr>
                              <w:t xml:space="preserve">treatment </w:t>
                            </w:r>
                            <w:r w:rsidRPr="008D2275">
                              <w:rPr>
                                <w:sz w:val="12"/>
                                <w:szCs w:val="12"/>
                                <w:lang w:val="en-GB"/>
                              </w:rPr>
                              <w:t xml:space="preserve">assessment and risk analysis allow the project to be implemented using a PPP </w:t>
                            </w:r>
                            <w:r>
                              <w:rPr>
                                <w:sz w:val="12"/>
                                <w:szCs w:val="12"/>
                                <w:lang w:val="en-GB"/>
                              </w:rPr>
                              <w:t>arrangement</w:t>
                            </w:r>
                            <w:r w:rsidRPr="008D2275">
                              <w:rPr>
                                <w:sz w:val="12"/>
                                <w:szCs w:val="12"/>
                                <w:lang w:val="en-GB"/>
                              </w:rPr>
                              <w:t xml:space="preserve"> and model that has been previously recognised as </w:t>
                            </w:r>
                            <w:r>
                              <w:rPr>
                                <w:sz w:val="12"/>
                                <w:szCs w:val="12"/>
                                <w:lang w:val="en-GB"/>
                              </w:rPr>
                              <w:t>suitable?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08DF" id="_x0000_s1173" type="#_x0000_t202" style="position:absolute;margin-left:135.85pt;margin-top:261.3pt;width:152.15pt;height:46.95pt;z-index:251658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" stroked="f">
                <v:textbox>
                  <w:txbxContent>
                    <w:p w14:paraId="27E37BCD" w14:textId="12E681D5" w:rsidR="008D2275" w:rsidRPr="007F2F09" w:rsidRDefault="008D2275" w:rsidP="008D2275">
                      <w:pPr>
                        <w:jc w:val="center"/>
                        <w:rPr>
                          <w:sz w:val="12"/>
                          <w:szCs w:val="12"/>
                          <w:lang w:val="en-GB"/>
                        </w:rPr>
                      </w:pPr>
                      <w:r w:rsidRPr="008D2275">
                        <w:rPr>
                          <w:sz w:val="12"/>
                          <w:szCs w:val="12"/>
                          <w:lang w:val="en-GB"/>
                        </w:rPr>
                        <w:t xml:space="preserve">Does the </w:t>
                      </w:r>
                      <w:r>
                        <w:rPr>
                          <w:sz w:val="12"/>
                          <w:szCs w:val="12"/>
                          <w:lang w:val="en-GB"/>
                        </w:rPr>
                        <w:t>p</w:t>
                      </w:r>
                      <w:r w:rsidRPr="008D2275">
                        <w:rPr>
                          <w:sz w:val="12"/>
                          <w:szCs w:val="12"/>
                          <w:lang w:val="en-GB"/>
                        </w:rPr>
                        <w:t xml:space="preserve">artnership's statistical </w:t>
                      </w:r>
                      <w:r>
                        <w:rPr>
                          <w:sz w:val="12"/>
                          <w:szCs w:val="12"/>
                          <w:lang w:val="en-GB"/>
                        </w:rPr>
                        <w:t xml:space="preserve">treatment </w:t>
                      </w:r>
                      <w:r w:rsidRPr="008D2275">
                        <w:rPr>
                          <w:sz w:val="12"/>
                          <w:szCs w:val="12"/>
                          <w:lang w:val="en-GB"/>
                        </w:rPr>
                        <w:t xml:space="preserve">assessment and risk analysis allow the project to be implemented using a PPP </w:t>
                      </w:r>
                      <w:r>
                        <w:rPr>
                          <w:sz w:val="12"/>
                          <w:szCs w:val="12"/>
                          <w:lang w:val="en-GB"/>
                        </w:rPr>
                        <w:t>arrangement</w:t>
                      </w:r>
                      <w:r w:rsidRPr="008D2275">
                        <w:rPr>
                          <w:sz w:val="12"/>
                          <w:szCs w:val="12"/>
                          <w:lang w:val="en-GB"/>
                        </w:rPr>
                        <w:t xml:space="preserve"> and model that has been previously recognised as </w:t>
                      </w:r>
                      <w:r>
                        <w:rPr>
                          <w:sz w:val="12"/>
                          <w:szCs w:val="12"/>
                          <w:lang w:val="en-GB"/>
                        </w:rPr>
                        <w:t>suitable?</w:t>
                      </w:r>
                    </w:p>
                  </w:txbxContent>
                </v:textbox>
              </v:shape>
            </w:pict>
          </mc:Fallback>
        </mc:AlternateContent>
      </w:r>
      <w:r w:rsidR="009F12AD" w:rsidRPr="0087352B">
        <w:rPr>
          <w:noProof/>
          <w:sz w:val="26"/>
        </w:rPr>
        <mc:AlternateContent>
          <mc:Choice Requires="wps">
            <w:drawing>
              <wp:anchor distT="45720" distB="45720" distL="114300" distR="114300" simplePos="0" relativeHeight="251658426" behindDoc="0" locked="0" layoutInCell="1" allowOverlap="1" wp14:anchorId="2DD6F984" wp14:editId="49EBD180">
                <wp:simplePos x="0" y="0"/>
                <wp:positionH relativeFrom="column">
                  <wp:posOffset>5350621</wp:posOffset>
                </wp:positionH>
                <wp:positionV relativeFrom="paragraph">
                  <wp:posOffset>3366024</wp:posOffset>
                </wp:positionV>
                <wp:extent cx="1073426" cy="492980"/>
                <wp:effectExtent l="0" t="0" r="0" b="2540"/>
                <wp:wrapNone/>
                <wp:docPr id="797528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92980"/>
                        </a:xfrm>
                        <a:prstGeom prst="rect">
                          <a:avLst/>
                        </a:prstGeom>
                        <a:solidFill>
                          <a:srgbClr val="FFFFFF"/>
                        </a:solidFill>
                        <a:ln w="9525">
                          <a:noFill/>
                          <a:miter lim="800000"/>
                          <a:headEnd/>
                          <a:tailEnd/>
                        </a:ln>
                      </wps:spPr>
                      <wps:txbx>
                        <w:txbxContent>
                          <w:p w14:paraId="51BEB65A" w14:textId="5CCBE766" w:rsidR="009F12AD" w:rsidRPr="009F12AD" w:rsidRDefault="009F12AD" w:rsidP="009F12AD">
                            <w:pPr>
                              <w:jc w:val="center"/>
                              <w:rPr>
                                <w:sz w:val="12"/>
                                <w:szCs w:val="12"/>
                                <w:lang w:val="en-GB"/>
                              </w:rPr>
                            </w:pPr>
                            <w:r w:rsidRPr="009F12AD">
                              <w:rPr>
                                <w:sz w:val="12"/>
                                <w:szCs w:val="12"/>
                                <w:lang w:val="en-GB"/>
                              </w:rPr>
                              <w:t>Does the VFM of the PPP model exceed the VFM of the Baseline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6F984" id="_x0000_s1174" type="#_x0000_t202" style="position:absolute;margin-left:421.3pt;margin-top:265.05pt;width:84.5pt;height:38.8pt;z-index:25165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" stroked="f">
                <v:textbox>
                  <w:txbxContent>
                    <w:p w14:paraId="51BEB65A" w14:textId="5CCBE766" w:rsidR="009F12AD" w:rsidRPr="009F12AD" w:rsidRDefault="009F12AD" w:rsidP="009F12AD">
                      <w:pPr>
                        <w:jc w:val="center"/>
                        <w:rPr>
                          <w:sz w:val="12"/>
                          <w:szCs w:val="12"/>
                          <w:lang w:val="en-GB"/>
                        </w:rPr>
                      </w:pPr>
                      <w:r w:rsidRPr="009F12AD">
                        <w:rPr>
                          <w:sz w:val="12"/>
                          <w:szCs w:val="12"/>
                          <w:lang w:val="en-GB"/>
                        </w:rPr>
                        <w:t>Does the VFM of the PPP model exceed the VFM of the Baseline Model?</w:t>
                      </w:r>
                    </w:p>
                  </w:txbxContent>
                </v:textbox>
              </v:shape>
            </w:pict>
          </mc:Fallback>
        </mc:AlternateContent>
      </w:r>
      <w:r w:rsidR="00A566FC" w:rsidRPr="0087352B">
        <w:rPr>
          <w:noProof/>
          <w:sz w:val="26"/>
        </w:rPr>
        <mc:AlternateContent>
          <mc:Choice Requires="wps">
            <w:drawing>
              <wp:anchor distT="45720" distB="45720" distL="114300" distR="114300" simplePos="0" relativeHeight="251658425" behindDoc="0" locked="0" layoutInCell="1" allowOverlap="1" wp14:anchorId="412A5847" wp14:editId="427CAEA3">
                <wp:simplePos x="0" y="0"/>
                <wp:positionH relativeFrom="column">
                  <wp:posOffset>4563469</wp:posOffset>
                </wp:positionH>
                <wp:positionV relativeFrom="paragraph">
                  <wp:posOffset>2920724</wp:posOffset>
                </wp:positionV>
                <wp:extent cx="2647784" cy="333955"/>
                <wp:effectExtent l="0" t="0" r="635" b="9525"/>
                <wp:wrapNone/>
                <wp:docPr id="990243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784" cy="333955"/>
                        </a:xfrm>
                        <a:prstGeom prst="rect">
                          <a:avLst/>
                        </a:prstGeom>
                        <a:solidFill>
                          <a:srgbClr val="FFFFFF"/>
                        </a:solidFill>
                        <a:ln w="9525">
                          <a:noFill/>
                          <a:miter lim="800000"/>
                          <a:headEnd/>
                          <a:tailEnd/>
                        </a:ln>
                      </wps:spPr>
                      <wps:txbx>
                        <w:txbxContent>
                          <w:p w14:paraId="47619992" w14:textId="77777777" w:rsidR="00A566FC" w:rsidRPr="007F2F09" w:rsidRDefault="00A566FC" w:rsidP="00A566FC">
                            <w:pPr>
                              <w:jc w:val="center"/>
                              <w:rPr>
                                <w:sz w:val="12"/>
                                <w:szCs w:val="12"/>
                                <w:lang w:val="en-GB"/>
                              </w:rPr>
                            </w:pPr>
                            <w:r w:rsidRPr="00076B39">
                              <w:rPr>
                                <w:sz w:val="12"/>
                                <w:szCs w:val="12"/>
                                <w:lang w:val="en-GB"/>
                              </w:rPr>
                              <w:t xml:space="preserve">Are any of the identified PPP </w:t>
                            </w:r>
                            <w:r>
                              <w:rPr>
                                <w:sz w:val="12"/>
                                <w:szCs w:val="12"/>
                                <w:lang w:val="en-GB"/>
                              </w:rPr>
                              <w:t>arrangements</w:t>
                            </w:r>
                            <w:r w:rsidRPr="00076B39">
                              <w:rPr>
                                <w:sz w:val="12"/>
                                <w:szCs w:val="12"/>
                                <w:lang w:val="en-GB"/>
                              </w:rPr>
                              <w:t xml:space="preserve"> and models still suitable for</w:t>
                            </w:r>
                            <w:r>
                              <w:rPr>
                                <w:sz w:val="12"/>
                                <w:szCs w:val="12"/>
                                <w:lang w:val="en-GB"/>
                              </w:rPr>
                              <w:t xml:space="preserve"> </w:t>
                            </w:r>
                            <w:r w:rsidRPr="00076B39">
                              <w:rPr>
                                <w:sz w:val="12"/>
                                <w:szCs w:val="12"/>
                                <w:lang w:val="en-GB"/>
                              </w:rPr>
                              <w:t>project</w:t>
                            </w:r>
                            <w:r>
                              <w:rPr>
                                <w:sz w:val="12"/>
                                <w:szCs w:val="12"/>
                                <w:lang w:val="en-GB"/>
                              </w:rPr>
                              <w:t xml:space="preserve"> implementation</w:t>
                            </w:r>
                            <w:r w:rsidRPr="00076B39">
                              <w:rPr>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A5847" id="_x0000_s1175" type="#_x0000_t202" style="position:absolute;margin-left:359.35pt;margin-top:230pt;width:208.5pt;height:26.3pt;z-index:25165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" stroked="f">
                <v:textbox>
                  <w:txbxContent>
                    <w:p w14:paraId="47619992" w14:textId="77777777" w:rsidR="00A566FC" w:rsidRPr="007F2F09" w:rsidRDefault="00A566FC" w:rsidP="00A566FC">
                      <w:pPr>
                        <w:jc w:val="center"/>
                        <w:rPr>
                          <w:sz w:val="12"/>
                          <w:szCs w:val="12"/>
                          <w:lang w:val="en-GB"/>
                        </w:rPr>
                      </w:pPr>
                      <w:r w:rsidRPr="00076B39">
                        <w:rPr>
                          <w:sz w:val="12"/>
                          <w:szCs w:val="12"/>
                          <w:lang w:val="en-GB"/>
                        </w:rPr>
                        <w:t xml:space="preserve">Are any of the identified PPP </w:t>
                      </w:r>
                      <w:r>
                        <w:rPr>
                          <w:sz w:val="12"/>
                          <w:szCs w:val="12"/>
                          <w:lang w:val="en-GB"/>
                        </w:rPr>
                        <w:t>arrangements</w:t>
                      </w:r>
                      <w:r w:rsidRPr="00076B39">
                        <w:rPr>
                          <w:sz w:val="12"/>
                          <w:szCs w:val="12"/>
                          <w:lang w:val="en-GB"/>
                        </w:rPr>
                        <w:t xml:space="preserve"> and models still suitable for</w:t>
                      </w:r>
                      <w:r>
                        <w:rPr>
                          <w:sz w:val="12"/>
                          <w:szCs w:val="12"/>
                          <w:lang w:val="en-GB"/>
                        </w:rPr>
                        <w:t xml:space="preserve"> </w:t>
                      </w:r>
                      <w:r w:rsidRPr="00076B39">
                        <w:rPr>
                          <w:sz w:val="12"/>
                          <w:szCs w:val="12"/>
                          <w:lang w:val="en-GB"/>
                        </w:rPr>
                        <w:t>project</w:t>
                      </w:r>
                      <w:r>
                        <w:rPr>
                          <w:sz w:val="12"/>
                          <w:szCs w:val="12"/>
                          <w:lang w:val="en-GB"/>
                        </w:rPr>
                        <w:t xml:space="preserve"> implementation</w:t>
                      </w:r>
                      <w:r w:rsidRPr="00076B39">
                        <w:rPr>
                          <w:sz w:val="12"/>
                          <w:szCs w:val="12"/>
                          <w:lang w:val="en-GB"/>
                        </w:rPr>
                        <w:t>?</w:t>
                      </w:r>
                    </w:p>
                  </w:txbxContent>
                </v:textbox>
              </v:shape>
            </w:pict>
          </mc:Fallback>
        </mc:AlternateContent>
      </w:r>
      <w:r w:rsidR="00057802" w:rsidRPr="0087352B">
        <w:rPr>
          <w:noProof/>
          <w:sz w:val="26"/>
        </w:rPr>
        <mc:AlternateContent>
          <mc:Choice Requires="wps">
            <w:drawing>
              <wp:anchor distT="45720" distB="45720" distL="114300" distR="114300" simplePos="0" relativeHeight="251658424" behindDoc="0" locked="0" layoutInCell="1" allowOverlap="1" wp14:anchorId="6D316DFB" wp14:editId="40DA3F68">
                <wp:simplePos x="0" y="0"/>
                <wp:positionH relativeFrom="column">
                  <wp:posOffset>1535374</wp:posOffset>
                </wp:positionH>
                <wp:positionV relativeFrom="paragraph">
                  <wp:posOffset>4464630</wp:posOffset>
                </wp:positionV>
                <wp:extent cx="1073426" cy="588396"/>
                <wp:effectExtent l="0" t="0" r="0" b="2540"/>
                <wp:wrapNone/>
                <wp:docPr id="840166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588396"/>
                        </a:xfrm>
                        <a:prstGeom prst="rect">
                          <a:avLst/>
                        </a:prstGeom>
                        <a:solidFill>
                          <a:srgbClr val="FFFFFF"/>
                        </a:solidFill>
                        <a:ln w="9525">
                          <a:noFill/>
                          <a:miter lim="800000"/>
                          <a:headEnd/>
                          <a:tailEnd/>
                        </a:ln>
                      </wps:spPr>
                      <wps:txbx>
                        <w:txbxContent>
                          <w:p w14:paraId="3BC25D31"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16DFB" id="_x0000_s1176" type="#_x0000_t202" style="position:absolute;margin-left:120.9pt;margin-top:351.55pt;width:84.5pt;height:46.35pt;z-index:251658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" stroked="f">
                <v:textbox>
                  <w:txbxContent>
                    <w:p w14:paraId="3BC25D31"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v:textbox>
              </v:shape>
            </w:pict>
          </mc:Fallback>
        </mc:AlternateContent>
      </w:r>
      <w:r w:rsidR="00057802" w:rsidRPr="0087352B">
        <w:rPr>
          <w:noProof/>
          <w:sz w:val="26"/>
        </w:rPr>
        <mc:AlternateContent>
          <mc:Choice Requires="wps">
            <w:drawing>
              <wp:anchor distT="45720" distB="45720" distL="114300" distR="114300" simplePos="0" relativeHeight="251658423" behindDoc="0" locked="0" layoutInCell="1" allowOverlap="1" wp14:anchorId="64FAD809" wp14:editId="219066BE">
                <wp:simplePos x="0" y="0"/>
                <wp:positionH relativeFrom="column">
                  <wp:posOffset>5988326</wp:posOffset>
                </wp:positionH>
                <wp:positionV relativeFrom="paragraph">
                  <wp:posOffset>5073732</wp:posOffset>
                </wp:positionV>
                <wp:extent cx="1073426" cy="588396"/>
                <wp:effectExtent l="0" t="0" r="0" b="2540"/>
                <wp:wrapNone/>
                <wp:docPr id="1203199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588396"/>
                        </a:xfrm>
                        <a:prstGeom prst="rect">
                          <a:avLst/>
                        </a:prstGeom>
                        <a:solidFill>
                          <a:srgbClr val="FFFFFF"/>
                        </a:solidFill>
                        <a:ln w="9525">
                          <a:noFill/>
                          <a:miter lim="800000"/>
                          <a:headEnd/>
                          <a:tailEnd/>
                        </a:ln>
                      </wps:spPr>
                      <wps:txbx>
                        <w:txbxContent>
                          <w:p w14:paraId="672BB063"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AD809" id="_x0000_s1177" type="#_x0000_t202" style="position:absolute;margin-left:471.5pt;margin-top:399.5pt;width:84.5pt;height:46.35pt;z-index:251658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" stroked="f">
                <v:textbox>
                  <w:txbxContent>
                    <w:p w14:paraId="672BB063"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v:textbox>
              </v:shape>
            </w:pict>
          </mc:Fallback>
        </mc:AlternateContent>
      </w:r>
      <w:r w:rsidR="00057802" w:rsidRPr="0087352B">
        <w:rPr>
          <w:noProof/>
          <w:sz w:val="26"/>
        </w:rPr>
        <mc:AlternateContent>
          <mc:Choice Requires="wps">
            <w:drawing>
              <wp:anchor distT="45720" distB="45720" distL="114300" distR="114300" simplePos="0" relativeHeight="251658422" behindDoc="0" locked="0" layoutInCell="1" allowOverlap="1" wp14:anchorId="6965BF1D" wp14:editId="7CC686BB">
                <wp:simplePos x="0" y="0"/>
                <wp:positionH relativeFrom="column">
                  <wp:posOffset>6751431</wp:posOffset>
                </wp:positionH>
                <wp:positionV relativeFrom="paragraph">
                  <wp:posOffset>3463042</wp:posOffset>
                </wp:positionV>
                <wp:extent cx="1073426" cy="588396"/>
                <wp:effectExtent l="0" t="0" r="0" b="2540"/>
                <wp:wrapNone/>
                <wp:docPr id="2030835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588396"/>
                        </a:xfrm>
                        <a:prstGeom prst="rect">
                          <a:avLst/>
                        </a:prstGeom>
                        <a:solidFill>
                          <a:srgbClr val="FFFFFF"/>
                        </a:solidFill>
                        <a:ln w="9525">
                          <a:noFill/>
                          <a:miter lim="800000"/>
                          <a:headEnd/>
                          <a:tailEnd/>
                        </a:ln>
                      </wps:spPr>
                      <wps:txbx>
                        <w:txbxContent>
                          <w:p w14:paraId="41701A59"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5BF1D" id="_x0000_s1178" type="#_x0000_t202" style="position:absolute;margin-left:531.6pt;margin-top:272.7pt;width:84.5pt;height:46.35pt;z-index:251658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" stroked="f">
                <v:textbox>
                  <w:txbxContent>
                    <w:p w14:paraId="41701A59"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v:textbox>
              </v:shape>
            </w:pict>
          </mc:Fallback>
        </mc:AlternateContent>
      </w:r>
      <w:r w:rsidR="00057802" w:rsidRPr="0087352B">
        <w:rPr>
          <w:noProof/>
          <w:sz w:val="26"/>
        </w:rPr>
        <mc:AlternateContent>
          <mc:Choice Requires="wps">
            <w:drawing>
              <wp:anchor distT="45720" distB="45720" distL="114300" distR="114300" simplePos="0" relativeHeight="251658421" behindDoc="0" locked="0" layoutInCell="1" allowOverlap="1" wp14:anchorId="626A31BB" wp14:editId="7BE2A8BB">
                <wp:simplePos x="0" y="0"/>
                <wp:positionH relativeFrom="column">
                  <wp:posOffset>5073677</wp:posOffset>
                </wp:positionH>
                <wp:positionV relativeFrom="paragraph">
                  <wp:posOffset>2357396</wp:posOffset>
                </wp:positionV>
                <wp:extent cx="1073426" cy="588396"/>
                <wp:effectExtent l="0" t="0" r="0" b="2540"/>
                <wp:wrapNone/>
                <wp:docPr id="1564570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588396"/>
                        </a:xfrm>
                        <a:prstGeom prst="rect">
                          <a:avLst/>
                        </a:prstGeom>
                        <a:solidFill>
                          <a:srgbClr val="FFFFFF"/>
                        </a:solidFill>
                        <a:ln w="9525">
                          <a:noFill/>
                          <a:miter lim="800000"/>
                          <a:headEnd/>
                          <a:tailEnd/>
                        </a:ln>
                      </wps:spPr>
                      <wps:txbx>
                        <w:txbxContent>
                          <w:p w14:paraId="71CCFBC1"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A31BB" id="_x0000_s1179" type="#_x0000_t202" style="position:absolute;margin-left:399.5pt;margin-top:185.6pt;width:84.5pt;height:46.35pt;z-index:251658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" stroked="f">
                <v:textbox>
                  <w:txbxContent>
                    <w:p w14:paraId="71CCFBC1" w14:textId="77777777" w:rsidR="00057802" w:rsidRPr="007F2F09" w:rsidRDefault="00057802" w:rsidP="00057802">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v:textbox>
              </v:shape>
            </w:pict>
          </mc:Fallback>
        </mc:AlternateContent>
      </w:r>
      <w:r w:rsidR="003254D7" w:rsidRPr="0087352B">
        <w:rPr>
          <w:noProof/>
          <w:sz w:val="26"/>
        </w:rPr>
        <mc:AlternateContent>
          <mc:Choice Requires="wps">
            <w:drawing>
              <wp:anchor distT="45720" distB="45720" distL="114300" distR="114300" simplePos="0" relativeHeight="251658420" behindDoc="0" locked="0" layoutInCell="1" allowOverlap="1" wp14:anchorId="25061D46" wp14:editId="6E9EA6B1">
                <wp:simplePos x="0" y="0"/>
                <wp:positionH relativeFrom="column">
                  <wp:posOffset>3865107</wp:posOffset>
                </wp:positionH>
                <wp:positionV relativeFrom="paragraph">
                  <wp:posOffset>2246188</wp:posOffset>
                </wp:positionV>
                <wp:extent cx="842838" cy="413468"/>
                <wp:effectExtent l="0" t="0" r="0" b="5715"/>
                <wp:wrapNone/>
                <wp:docPr id="1323403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 cy="413468"/>
                        </a:xfrm>
                        <a:prstGeom prst="rect">
                          <a:avLst/>
                        </a:prstGeom>
                        <a:solidFill>
                          <a:srgbClr val="FFFFFF"/>
                        </a:solidFill>
                        <a:ln w="9525">
                          <a:noFill/>
                          <a:miter lim="800000"/>
                          <a:headEnd/>
                          <a:tailEnd/>
                        </a:ln>
                      </wps:spPr>
                      <wps:txbx>
                        <w:txbxContent>
                          <w:p w14:paraId="70020E8F" w14:textId="2EDDE5D2" w:rsidR="003254D7" w:rsidRPr="003254D7" w:rsidRDefault="003254D7" w:rsidP="003254D7">
                            <w:pPr>
                              <w:jc w:val="center"/>
                              <w:rPr>
                                <w:b/>
                                <w:bCs/>
                                <w:sz w:val="12"/>
                                <w:szCs w:val="12"/>
                                <w:lang w:val="lv-LV"/>
                              </w:rPr>
                            </w:pPr>
                            <w:r w:rsidRPr="003254D7">
                              <w:rPr>
                                <w:b/>
                                <w:bCs/>
                                <w:sz w:val="12"/>
                                <w:szCs w:val="12"/>
                                <w:lang w:val="lv-LV"/>
                              </w:rPr>
                              <w:t>Start preparation of FEC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61D46" id="_x0000_s1180" type="#_x0000_t202" style="position:absolute;margin-left:304.35pt;margin-top:176.85pt;width:66.35pt;height:32.55pt;z-index:25165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" stroked="f">
                <v:textbox>
                  <w:txbxContent>
                    <w:p w14:paraId="70020E8F" w14:textId="2EDDE5D2" w:rsidR="003254D7" w:rsidRPr="003254D7" w:rsidRDefault="003254D7" w:rsidP="003254D7">
                      <w:pPr>
                        <w:jc w:val="center"/>
                        <w:rPr>
                          <w:b/>
                          <w:bCs/>
                          <w:sz w:val="12"/>
                          <w:szCs w:val="12"/>
                          <w:lang w:val="lv-LV"/>
                        </w:rPr>
                      </w:pPr>
                      <w:r w:rsidRPr="003254D7">
                        <w:rPr>
                          <w:b/>
                          <w:bCs/>
                          <w:sz w:val="12"/>
                          <w:szCs w:val="12"/>
                          <w:lang w:val="lv-LV"/>
                        </w:rPr>
                        <w:t>Start preparation of FEC</w:t>
                      </w:r>
                    </w:p>
                  </w:txbxContent>
                </v:textbox>
              </v:shape>
            </w:pict>
          </mc:Fallback>
        </mc:AlternateContent>
      </w:r>
      <w:r w:rsidR="00FE5E0B" w:rsidRPr="0087352B">
        <w:rPr>
          <w:noProof/>
          <w:sz w:val="26"/>
        </w:rPr>
        <mc:AlternateContent>
          <mc:Choice Requires="wps">
            <w:drawing>
              <wp:anchor distT="45720" distB="45720" distL="114300" distR="114300" simplePos="0" relativeHeight="251658419" behindDoc="0" locked="0" layoutInCell="1" allowOverlap="1" wp14:anchorId="00375D4E" wp14:editId="3B86600C">
                <wp:simplePos x="0" y="0"/>
                <wp:positionH relativeFrom="column">
                  <wp:posOffset>516835</wp:posOffset>
                </wp:positionH>
                <wp:positionV relativeFrom="paragraph">
                  <wp:posOffset>2412256</wp:posOffset>
                </wp:positionV>
                <wp:extent cx="1073426" cy="588396"/>
                <wp:effectExtent l="0" t="0" r="0" b="2540"/>
                <wp:wrapNone/>
                <wp:docPr id="639088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588396"/>
                        </a:xfrm>
                        <a:prstGeom prst="rect">
                          <a:avLst/>
                        </a:prstGeom>
                        <a:solidFill>
                          <a:srgbClr val="FFFFFF"/>
                        </a:solidFill>
                        <a:ln w="9525">
                          <a:noFill/>
                          <a:miter lim="800000"/>
                          <a:headEnd/>
                          <a:tailEnd/>
                        </a:ln>
                      </wps:spPr>
                      <wps:txbx>
                        <w:txbxContent>
                          <w:p w14:paraId="12E888AC" w14:textId="76505ACE" w:rsidR="00FE5E0B" w:rsidRPr="007F2F09" w:rsidRDefault="00FE5E0B" w:rsidP="00FE5E0B">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75D4E" id="_x0000_s1181" type="#_x0000_t202" style="position:absolute;margin-left:40.7pt;margin-top:189.95pt;width:84.5pt;height:46.35pt;z-index:251658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" stroked="f">
                <v:textbox>
                  <w:txbxContent>
                    <w:p w14:paraId="12E888AC" w14:textId="76505ACE" w:rsidR="00FE5E0B" w:rsidRPr="007F2F09" w:rsidRDefault="00FE5E0B" w:rsidP="00FE5E0B">
                      <w:pPr>
                        <w:jc w:val="center"/>
                        <w:rPr>
                          <w:sz w:val="12"/>
                          <w:szCs w:val="12"/>
                          <w:lang w:val="en-GB"/>
                        </w:rPr>
                      </w:pPr>
                      <w:r w:rsidRPr="00FE5E0B">
                        <w:rPr>
                          <w:sz w:val="12"/>
                          <w:szCs w:val="12"/>
                          <w:lang w:val="en-GB"/>
                        </w:rPr>
                        <w:t xml:space="preserve">The PPP </w:t>
                      </w:r>
                      <w:r>
                        <w:rPr>
                          <w:sz w:val="12"/>
                          <w:szCs w:val="12"/>
                          <w:lang w:val="en-GB"/>
                        </w:rPr>
                        <w:t xml:space="preserve">arrangement </w:t>
                      </w:r>
                      <w:r w:rsidRPr="00FE5E0B">
                        <w:rPr>
                          <w:sz w:val="12"/>
                          <w:szCs w:val="12"/>
                          <w:lang w:val="en-GB"/>
                        </w:rPr>
                        <w:t>is found</w:t>
                      </w:r>
                      <w:r>
                        <w:rPr>
                          <w:sz w:val="12"/>
                          <w:szCs w:val="12"/>
                          <w:lang w:val="en-GB"/>
                        </w:rPr>
                        <w:t xml:space="preserve"> not</w:t>
                      </w:r>
                      <w:r w:rsidRPr="00FE5E0B">
                        <w:rPr>
                          <w:sz w:val="12"/>
                          <w:szCs w:val="12"/>
                          <w:lang w:val="en-GB"/>
                        </w:rPr>
                        <w:t xml:space="preserve"> to be </w:t>
                      </w:r>
                      <w:r>
                        <w:rPr>
                          <w:sz w:val="12"/>
                          <w:szCs w:val="12"/>
                          <w:lang w:val="en-GB"/>
                        </w:rPr>
                        <w:t>suitable</w:t>
                      </w:r>
                      <w:r w:rsidRPr="00FE5E0B">
                        <w:rPr>
                          <w:sz w:val="12"/>
                          <w:szCs w:val="12"/>
                          <w:lang w:val="en-GB"/>
                        </w:rPr>
                        <w:t xml:space="preserve"> or the project conditions need to be revised</w:t>
                      </w:r>
                    </w:p>
                  </w:txbxContent>
                </v:textbox>
              </v:shape>
            </w:pict>
          </mc:Fallback>
        </mc:AlternateContent>
      </w:r>
      <w:r w:rsidR="00BB3B4E" w:rsidRPr="0087352B">
        <w:rPr>
          <w:noProof/>
          <w:sz w:val="26"/>
        </w:rPr>
        <mc:AlternateContent>
          <mc:Choice Requires="wps">
            <w:drawing>
              <wp:anchor distT="45720" distB="45720" distL="114300" distR="114300" simplePos="0" relativeHeight="251658418" behindDoc="0" locked="0" layoutInCell="1" allowOverlap="1" wp14:anchorId="1E55885A" wp14:editId="7BF9FD4A">
                <wp:simplePos x="0" y="0"/>
                <wp:positionH relativeFrom="column">
                  <wp:posOffset>986431</wp:posOffset>
                </wp:positionH>
                <wp:positionV relativeFrom="paragraph">
                  <wp:posOffset>1387281</wp:posOffset>
                </wp:positionV>
                <wp:extent cx="1391479" cy="484946"/>
                <wp:effectExtent l="0" t="0" r="0" b="0"/>
                <wp:wrapNone/>
                <wp:docPr id="1665100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9" cy="484946"/>
                        </a:xfrm>
                        <a:prstGeom prst="rect">
                          <a:avLst/>
                        </a:prstGeom>
                        <a:solidFill>
                          <a:srgbClr val="FFFFFF"/>
                        </a:solidFill>
                        <a:ln w="9525">
                          <a:noFill/>
                          <a:miter lim="800000"/>
                          <a:headEnd/>
                          <a:tailEnd/>
                        </a:ln>
                      </wps:spPr>
                      <wps:txbx>
                        <w:txbxContent>
                          <w:p w14:paraId="4C3BDEAF" w14:textId="478E1640" w:rsidR="00BB3B4E" w:rsidRPr="007F2F09" w:rsidRDefault="00BB3B4E" w:rsidP="00BB3B4E">
                            <w:pPr>
                              <w:jc w:val="center"/>
                              <w:rPr>
                                <w:sz w:val="12"/>
                                <w:szCs w:val="12"/>
                                <w:lang w:val="en-GB"/>
                              </w:rPr>
                            </w:pPr>
                            <w:r w:rsidRPr="00BB3B4E">
                              <w:rPr>
                                <w:sz w:val="12"/>
                                <w:szCs w:val="12"/>
                                <w:lang w:val="en-GB"/>
                              </w:rPr>
                              <w:t xml:space="preserve">Have one or more suitable PPP </w:t>
                            </w:r>
                            <w:r>
                              <w:rPr>
                                <w:sz w:val="12"/>
                                <w:szCs w:val="12"/>
                                <w:lang w:val="en-GB"/>
                              </w:rPr>
                              <w:t>arrangements</w:t>
                            </w:r>
                            <w:r w:rsidRPr="00BB3B4E">
                              <w:rPr>
                                <w:sz w:val="12"/>
                                <w:szCs w:val="12"/>
                                <w:lang w:val="en-GB"/>
                              </w:rPr>
                              <w:t xml:space="preserve"> and models been identified for project</w:t>
                            </w:r>
                            <w:r>
                              <w:rPr>
                                <w:sz w:val="12"/>
                                <w:szCs w:val="12"/>
                                <w:lang w:val="en-GB"/>
                              </w:rPr>
                              <w:t xml:space="preserve"> implementation</w:t>
                            </w:r>
                            <w:r w:rsidRPr="00BB3B4E">
                              <w:rPr>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5885A" id="_x0000_s1182" type="#_x0000_t202" style="position:absolute;margin-left:77.65pt;margin-top:109.25pt;width:109.55pt;height:38.2pt;z-index:2516584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kYaEgIAAP8DAAAOAAAAZHJzL2Uyb0RvYy54bWysU9tu2zAMfR+wfxD0vjjJkjYx4hRdugwD&#10;ugvQ7QNkWY6FyaJGKbG7ry8lu2m2vQ3zg0Ca1CF5eLS56VvDTgq9Blvw2WTKmbISKm0PBf/+bf9m&#10;x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" stroked="f">
                <v:textbox>
                  <w:txbxContent>
                    <w:p w14:paraId="4C3BDEAF" w14:textId="478E1640" w:rsidR="00BB3B4E" w:rsidRPr="007F2F09" w:rsidRDefault="00BB3B4E" w:rsidP="00BB3B4E">
                      <w:pPr>
                        <w:jc w:val="center"/>
                        <w:rPr>
                          <w:sz w:val="12"/>
                          <w:szCs w:val="12"/>
                          <w:lang w:val="en-GB"/>
                        </w:rPr>
                      </w:pPr>
                      <w:r w:rsidRPr="00BB3B4E">
                        <w:rPr>
                          <w:sz w:val="12"/>
                          <w:szCs w:val="12"/>
                          <w:lang w:val="en-GB"/>
                        </w:rPr>
                        <w:t xml:space="preserve">Have one or more suitable PPP </w:t>
                      </w:r>
                      <w:r>
                        <w:rPr>
                          <w:sz w:val="12"/>
                          <w:szCs w:val="12"/>
                          <w:lang w:val="en-GB"/>
                        </w:rPr>
                        <w:t>arrangements</w:t>
                      </w:r>
                      <w:r w:rsidRPr="00BB3B4E">
                        <w:rPr>
                          <w:sz w:val="12"/>
                          <w:szCs w:val="12"/>
                          <w:lang w:val="en-GB"/>
                        </w:rPr>
                        <w:t xml:space="preserve"> and models been identified for project</w:t>
                      </w:r>
                      <w:r>
                        <w:rPr>
                          <w:sz w:val="12"/>
                          <w:szCs w:val="12"/>
                          <w:lang w:val="en-GB"/>
                        </w:rPr>
                        <w:t xml:space="preserve"> implementation</w:t>
                      </w:r>
                      <w:r w:rsidRPr="00BB3B4E">
                        <w:rPr>
                          <w:sz w:val="12"/>
                          <w:szCs w:val="12"/>
                          <w:lang w:val="en-GB"/>
                        </w:rPr>
                        <w:t>?</w:t>
                      </w:r>
                    </w:p>
                  </w:txbxContent>
                </v:textbox>
              </v:shape>
            </w:pict>
          </mc:Fallback>
        </mc:AlternateContent>
      </w:r>
      <w:r w:rsidR="00192158" w:rsidRPr="0087352B">
        <w:rPr>
          <w:noProof/>
          <w:sz w:val="26"/>
        </w:rPr>
        <mc:AlternateContent>
          <mc:Choice Requires="wps">
            <w:drawing>
              <wp:anchor distT="45720" distB="45720" distL="114300" distR="114300" simplePos="0" relativeHeight="251658417" behindDoc="0" locked="0" layoutInCell="1" allowOverlap="1" wp14:anchorId="0239CBE5" wp14:editId="5980E67F">
                <wp:simplePos x="0" y="0"/>
                <wp:positionH relativeFrom="column">
                  <wp:posOffset>3148164</wp:posOffset>
                </wp:positionH>
                <wp:positionV relativeFrom="paragraph">
                  <wp:posOffset>1505309</wp:posOffset>
                </wp:positionV>
                <wp:extent cx="842838" cy="413468"/>
                <wp:effectExtent l="0" t="0" r="0" b="5715"/>
                <wp:wrapNone/>
                <wp:docPr id="29035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 cy="413468"/>
                        </a:xfrm>
                        <a:prstGeom prst="rect">
                          <a:avLst/>
                        </a:prstGeom>
                        <a:solidFill>
                          <a:srgbClr val="FFFFFF"/>
                        </a:solidFill>
                        <a:ln w="9525">
                          <a:noFill/>
                          <a:miter lim="800000"/>
                          <a:headEnd/>
                          <a:tailEnd/>
                        </a:ln>
                      </wps:spPr>
                      <wps:txbx>
                        <w:txbxContent>
                          <w:p w14:paraId="102D071D" w14:textId="4FEEF375" w:rsidR="00192158" w:rsidRPr="00192158" w:rsidRDefault="00192158" w:rsidP="00192158">
                            <w:pPr>
                              <w:jc w:val="center"/>
                              <w:rPr>
                                <w:sz w:val="12"/>
                                <w:szCs w:val="12"/>
                                <w:lang w:val="en-GB"/>
                              </w:rPr>
                            </w:pPr>
                            <w:r w:rsidRPr="00192158">
                              <w:rPr>
                                <w:sz w:val="12"/>
                                <w:szCs w:val="12"/>
                                <w:lang w:val="en-GB"/>
                              </w:rPr>
                              <w:t>Decision adopted sent to the CFCA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9CBE5" id="_x0000_s1183" type="#_x0000_t202" style="position:absolute;margin-left:247.9pt;margin-top:118.55pt;width:66.35pt;height:32.55pt;z-index:2516584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" stroked="f">
                <v:textbox>
                  <w:txbxContent>
                    <w:p w14:paraId="102D071D" w14:textId="4FEEF375" w:rsidR="00192158" w:rsidRPr="00192158" w:rsidRDefault="00192158" w:rsidP="00192158">
                      <w:pPr>
                        <w:jc w:val="center"/>
                        <w:rPr>
                          <w:sz w:val="12"/>
                          <w:szCs w:val="12"/>
                          <w:lang w:val="en-GB"/>
                        </w:rPr>
                      </w:pPr>
                      <w:r w:rsidRPr="00192158">
                        <w:rPr>
                          <w:sz w:val="12"/>
                          <w:szCs w:val="12"/>
                          <w:lang w:val="en-GB"/>
                        </w:rPr>
                        <w:t>Decision adopted sent to the CFCA</w:t>
                      </w:r>
                    </w:p>
                  </w:txbxContent>
                </v:textbox>
              </v:shape>
            </w:pict>
          </mc:Fallback>
        </mc:AlternateContent>
      </w:r>
      <w:r w:rsidR="00076B39" w:rsidRPr="0087352B">
        <w:rPr>
          <w:noProof/>
          <w:sz w:val="26"/>
        </w:rPr>
        <mc:AlternateContent>
          <mc:Choice Requires="wps">
            <w:drawing>
              <wp:anchor distT="45720" distB="45720" distL="114300" distR="114300" simplePos="0" relativeHeight="251658416" behindDoc="0" locked="0" layoutInCell="1" allowOverlap="1" wp14:anchorId="1F8255C2" wp14:editId="08AEB2C4">
                <wp:simplePos x="0" y="0"/>
                <wp:positionH relativeFrom="column">
                  <wp:posOffset>5550010</wp:posOffset>
                </wp:positionH>
                <wp:positionV relativeFrom="paragraph">
                  <wp:posOffset>1386536</wp:posOffset>
                </wp:positionV>
                <wp:extent cx="1391479" cy="484946"/>
                <wp:effectExtent l="0" t="0" r="0" b="0"/>
                <wp:wrapNone/>
                <wp:docPr id="2066344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9" cy="484946"/>
                        </a:xfrm>
                        <a:prstGeom prst="rect">
                          <a:avLst/>
                        </a:prstGeom>
                        <a:solidFill>
                          <a:srgbClr val="FFFFFF"/>
                        </a:solidFill>
                        <a:ln w="9525">
                          <a:noFill/>
                          <a:miter lim="800000"/>
                          <a:headEnd/>
                          <a:tailEnd/>
                        </a:ln>
                      </wps:spPr>
                      <wps:txbx>
                        <w:txbxContent>
                          <w:p w14:paraId="0C3A6FF5" w14:textId="260479CB" w:rsidR="00076B39" w:rsidRPr="007F2F09" w:rsidRDefault="00076B39" w:rsidP="00076B39">
                            <w:pPr>
                              <w:jc w:val="center"/>
                              <w:rPr>
                                <w:sz w:val="12"/>
                                <w:szCs w:val="12"/>
                                <w:lang w:val="en-GB"/>
                              </w:rPr>
                            </w:pPr>
                            <w:r w:rsidRPr="00076B39">
                              <w:rPr>
                                <w:sz w:val="12"/>
                                <w:szCs w:val="12"/>
                                <w:lang w:val="en-GB"/>
                              </w:rPr>
                              <w:t xml:space="preserve">Are any of the identified PPP </w:t>
                            </w:r>
                            <w:r>
                              <w:rPr>
                                <w:sz w:val="12"/>
                                <w:szCs w:val="12"/>
                                <w:lang w:val="en-GB"/>
                              </w:rPr>
                              <w:t>arrangements</w:t>
                            </w:r>
                            <w:r w:rsidRPr="00076B39">
                              <w:rPr>
                                <w:sz w:val="12"/>
                                <w:szCs w:val="12"/>
                                <w:lang w:val="en-GB"/>
                              </w:rPr>
                              <w:t xml:space="preserve"> and models still suitable for</w:t>
                            </w:r>
                            <w:r>
                              <w:rPr>
                                <w:sz w:val="12"/>
                                <w:szCs w:val="12"/>
                                <w:lang w:val="en-GB"/>
                              </w:rPr>
                              <w:t xml:space="preserve"> </w:t>
                            </w:r>
                            <w:r w:rsidRPr="00076B39">
                              <w:rPr>
                                <w:sz w:val="12"/>
                                <w:szCs w:val="12"/>
                                <w:lang w:val="en-GB"/>
                              </w:rPr>
                              <w:t>project</w:t>
                            </w:r>
                            <w:r>
                              <w:rPr>
                                <w:sz w:val="12"/>
                                <w:szCs w:val="12"/>
                                <w:lang w:val="en-GB"/>
                              </w:rPr>
                              <w:t xml:space="preserve"> implementation</w:t>
                            </w:r>
                            <w:r w:rsidRPr="00076B39">
                              <w:rPr>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55C2" id="_x0000_s1184" type="#_x0000_t202" style="position:absolute;margin-left:437pt;margin-top:109.2pt;width:109.55pt;height:38.2pt;z-index:25165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OcEgIAAP8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" stroked="f">
                <v:textbox>
                  <w:txbxContent>
                    <w:p w14:paraId="0C3A6FF5" w14:textId="260479CB" w:rsidR="00076B39" w:rsidRPr="007F2F09" w:rsidRDefault="00076B39" w:rsidP="00076B39">
                      <w:pPr>
                        <w:jc w:val="center"/>
                        <w:rPr>
                          <w:sz w:val="12"/>
                          <w:szCs w:val="12"/>
                          <w:lang w:val="en-GB"/>
                        </w:rPr>
                      </w:pPr>
                      <w:r w:rsidRPr="00076B39">
                        <w:rPr>
                          <w:sz w:val="12"/>
                          <w:szCs w:val="12"/>
                          <w:lang w:val="en-GB"/>
                        </w:rPr>
                        <w:t xml:space="preserve">Are any of the identified PPP </w:t>
                      </w:r>
                      <w:r>
                        <w:rPr>
                          <w:sz w:val="12"/>
                          <w:szCs w:val="12"/>
                          <w:lang w:val="en-GB"/>
                        </w:rPr>
                        <w:t>arrangements</w:t>
                      </w:r>
                      <w:r w:rsidRPr="00076B39">
                        <w:rPr>
                          <w:sz w:val="12"/>
                          <w:szCs w:val="12"/>
                          <w:lang w:val="en-GB"/>
                        </w:rPr>
                        <w:t xml:space="preserve"> and models still suitable for</w:t>
                      </w:r>
                      <w:r>
                        <w:rPr>
                          <w:sz w:val="12"/>
                          <w:szCs w:val="12"/>
                          <w:lang w:val="en-GB"/>
                        </w:rPr>
                        <w:t xml:space="preserve"> </w:t>
                      </w:r>
                      <w:r w:rsidRPr="00076B39">
                        <w:rPr>
                          <w:sz w:val="12"/>
                          <w:szCs w:val="12"/>
                          <w:lang w:val="en-GB"/>
                        </w:rPr>
                        <w:t>project</w:t>
                      </w:r>
                      <w:r>
                        <w:rPr>
                          <w:sz w:val="12"/>
                          <w:szCs w:val="12"/>
                          <w:lang w:val="en-GB"/>
                        </w:rPr>
                        <w:t xml:space="preserve"> implementation</w:t>
                      </w:r>
                      <w:r w:rsidRPr="00076B39">
                        <w:rPr>
                          <w:sz w:val="12"/>
                          <w:szCs w:val="12"/>
                          <w:lang w:val="en-GB"/>
                        </w:rPr>
                        <w:t>?</w:t>
                      </w:r>
                    </w:p>
                  </w:txbxContent>
                </v:textbox>
              </v:shape>
            </w:pict>
          </mc:Fallback>
        </mc:AlternateContent>
      </w:r>
      <w:r w:rsidR="00986996" w:rsidRPr="0087352B">
        <w:rPr>
          <w:noProof/>
          <w:sz w:val="26"/>
        </w:rPr>
        <mc:AlternateContent>
          <mc:Choice Requires="wps">
            <w:drawing>
              <wp:anchor distT="45720" distB="45720" distL="114300" distR="114300" simplePos="0" relativeHeight="251658415" behindDoc="0" locked="0" layoutInCell="1" allowOverlap="1" wp14:anchorId="6A28DDF1" wp14:editId="22B236A5">
                <wp:simplePos x="0" y="0"/>
                <wp:positionH relativeFrom="column">
                  <wp:posOffset>6281530</wp:posOffset>
                </wp:positionH>
                <wp:positionV relativeFrom="paragraph">
                  <wp:posOffset>10961</wp:posOffset>
                </wp:positionV>
                <wp:extent cx="1137037" cy="484946"/>
                <wp:effectExtent l="0" t="0" r="6350" b="0"/>
                <wp:wrapNone/>
                <wp:docPr id="112570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037" cy="484946"/>
                        </a:xfrm>
                        <a:prstGeom prst="rect">
                          <a:avLst/>
                        </a:prstGeom>
                        <a:solidFill>
                          <a:srgbClr val="FFFFFF"/>
                        </a:solidFill>
                        <a:ln w="9525">
                          <a:noFill/>
                          <a:miter lim="800000"/>
                          <a:headEnd/>
                          <a:tailEnd/>
                        </a:ln>
                      </wps:spPr>
                      <wps:txbx>
                        <w:txbxContent>
                          <w:p w14:paraId="6B61C5BB" w14:textId="3BC8AD12" w:rsidR="00986996" w:rsidRPr="007F2F09" w:rsidRDefault="00986996" w:rsidP="00986996">
                            <w:pPr>
                              <w:jc w:val="center"/>
                              <w:rPr>
                                <w:sz w:val="12"/>
                                <w:szCs w:val="12"/>
                                <w:lang w:val="en-GB"/>
                              </w:rPr>
                            </w:pPr>
                            <w:r w:rsidRPr="00986996">
                              <w:rPr>
                                <w:sz w:val="12"/>
                                <w:szCs w:val="12"/>
                                <w:lang w:val="en-GB"/>
                              </w:rPr>
                              <w:t>Is the project technically, legally, financially and socially feasible?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8DDF1" id="_x0000_s1185" type="#_x0000_t202" style="position:absolute;margin-left:494.6pt;margin-top:.85pt;width:89.55pt;height:38.2pt;z-index:251658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" stroked="f">
                <v:textbox>
                  <w:txbxContent>
                    <w:p w14:paraId="6B61C5BB" w14:textId="3BC8AD12" w:rsidR="00986996" w:rsidRPr="007F2F09" w:rsidRDefault="00986996" w:rsidP="00986996">
                      <w:pPr>
                        <w:jc w:val="center"/>
                        <w:rPr>
                          <w:sz w:val="12"/>
                          <w:szCs w:val="12"/>
                          <w:lang w:val="en-GB"/>
                        </w:rPr>
                      </w:pPr>
                      <w:r w:rsidRPr="00986996">
                        <w:rPr>
                          <w:sz w:val="12"/>
                          <w:szCs w:val="12"/>
                          <w:lang w:val="en-GB"/>
                        </w:rPr>
                        <w:t>Is the project technically, legally, financially and socially feasible?</w:t>
                      </w:r>
                    </w:p>
                  </w:txbxContent>
                </v:textbox>
              </v:shape>
            </w:pict>
          </mc:Fallback>
        </mc:AlternateContent>
      </w:r>
      <w:r w:rsidR="00986996" w:rsidRPr="0087352B">
        <w:rPr>
          <w:noProof/>
          <w:sz w:val="26"/>
        </w:rPr>
        <mc:AlternateContent>
          <mc:Choice Requires="wps">
            <w:drawing>
              <wp:anchor distT="45720" distB="45720" distL="114300" distR="114300" simplePos="0" relativeHeight="251658405" behindDoc="0" locked="0" layoutInCell="1" allowOverlap="1" wp14:anchorId="32B4D823" wp14:editId="43DCC3FF">
                <wp:simplePos x="0" y="0"/>
                <wp:positionH relativeFrom="column">
                  <wp:posOffset>3172571</wp:posOffset>
                </wp:positionH>
                <wp:positionV relativeFrom="paragraph">
                  <wp:posOffset>336964</wp:posOffset>
                </wp:positionV>
                <wp:extent cx="826936" cy="675640"/>
                <wp:effectExtent l="0" t="0" r="0" b="0"/>
                <wp:wrapNone/>
                <wp:docPr id="1457035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675640"/>
                        </a:xfrm>
                        <a:prstGeom prst="rect">
                          <a:avLst/>
                        </a:prstGeom>
                        <a:solidFill>
                          <a:schemeClr val="tx1">
                            <a:lumMod val="50000"/>
                            <a:lumOff val="50000"/>
                          </a:schemeClr>
                        </a:solidFill>
                        <a:ln w="9525">
                          <a:noFill/>
                          <a:miter lim="800000"/>
                          <a:headEnd/>
                          <a:tailEnd/>
                        </a:ln>
                      </wps:spPr>
                      <wps:txbx>
                        <w:txbxContent>
                          <w:p w14:paraId="772CE45B" w14:textId="24353B3D" w:rsidR="00A14586" w:rsidRPr="00A14586" w:rsidRDefault="00A14586" w:rsidP="00A14586">
                            <w:pPr>
                              <w:jc w:val="center"/>
                              <w:rPr>
                                <w:color w:val="FFFFFF" w:themeColor="background1"/>
                                <w:sz w:val="14"/>
                                <w:szCs w:val="14"/>
                                <w:lang w:val="en-GB"/>
                              </w:rPr>
                            </w:pPr>
                            <w:r w:rsidRPr="00A14586">
                              <w:rPr>
                                <w:color w:val="FFFFFF" w:themeColor="background1"/>
                                <w:sz w:val="14"/>
                                <w:szCs w:val="14"/>
                                <w:lang w:val="en-GB"/>
                              </w:rPr>
                              <w:t>Analysis of possible ways of implementing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4D823" id="_x0000_s1186" type="#_x0000_t202" style="position:absolute;margin-left:249.8pt;margin-top:26.55pt;width:65.1pt;height:53.2pt;z-index:2516584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" fillcolor="gray [1629]" stroked="f">
                <v:textbox>
                  <w:txbxContent>
                    <w:p w14:paraId="772CE45B" w14:textId="24353B3D" w:rsidR="00A14586" w:rsidRPr="00A14586" w:rsidRDefault="00A14586" w:rsidP="00A14586">
                      <w:pPr>
                        <w:jc w:val="center"/>
                        <w:rPr>
                          <w:color w:val="FFFFFF" w:themeColor="background1"/>
                          <w:sz w:val="14"/>
                          <w:szCs w:val="14"/>
                          <w:lang w:val="en-GB"/>
                        </w:rPr>
                      </w:pPr>
                      <w:r w:rsidRPr="00A14586">
                        <w:rPr>
                          <w:color w:val="FFFFFF" w:themeColor="background1"/>
                          <w:sz w:val="14"/>
                          <w:szCs w:val="14"/>
                          <w:lang w:val="en-GB"/>
                        </w:rPr>
                        <w:t>Analysis of possible ways of implementing the project</w:t>
                      </w:r>
                    </w:p>
                  </w:txbxContent>
                </v:textbox>
              </v:shape>
            </w:pict>
          </mc:Fallback>
        </mc:AlternateContent>
      </w:r>
      <w:r w:rsidR="00433461" w:rsidRPr="0087352B">
        <w:rPr>
          <w:noProof/>
          <w:sz w:val="26"/>
        </w:rPr>
        <mc:AlternateContent>
          <mc:Choice Requires="wps">
            <w:drawing>
              <wp:anchor distT="45720" distB="45720" distL="114300" distR="114300" simplePos="0" relativeHeight="251658413" behindDoc="0" locked="0" layoutInCell="1" allowOverlap="1" wp14:anchorId="20B8CC44" wp14:editId="798F1EDE">
                <wp:simplePos x="0" y="0"/>
                <wp:positionH relativeFrom="column">
                  <wp:posOffset>1677725</wp:posOffset>
                </wp:positionH>
                <wp:positionV relativeFrom="paragraph">
                  <wp:posOffset>82522</wp:posOffset>
                </wp:positionV>
                <wp:extent cx="1439186" cy="413385"/>
                <wp:effectExtent l="0" t="0" r="8890" b="5715"/>
                <wp:wrapNone/>
                <wp:docPr id="1768545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186" cy="413385"/>
                        </a:xfrm>
                        <a:prstGeom prst="rect">
                          <a:avLst/>
                        </a:prstGeom>
                        <a:solidFill>
                          <a:srgbClr val="FFFFFF"/>
                        </a:solidFill>
                        <a:ln w="9525">
                          <a:noFill/>
                          <a:miter lim="800000"/>
                          <a:headEnd/>
                          <a:tailEnd/>
                        </a:ln>
                      </wps:spPr>
                      <wps:txbx>
                        <w:txbxContent>
                          <w:p w14:paraId="580F9601" w14:textId="177F54F4" w:rsidR="00253780" w:rsidRPr="007F2F09" w:rsidRDefault="00253780" w:rsidP="00253780">
                            <w:pPr>
                              <w:jc w:val="center"/>
                              <w:rPr>
                                <w:sz w:val="12"/>
                                <w:szCs w:val="12"/>
                                <w:lang w:val="en-GB"/>
                              </w:rPr>
                            </w:pPr>
                            <w:r w:rsidRPr="007F2F09">
                              <w:rPr>
                                <w:sz w:val="12"/>
                                <w:szCs w:val="12"/>
                                <w:lang w:val="en-GB"/>
                              </w:rPr>
                              <w:t>Has a project been identified that addresses a major long-term public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CC44" id="_x0000_s1187" type="#_x0000_t202" style="position:absolute;margin-left:132.1pt;margin-top:6.5pt;width:113.3pt;height:32.55pt;z-index:251658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" stroked="f">
                <v:textbox>
                  <w:txbxContent>
                    <w:p w14:paraId="580F9601" w14:textId="177F54F4" w:rsidR="00253780" w:rsidRPr="007F2F09" w:rsidRDefault="00253780" w:rsidP="00253780">
                      <w:pPr>
                        <w:jc w:val="center"/>
                        <w:rPr>
                          <w:sz w:val="12"/>
                          <w:szCs w:val="12"/>
                          <w:lang w:val="en-GB"/>
                        </w:rPr>
                      </w:pPr>
                      <w:r w:rsidRPr="007F2F09">
                        <w:rPr>
                          <w:sz w:val="12"/>
                          <w:szCs w:val="12"/>
                          <w:lang w:val="en-GB"/>
                        </w:rPr>
                        <w:t>Has a project been identified that addresses a major long-term public need?</w:t>
                      </w:r>
                    </w:p>
                  </w:txbxContent>
                </v:textbox>
              </v:shape>
            </w:pict>
          </mc:Fallback>
        </mc:AlternateContent>
      </w:r>
      <w:r w:rsidR="007F2F09" w:rsidRPr="0087352B">
        <w:rPr>
          <w:noProof/>
          <w:sz w:val="26"/>
        </w:rPr>
        <mc:AlternateContent>
          <mc:Choice Requires="wps">
            <w:drawing>
              <wp:anchor distT="45720" distB="45720" distL="114300" distR="114300" simplePos="0" relativeHeight="251658414" behindDoc="0" locked="0" layoutInCell="1" allowOverlap="1" wp14:anchorId="044DC6D9" wp14:editId="0A8908F4">
                <wp:simplePos x="0" y="0"/>
                <wp:positionH relativeFrom="column">
                  <wp:posOffset>3967259</wp:posOffset>
                </wp:positionH>
                <wp:positionV relativeFrom="paragraph">
                  <wp:posOffset>10795</wp:posOffset>
                </wp:positionV>
                <wp:extent cx="1383030" cy="484946"/>
                <wp:effectExtent l="0" t="0" r="7620" b="0"/>
                <wp:wrapNone/>
                <wp:docPr id="51406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84946"/>
                        </a:xfrm>
                        <a:prstGeom prst="rect">
                          <a:avLst/>
                        </a:prstGeom>
                        <a:solidFill>
                          <a:srgbClr val="FFFFFF"/>
                        </a:solidFill>
                        <a:ln w="9525">
                          <a:noFill/>
                          <a:miter lim="800000"/>
                          <a:headEnd/>
                          <a:tailEnd/>
                        </a:ln>
                      </wps:spPr>
                      <wps:txbx>
                        <w:txbxContent>
                          <w:p w14:paraId="37CB1129" w14:textId="0074B8A7" w:rsidR="007F2F09" w:rsidRPr="007F2F09" w:rsidRDefault="007F2F09" w:rsidP="007F2F09">
                            <w:pPr>
                              <w:jc w:val="center"/>
                              <w:rPr>
                                <w:sz w:val="12"/>
                                <w:szCs w:val="12"/>
                                <w:lang w:val="en-GB"/>
                              </w:rPr>
                            </w:pPr>
                            <w:r w:rsidRPr="007F2F09">
                              <w:rPr>
                                <w:sz w:val="12"/>
                                <w:szCs w:val="12"/>
                                <w:lang w:val="en-GB"/>
                              </w:rPr>
                              <w:t>Has the most suitable method of implementing the project been identified (where, how, when to implement?)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DC6D9" id="_x0000_s1188" type="#_x0000_t202" style="position:absolute;margin-left:312.4pt;margin-top:.85pt;width:108.9pt;height:38.2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" stroked="f">
                <v:textbox>
                  <w:txbxContent>
                    <w:p w14:paraId="37CB1129" w14:textId="0074B8A7" w:rsidR="007F2F09" w:rsidRPr="007F2F09" w:rsidRDefault="007F2F09" w:rsidP="007F2F09">
                      <w:pPr>
                        <w:jc w:val="center"/>
                        <w:rPr>
                          <w:sz w:val="12"/>
                          <w:szCs w:val="12"/>
                          <w:lang w:val="en-GB"/>
                        </w:rPr>
                      </w:pPr>
                      <w:r w:rsidRPr="007F2F09">
                        <w:rPr>
                          <w:sz w:val="12"/>
                          <w:szCs w:val="12"/>
                          <w:lang w:val="en-GB"/>
                        </w:rPr>
                        <w:t>Has the most suitable method of implementing the project been identified (where, how, when to implement?)</w:t>
                      </w:r>
                    </w:p>
                  </w:txbxContent>
                </v:textbox>
              </v:shape>
            </w:pict>
          </mc:Fallback>
        </mc:AlternateContent>
      </w:r>
      <w:r w:rsidR="00253780" w:rsidRPr="0087352B">
        <w:rPr>
          <w:noProof/>
          <w:sz w:val="26"/>
        </w:rPr>
        <mc:AlternateContent>
          <mc:Choice Requires="wps">
            <w:drawing>
              <wp:anchor distT="45720" distB="45720" distL="114300" distR="114300" simplePos="0" relativeHeight="251658385" behindDoc="0" locked="0" layoutInCell="1" allowOverlap="1" wp14:anchorId="5AFB996E" wp14:editId="72CE1CDB">
                <wp:simplePos x="0" y="0"/>
                <wp:positionH relativeFrom="column">
                  <wp:posOffset>2750543</wp:posOffset>
                </wp:positionH>
                <wp:positionV relativeFrom="paragraph">
                  <wp:posOffset>479812</wp:posOffset>
                </wp:positionV>
                <wp:extent cx="413385" cy="198755"/>
                <wp:effectExtent l="0" t="0" r="5715" b="0"/>
                <wp:wrapNone/>
                <wp:docPr id="430017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8755"/>
                        </a:xfrm>
                        <a:prstGeom prst="rect">
                          <a:avLst/>
                        </a:prstGeom>
                        <a:solidFill>
                          <a:srgbClr val="FFFFFF"/>
                        </a:solidFill>
                        <a:ln w="9525">
                          <a:noFill/>
                          <a:miter lim="800000"/>
                          <a:headEnd/>
                          <a:tailEnd/>
                        </a:ln>
                      </wps:spPr>
                      <wps:txbx>
                        <w:txbxContent>
                          <w:p w14:paraId="112DB18A" w14:textId="36E41BAF"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996E" id="_x0000_s1189" type="#_x0000_t202" style="position:absolute;margin-left:216.6pt;margin-top:37.8pt;width:32.55pt;height:15.65pt;z-index:2516583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" stroked="f">
                <v:textbox>
                  <w:txbxContent>
                    <w:p w14:paraId="112DB18A" w14:textId="36E41BAF" w:rsidR="0087352B" w:rsidRPr="0087352B" w:rsidRDefault="0087352B" w:rsidP="0087352B">
                      <w:pPr>
                        <w:jc w:val="center"/>
                        <w:rPr>
                          <w:sz w:val="14"/>
                          <w:szCs w:val="14"/>
                        </w:rPr>
                      </w:pPr>
                      <w:r w:rsidRPr="0087352B">
                        <w:rPr>
                          <w:sz w:val="14"/>
                          <w:szCs w:val="14"/>
                        </w:rPr>
                        <w:t>Yes</w:t>
                      </w:r>
                    </w:p>
                  </w:txbxContent>
                </v:textbox>
              </v:shape>
            </w:pict>
          </mc:Fallback>
        </mc:AlternateContent>
      </w:r>
      <w:r w:rsidR="00B37121" w:rsidRPr="0087352B">
        <w:rPr>
          <w:noProof/>
          <w:sz w:val="26"/>
        </w:rPr>
        <mc:AlternateContent>
          <mc:Choice Requires="wps">
            <w:drawing>
              <wp:anchor distT="45720" distB="45720" distL="114300" distR="114300" simplePos="0" relativeHeight="251658412" behindDoc="0" locked="0" layoutInCell="1" allowOverlap="1" wp14:anchorId="09121CD7" wp14:editId="69BAF6F0">
                <wp:simplePos x="0" y="0"/>
                <wp:positionH relativeFrom="margin">
                  <wp:posOffset>3776373</wp:posOffset>
                </wp:positionH>
                <wp:positionV relativeFrom="paragraph">
                  <wp:posOffset>3715855</wp:posOffset>
                </wp:positionV>
                <wp:extent cx="1129085" cy="569015"/>
                <wp:effectExtent l="0" t="0" r="0" b="2540"/>
                <wp:wrapNone/>
                <wp:docPr id="560974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85" cy="569015"/>
                        </a:xfrm>
                        <a:prstGeom prst="rect">
                          <a:avLst/>
                        </a:prstGeom>
                        <a:solidFill>
                          <a:schemeClr val="tx1">
                            <a:lumMod val="50000"/>
                            <a:lumOff val="50000"/>
                          </a:schemeClr>
                        </a:solidFill>
                        <a:ln w="9525">
                          <a:noFill/>
                          <a:miter lim="800000"/>
                          <a:headEnd/>
                          <a:tailEnd/>
                        </a:ln>
                      </wps:spPr>
                      <wps:txbx>
                        <w:txbxContent>
                          <w:p w14:paraId="6A2F54EA" w14:textId="0E619DC0" w:rsidR="00B37121" w:rsidRPr="005271F1" w:rsidRDefault="00B37121" w:rsidP="00B37121">
                            <w:pPr>
                              <w:jc w:val="center"/>
                              <w:rPr>
                                <w:color w:val="FFFFFF" w:themeColor="background1"/>
                                <w:sz w:val="14"/>
                                <w:szCs w:val="14"/>
                                <w:lang w:val="en-GB"/>
                              </w:rPr>
                            </w:pPr>
                            <w:r w:rsidRPr="00B37121">
                              <w:rPr>
                                <w:color w:val="FFFFFF" w:themeColor="background1"/>
                                <w:sz w:val="14"/>
                                <w:szCs w:val="14"/>
                                <w:lang w:val="en-GB"/>
                              </w:rPr>
                              <w:t xml:space="preserve">Development of the </w:t>
                            </w:r>
                            <w:r>
                              <w:rPr>
                                <w:color w:val="FFFFFF" w:themeColor="background1"/>
                                <w:sz w:val="14"/>
                                <w:szCs w:val="14"/>
                                <w:lang w:val="en-GB"/>
                              </w:rPr>
                              <w:t>F</w:t>
                            </w:r>
                            <w:r w:rsidRPr="00B37121">
                              <w:rPr>
                                <w:color w:val="FFFFFF" w:themeColor="background1"/>
                                <w:sz w:val="14"/>
                                <w:szCs w:val="14"/>
                                <w:lang w:val="en-GB"/>
                              </w:rPr>
                              <w:t xml:space="preserve">inancial </w:t>
                            </w:r>
                            <w:r>
                              <w:rPr>
                                <w:color w:val="FFFFFF" w:themeColor="background1"/>
                                <w:sz w:val="14"/>
                                <w:szCs w:val="14"/>
                                <w:lang w:val="en-GB"/>
                              </w:rPr>
                              <w:t>M</w:t>
                            </w:r>
                            <w:r w:rsidRPr="00B37121">
                              <w:rPr>
                                <w:color w:val="FFFFFF" w:themeColor="background1"/>
                                <w:sz w:val="14"/>
                                <w:szCs w:val="14"/>
                                <w:lang w:val="en-GB"/>
                              </w:rPr>
                              <w:t xml:space="preserve">odel and determination of the </w:t>
                            </w:r>
                            <w:r>
                              <w:rPr>
                                <w:color w:val="FFFFFF" w:themeColor="background1"/>
                                <w:sz w:val="14"/>
                                <w:szCs w:val="14"/>
                                <w:lang w:val="en-GB"/>
                              </w:rPr>
                              <w:t>VFM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1CD7" id="_x0000_s1190" type="#_x0000_t202" style="position:absolute;margin-left:297.35pt;margin-top:292.6pt;width:88.9pt;height:44.8pt;z-index:2516584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" fillcolor="gray [1629]" stroked="f">
                <v:textbox>
                  <w:txbxContent>
                    <w:p w14:paraId="6A2F54EA" w14:textId="0E619DC0" w:rsidR="00B37121" w:rsidRPr="005271F1" w:rsidRDefault="00B37121" w:rsidP="00B37121">
                      <w:pPr>
                        <w:jc w:val="center"/>
                        <w:rPr>
                          <w:color w:val="FFFFFF" w:themeColor="background1"/>
                          <w:sz w:val="14"/>
                          <w:szCs w:val="14"/>
                          <w:lang w:val="en-GB"/>
                        </w:rPr>
                      </w:pPr>
                      <w:r w:rsidRPr="00B37121">
                        <w:rPr>
                          <w:color w:val="FFFFFF" w:themeColor="background1"/>
                          <w:sz w:val="14"/>
                          <w:szCs w:val="14"/>
                          <w:lang w:val="en-GB"/>
                        </w:rPr>
                        <w:t xml:space="preserve">Development of the </w:t>
                      </w:r>
                      <w:r>
                        <w:rPr>
                          <w:color w:val="FFFFFF" w:themeColor="background1"/>
                          <w:sz w:val="14"/>
                          <w:szCs w:val="14"/>
                          <w:lang w:val="en-GB"/>
                        </w:rPr>
                        <w:t>F</w:t>
                      </w:r>
                      <w:r w:rsidRPr="00B37121">
                        <w:rPr>
                          <w:color w:val="FFFFFF" w:themeColor="background1"/>
                          <w:sz w:val="14"/>
                          <w:szCs w:val="14"/>
                          <w:lang w:val="en-GB"/>
                        </w:rPr>
                        <w:t xml:space="preserve">inancial </w:t>
                      </w:r>
                      <w:r>
                        <w:rPr>
                          <w:color w:val="FFFFFF" w:themeColor="background1"/>
                          <w:sz w:val="14"/>
                          <w:szCs w:val="14"/>
                          <w:lang w:val="en-GB"/>
                        </w:rPr>
                        <w:t>M</w:t>
                      </w:r>
                      <w:r w:rsidRPr="00B37121">
                        <w:rPr>
                          <w:color w:val="FFFFFF" w:themeColor="background1"/>
                          <w:sz w:val="14"/>
                          <w:szCs w:val="14"/>
                          <w:lang w:val="en-GB"/>
                        </w:rPr>
                        <w:t xml:space="preserve">odel and determination of the </w:t>
                      </w:r>
                      <w:r>
                        <w:rPr>
                          <w:color w:val="FFFFFF" w:themeColor="background1"/>
                          <w:sz w:val="14"/>
                          <w:szCs w:val="14"/>
                          <w:lang w:val="en-GB"/>
                        </w:rPr>
                        <w:t>VFM</w:t>
                      </w:r>
                    </w:p>
                  </w:txbxContent>
                </v:textbox>
                <w10:wrap anchorx="margin"/>
              </v:shape>
            </w:pict>
          </mc:Fallback>
        </mc:AlternateContent>
      </w:r>
      <w:r w:rsidR="003F71E7" w:rsidRPr="0087352B">
        <w:rPr>
          <w:noProof/>
          <w:sz w:val="26"/>
        </w:rPr>
        <mc:AlternateContent>
          <mc:Choice Requires="wps">
            <w:drawing>
              <wp:anchor distT="45720" distB="45720" distL="114300" distR="114300" simplePos="0" relativeHeight="251658411" behindDoc="0" locked="0" layoutInCell="1" allowOverlap="1" wp14:anchorId="6435ECB2" wp14:editId="3524591D">
                <wp:simplePos x="0" y="0"/>
                <wp:positionH relativeFrom="margin">
                  <wp:posOffset>476940</wp:posOffset>
                </wp:positionH>
                <wp:positionV relativeFrom="paragraph">
                  <wp:posOffset>3708289</wp:posOffset>
                </wp:positionV>
                <wp:extent cx="1129085" cy="691763"/>
                <wp:effectExtent l="0" t="0" r="0" b="0"/>
                <wp:wrapNone/>
                <wp:docPr id="1855528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85" cy="691763"/>
                        </a:xfrm>
                        <a:prstGeom prst="rect">
                          <a:avLst/>
                        </a:prstGeom>
                        <a:solidFill>
                          <a:schemeClr val="tx1">
                            <a:lumMod val="50000"/>
                            <a:lumOff val="50000"/>
                          </a:schemeClr>
                        </a:solidFill>
                        <a:ln w="9525">
                          <a:noFill/>
                          <a:miter lim="800000"/>
                          <a:headEnd/>
                          <a:tailEnd/>
                        </a:ln>
                      </wps:spPr>
                      <wps:txbx>
                        <w:txbxContent>
                          <w:p w14:paraId="14E856E1" w14:textId="665181FB" w:rsidR="003F71E7" w:rsidRPr="005271F1" w:rsidRDefault="00145AE4" w:rsidP="003F71E7">
                            <w:pPr>
                              <w:jc w:val="center"/>
                              <w:rPr>
                                <w:color w:val="FFFFFF" w:themeColor="background1"/>
                                <w:sz w:val="14"/>
                                <w:szCs w:val="14"/>
                                <w:lang w:val="en-GB"/>
                              </w:rPr>
                            </w:pPr>
                            <w:r>
                              <w:rPr>
                                <w:color w:val="FFFFFF" w:themeColor="background1"/>
                                <w:sz w:val="14"/>
                                <w:szCs w:val="14"/>
                                <w:lang w:val="en-GB"/>
                              </w:rPr>
                              <w:t>Statistical treatment a</w:t>
                            </w:r>
                            <w:r w:rsidRPr="003F71E7">
                              <w:rPr>
                                <w:color w:val="FFFFFF" w:themeColor="background1"/>
                                <w:sz w:val="14"/>
                                <w:szCs w:val="14"/>
                                <w:lang w:val="en-GB"/>
                              </w:rPr>
                              <w:t xml:space="preserve">ssessment </w:t>
                            </w:r>
                            <w:r w:rsidR="003F71E7" w:rsidRPr="003F71E7">
                              <w:rPr>
                                <w:color w:val="FFFFFF" w:themeColor="background1"/>
                                <w:sz w:val="14"/>
                                <w:szCs w:val="14"/>
                                <w:lang w:val="en-GB"/>
                              </w:rPr>
                              <w:t>of the Partnership Contract and project risk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ECB2" id="_x0000_s1191" type="#_x0000_t202" style="position:absolute;margin-left:37.55pt;margin-top:292pt;width:88.9pt;height:54.45pt;z-index:251658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" fillcolor="gray [1629]" stroked="f">
                <v:textbox>
                  <w:txbxContent>
                    <w:p w14:paraId="14E856E1" w14:textId="665181FB" w:rsidR="003F71E7" w:rsidRPr="005271F1" w:rsidRDefault="00145AE4" w:rsidP="003F71E7">
                      <w:pPr>
                        <w:jc w:val="center"/>
                        <w:rPr>
                          <w:color w:val="FFFFFF" w:themeColor="background1"/>
                          <w:sz w:val="14"/>
                          <w:szCs w:val="14"/>
                          <w:lang w:val="en-GB"/>
                        </w:rPr>
                      </w:pPr>
                      <w:r>
                        <w:rPr>
                          <w:color w:val="FFFFFF" w:themeColor="background1"/>
                          <w:sz w:val="14"/>
                          <w:szCs w:val="14"/>
                          <w:lang w:val="en-GB"/>
                        </w:rPr>
                        <w:t>Statistical treatment a</w:t>
                      </w:r>
                      <w:r w:rsidRPr="003F71E7">
                        <w:rPr>
                          <w:color w:val="FFFFFF" w:themeColor="background1"/>
                          <w:sz w:val="14"/>
                          <w:szCs w:val="14"/>
                          <w:lang w:val="en-GB"/>
                        </w:rPr>
                        <w:t xml:space="preserve">ssessment </w:t>
                      </w:r>
                      <w:r w:rsidR="003F71E7" w:rsidRPr="003F71E7">
                        <w:rPr>
                          <w:color w:val="FFFFFF" w:themeColor="background1"/>
                          <w:sz w:val="14"/>
                          <w:szCs w:val="14"/>
                          <w:lang w:val="en-GB"/>
                        </w:rPr>
                        <w:t>of the Partnership Contract and project risk analysis</w:t>
                      </w:r>
                    </w:p>
                  </w:txbxContent>
                </v:textbox>
                <w10:wrap anchorx="margin"/>
              </v:shape>
            </w:pict>
          </mc:Fallback>
        </mc:AlternateContent>
      </w:r>
      <w:r w:rsidR="006C273F" w:rsidRPr="0087352B">
        <w:rPr>
          <w:noProof/>
          <w:sz w:val="26"/>
        </w:rPr>
        <mc:AlternateContent>
          <mc:Choice Requires="wps">
            <w:drawing>
              <wp:anchor distT="45720" distB="45720" distL="114300" distR="114300" simplePos="0" relativeHeight="251658409" behindDoc="0" locked="0" layoutInCell="1" allowOverlap="1" wp14:anchorId="08361A73" wp14:editId="0C7A325E">
                <wp:simplePos x="0" y="0"/>
                <wp:positionH relativeFrom="margin">
                  <wp:posOffset>4770699</wp:posOffset>
                </wp:positionH>
                <wp:positionV relativeFrom="paragraph">
                  <wp:posOffset>1847215</wp:posOffset>
                </wp:positionV>
                <wp:extent cx="739471" cy="453224"/>
                <wp:effectExtent l="0" t="0" r="3810" b="4445"/>
                <wp:wrapNone/>
                <wp:docPr id="1209298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453224"/>
                        </a:xfrm>
                        <a:prstGeom prst="rect">
                          <a:avLst/>
                        </a:prstGeom>
                        <a:solidFill>
                          <a:schemeClr val="tx1">
                            <a:lumMod val="50000"/>
                            <a:lumOff val="50000"/>
                          </a:schemeClr>
                        </a:solidFill>
                        <a:ln w="9525">
                          <a:noFill/>
                          <a:miter lim="800000"/>
                          <a:headEnd/>
                          <a:tailEnd/>
                        </a:ln>
                      </wps:spPr>
                      <wps:txbx>
                        <w:txbxContent>
                          <w:p w14:paraId="26AC56E8" w14:textId="74633C58" w:rsidR="006C273F" w:rsidRPr="006C273F" w:rsidRDefault="006C273F" w:rsidP="006C273F">
                            <w:pPr>
                              <w:jc w:val="center"/>
                              <w:rPr>
                                <w:color w:val="FFFFFF" w:themeColor="background1"/>
                                <w:sz w:val="14"/>
                                <w:szCs w:val="14"/>
                                <w:lang w:val="en-GB"/>
                              </w:rPr>
                            </w:pPr>
                            <w:r w:rsidRPr="006C273F">
                              <w:rPr>
                                <w:color w:val="FFFFFF" w:themeColor="background1"/>
                                <w:sz w:val="14"/>
                                <w:szCs w:val="14"/>
                                <w:lang w:val="en-GB"/>
                              </w:rPr>
                              <w:t>Investment affordability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61A73" id="_x0000_s1192" type="#_x0000_t202" style="position:absolute;margin-left:375.65pt;margin-top:145.45pt;width:58.25pt;height:35.7pt;z-index:251658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" fillcolor="gray [1629]" stroked="f">
                <v:textbox>
                  <w:txbxContent>
                    <w:p w14:paraId="26AC56E8" w14:textId="74633C58" w:rsidR="006C273F" w:rsidRPr="006C273F" w:rsidRDefault="006C273F" w:rsidP="006C273F">
                      <w:pPr>
                        <w:jc w:val="center"/>
                        <w:rPr>
                          <w:color w:val="FFFFFF" w:themeColor="background1"/>
                          <w:sz w:val="14"/>
                          <w:szCs w:val="14"/>
                          <w:lang w:val="en-GB"/>
                        </w:rPr>
                      </w:pPr>
                      <w:r w:rsidRPr="006C273F">
                        <w:rPr>
                          <w:color w:val="FFFFFF" w:themeColor="background1"/>
                          <w:sz w:val="14"/>
                          <w:szCs w:val="14"/>
                          <w:lang w:val="en-GB"/>
                        </w:rPr>
                        <w:t>Investment affordability analysis</w:t>
                      </w:r>
                    </w:p>
                  </w:txbxContent>
                </v:textbox>
                <w10:wrap anchorx="margin"/>
              </v:shape>
            </w:pict>
          </mc:Fallback>
        </mc:AlternateContent>
      </w:r>
      <w:r w:rsidR="00237D12" w:rsidRPr="0087352B">
        <w:rPr>
          <w:noProof/>
          <w:sz w:val="26"/>
        </w:rPr>
        <mc:AlternateContent>
          <mc:Choice Requires="wps">
            <w:drawing>
              <wp:anchor distT="45720" distB="45720" distL="114300" distR="114300" simplePos="0" relativeHeight="251658408" behindDoc="0" locked="0" layoutInCell="1" allowOverlap="1" wp14:anchorId="41B4B15C" wp14:editId="0FEA3C34">
                <wp:simplePos x="0" y="0"/>
                <wp:positionH relativeFrom="column">
                  <wp:posOffset>2234317</wp:posOffset>
                </wp:positionH>
                <wp:positionV relativeFrom="paragraph">
                  <wp:posOffset>1807955</wp:posOffset>
                </wp:positionV>
                <wp:extent cx="874643" cy="898498"/>
                <wp:effectExtent l="0" t="0" r="1905" b="0"/>
                <wp:wrapNone/>
                <wp:docPr id="233181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898498"/>
                        </a:xfrm>
                        <a:prstGeom prst="rect">
                          <a:avLst/>
                        </a:prstGeom>
                        <a:solidFill>
                          <a:schemeClr val="tx1">
                            <a:lumMod val="50000"/>
                            <a:lumOff val="50000"/>
                          </a:schemeClr>
                        </a:solidFill>
                        <a:ln w="9525">
                          <a:noFill/>
                          <a:miter lim="800000"/>
                          <a:headEnd/>
                          <a:tailEnd/>
                        </a:ln>
                      </wps:spPr>
                      <wps:txbx>
                        <w:txbxContent>
                          <w:p w14:paraId="6465B2F0" w14:textId="2E89BD68" w:rsidR="00237D12" w:rsidRPr="00EE39F7" w:rsidRDefault="00237D12" w:rsidP="00237D12">
                            <w:pPr>
                              <w:jc w:val="center"/>
                              <w:rPr>
                                <w:color w:val="FFFFFF" w:themeColor="background1"/>
                                <w:sz w:val="14"/>
                                <w:szCs w:val="14"/>
                                <w:lang w:val="en-GB"/>
                              </w:rPr>
                            </w:pPr>
                            <w:r w:rsidRPr="00237D12">
                              <w:rPr>
                                <w:color w:val="FFFFFF" w:themeColor="background1"/>
                                <w:sz w:val="14"/>
                                <w:szCs w:val="14"/>
                                <w:lang w:val="en-GB"/>
                              </w:rPr>
                              <w:t>Decision of the responsible decision-making authority to carry out the FE</w:t>
                            </w:r>
                            <w:r>
                              <w:rPr>
                                <w:color w:val="FFFFFF" w:themeColor="background1"/>
                                <w:sz w:val="14"/>
                                <w:szCs w:val="14"/>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4B15C" id="_x0000_s1193" type="#_x0000_t202" style="position:absolute;margin-left:175.95pt;margin-top:142.35pt;width:68.85pt;height:70.75pt;z-index:251658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" fillcolor="gray [1629]" stroked="f">
                <v:textbox>
                  <w:txbxContent>
                    <w:p w14:paraId="6465B2F0" w14:textId="2E89BD68" w:rsidR="00237D12" w:rsidRPr="00EE39F7" w:rsidRDefault="00237D12" w:rsidP="00237D12">
                      <w:pPr>
                        <w:jc w:val="center"/>
                        <w:rPr>
                          <w:color w:val="FFFFFF" w:themeColor="background1"/>
                          <w:sz w:val="14"/>
                          <w:szCs w:val="14"/>
                          <w:lang w:val="en-GB"/>
                        </w:rPr>
                      </w:pPr>
                      <w:r w:rsidRPr="00237D12">
                        <w:rPr>
                          <w:color w:val="FFFFFF" w:themeColor="background1"/>
                          <w:sz w:val="14"/>
                          <w:szCs w:val="14"/>
                          <w:lang w:val="en-GB"/>
                        </w:rPr>
                        <w:t>Decision of the responsible decision-making authority to carry out the FE</w:t>
                      </w:r>
                      <w:r>
                        <w:rPr>
                          <w:color w:val="FFFFFF" w:themeColor="background1"/>
                          <w:sz w:val="14"/>
                          <w:szCs w:val="14"/>
                          <w:lang w:val="en-GB"/>
                        </w:rPr>
                        <w:t>C</w:t>
                      </w:r>
                    </w:p>
                  </w:txbxContent>
                </v:textbox>
              </v:shape>
            </w:pict>
          </mc:Fallback>
        </mc:AlternateContent>
      </w:r>
      <w:r w:rsidR="00EE39F7" w:rsidRPr="0087352B">
        <w:rPr>
          <w:noProof/>
          <w:sz w:val="26"/>
        </w:rPr>
        <mc:AlternateContent>
          <mc:Choice Requires="wps">
            <w:drawing>
              <wp:anchor distT="45720" distB="45720" distL="114300" distR="114300" simplePos="0" relativeHeight="251658407" behindDoc="0" locked="0" layoutInCell="1" allowOverlap="1" wp14:anchorId="23CEB03F" wp14:editId="4D79C1C3">
                <wp:simplePos x="0" y="0"/>
                <wp:positionH relativeFrom="column">
                  <wp:posOffset>381663</wp:posOffset>
                </wp:positionH>
                <wp:positionV relativeFrom="paragraph">
                  <wp:posOffset>1807955</wp:posOffset>
                </wp:positionV>
                <wp:extent cx="771276" cy="532738"/>
                <wp:effectExtent l="0" t="0" r="0" b="1270"/>
                <wp:wrapNone/>
                <wp:docPr id="1323995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6" cy="532738"/>
                        </a:xfrm>
                        <a:prstGeom prst="rect">
                          <a:avLst/>
                        </a:prstGeom>
                        <a:solidFill>
                          <a:schemeClr val="tx1">
                            <a:lumMod val="50000"/>
                            <a:lumOff val="50000"/>
                          </a:schemeClr>
                        </a:solidFill>
                        <a:ln w="9525">
                          <a:noFill/>
                          <a:miter lim="800000"/>
                          <a:headEnd/>
                          <a:tailEnd/>
                        </a:ln>
                      </wps:spPr>
                      <wps:txbx>
                        <w:txbxContent>
                          <w:p w14:paraId="7C79E43F" w14:textId="70C2938C" w:rsidR="00EE39F7" w:rsidRPr="00EE39F7" w:rsidRDefault="00EE39F7" w:rsidP="00EE39F7">
                            <w:pPr>
                              <w:jc w:val="center"/>
                              <w:rPr>
                                <w:color w:val="FFFFFF" w:themeColor="background1"/>
                                <w:sz w:val="14"/>
                                <w:szCs w:val="14"/>
                                <w:lang w:val="en-GB"/>
                              </w:rPr>
                            </w:pPr>
                            <w:r w:rsidRPr="00EE39F7">
                              <w:rPr>
                                <w:color w:val="FFFFFF" w:themeColor="background1"/>
                                <w:sz w:val="14"/>
                                <w:szCs w:val="14"/>
                                <w:lang w:val="en-GB"/>
                              </w:rPr>
                              <w:t>PPP arrangement suitability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EB03F" id="_x0000_s1194" type="#_x0000_t202" style="position:absolute;margin-left:30.05pt;margin-top:142.35pt;width:60.75pt;height:41.95pt;z-index:2516584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" fillcolor="gray [1629]" stroked="f">
                <v:textbox>
                  <w:txbxContent>
                    <w:p w14:paraId="7C79E43F" w14:textId="70C2938C" w:rsidR="00EE39F7" w:rsidRPr="00EE39F7" w:rsidRDefault="00EE39F7" w:rsidP="00EE39F7">
                      <w:pPr>
                        <w:jc w:val="center"/>
                        <w:rPr>
                          <w:color w:val="FFFFFF" w:themeColor="background1"/>
                          <w:sz w:val="14"/>
                          <w:szCs w:val="14"/>
                          <w:lang w:val="en-GB"/>
                        </w:rPr>
                      </w:pPr>
                      <w:r w:rsidRPr="00EE39F7">
                        <w:rPr>
                          <w:color w:val="FFFFFF" w:themeColor="background1"/>
                          <w:sz w:val="14"/>
                          <w:szCs w:val="14"/>
                          <w:lang w:val="en-GB"/>
                        </w:rPr>
                        <w:t>PPP arrangement suitability analysis</w:t>
                      </w:r>
                    </w:p>
                  </w:txbxContent>
                </v:textbox>
              </v:shape>
            </w:pict>
          </mc:Fallback>
        </mc:AlternateContent>
      </w:r>
      <w:r w:rsidR="00A14586" w:rsidRPr="0087352B">
        <w:rPr>
          <w:noProof/>
          <w:sz w:val="26"/>
        </w:rPr>
        <mc:AlternateContent>
          <mc:Choice Requires="wps">
            <w:drawing>
              <wp:anchor distT="45720" distB="45720" distL="114300" distR="114300" simplePos="0" relativeHeight="251658406" behindDoc="0" locked="0" layoutInCell="1" allowOverlap="1" wp14:anchorId="7BB00198" wp14:editId="481EF378">
                <wp:simplePos x="0" y="0"/>
                <wp:positionH relativeFrom="column">
                  <wp:posOffset>5367876</wp:posOffset>
                </wp:positionH>
                <wp:positionV relativeFrom="paragraph">
                  <wp:posOffset>472689</wp:posOffset>
                </wp:positionV>
                <wp:extent cx="739471" cy="477079"/>
                <wp:effectExtent l="0" t="0" r="3810" b="0"/>
                <wp:wrapNone/>
                <wp:docPr id="818098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477079"/>
                        </a:xfrm>
                        <a:prstGeom prst="rect">
                          <a:avLst/>
                        </a:prstGeom>
                        <a:solidFill>
                          <a:schemeClr val="tx1">
                            <a:lumMod val="50000"/>
                            <a:lumOff val="50000"/>
                          </a:schemeClr>
                        </a:solidFill>
                        <a:ln w="9525">
                          <a:noFill/>
                          <a:miter lim="800000"/>
                          <a:headEnd/>
                          <a:tailEnd/>
                        </a:ln>
                      </wps:spPr>
                      <wps:txbx>
                        <w:txbxContent>
                          <w:p w14:paraId="68052D0A" w14:textId="5E9B7C93" w:rsidR="00A14586" w:rsidRPr="00464D32" w:rsidRDefault="00EE39F7" w:rsidP="00A14586">
                            <w:pPr>
                              <w:jc w:val="center"/>
                              <w:rPr>
                                <w:color w:val="FFFFFF" w:themeColor="background1"/>
                                <w:sz w:val="14"/>
                                <w:szCs w:val="14"/>
                                <w:lang w:val="en-GB"/>
                              </w:rPr>
                            </w:pPr>
                            <w:r w:rsidRPr="00464D32">
                              <w:rPr>
                                <w:color w:val="FFFFFF" w:themeColor="background1"/>
                                <w:sz w:val="14"/>
                                <w:szCs w:val="14"/>
                                <w:lang w:val="en-GB"/>
                              </w:rPr>
                              <w:t>Project feasibility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00198" id="_x0000_s1195" type="#_x0000_t202" style="position:absolute;margin-left:422.65pt;margin-top:37.2pt;width:58.25pt;height:37.55pt;z-index:2516584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" fillcolor="gray [1629]" stroked="f">
                <v:textbox>
                  <w:txbxContent>
                    <w:p w14:paraId="68052D0A" w14:textId="5E9B7C93" w:rsidR="00A14586" w:rsidRPr="00464D32" w:rsidRDefault="00EE39F7" w:rsidP="00A14586">
                      <w:pPr>
                        <w:jc w:val="center"/>
                        <w:rPr>
                          <w:color w:val="FFFFFF" w:themeColor="background1"/>
                          <w:sz w:val="14"/>
                          <w:szCs w:val="14"/>
                          <w:lang w:val="en-GB"/>
                        </w:rPr>
                      </w:pPr>
                      <w:r w:rsidRPr="00464D32">
                        <w:rPr>
                          <w:color w:val="FFFFFF" w:themeColor="background1"/>
                          <w:sz w:val="14"/>
                          <w:szCs w:val="14"/>
                          <w:lang w:val="en-GB"/>
                        </w:rPr>
                        <w:t>Project feasibility assessment</w:t>
                      </w:r>
                    </w:p>
                  </w:txbxContent>
                </v:textbox>
              </v:shape>
            </w:pict>
          </mc:Fallback>
        </mc:AlternateContent>
      </w:r>
      <w:r w:rsidR="00952282" w:rsidRPr="0087352B">
        <w:rPr>
          <w:noProof/>
          <w:sz w:val="26"/>
        </w:rPr>
        <mc:AlternateContent>
          <mc:Choice Requires="wps">
            <w:drawing>
              <wp:anchor distT="45720" distB="45720" distL="114300" distR="114300" simplePos="0" relativeHeight="251658404" behindDoc="0" locked="0" layoutInCell="1" allowOverlap="1" wp14:anchorId="08BD52C8" wp14:editId="53A2BC05">
                <wp:simplePos x="0" y="0"/>
                <wp:positionH relativeFrom="column">
                  <wp:posOffset>906449</wp:posOffset>
                </wp:positionH>
                <wp:positionV relativeFrom="paragraph">
                  <wp:posOffset>456234</wp:posOffset>
                </wp:positionV>
                <wp:extent cx="739471" cy="477079"/>
                <wp:effectExtent l="0" t="0" r="3810" b="0"/>
                <wp:wrapNone/>
                <wp:docPr id="1194651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477079"/>
                        </a:xfrm>
                        <a:prstGeom prst="rect">
                          <a:avLst/>
                        </a:prstGeom>
                        <a:solidFill>
                          <a:schemeClr val="tx1">
                            <a:lumMod val="50000"/>
                            <a:lumOff val="50000"/>
                          </a:schemeClr>
                        </a:solidFill>
                        <a:ln w="9525">
                          <a:noFill/>
                          <a:miter lim="800000"/>
                          <a:headEnd/>
                          <a:tailEnd/>
                        </a:ln>
                      </wps:spPr>
                      <wps:txbx>
                        <w:txbxContent>
                          <w:p w14:paraId="735C5DD4" w14:textId="1F28396F" w:rsidR="00952282" w:rsidRPr="00464D32" w:rsidRDefault="00952282" w:rsidP="00952282">
                            <w:pPr>
                              <w:jc w:val="center"/>
                              <w:rPr>
                                <w:color w:val="FFFFFF" w:themeColor="background1"/>
                                <w:sz w:val="14"/>
                                <w:szCs w:val="14"/>
                                <w:lang w:val="en-GB"/>
                              </w:rPr>
                            </w:pPr>
                            <w:r w:rsidRPr="00464D32">
                              <w:rPr>
                                <w:color w:val="FFFFFF" w:themeColor="background1"/>
                                <w:sz w:val="14"/>
                                <w:szCs w:val="14"/>
                                <w:lang w:val="en-GB"/>
                              </w:rPr>
                              <w:t>Needs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D52C8" id="_x0000_s1196" type="#_x0000_t202" style="position:absolute;margin-left:71.35pt;margin-top:35.9pt;width:58.25pt;height:37.55pt;z-index:2516584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" fillcolor="gray [1629]" stroked="f">
                <v:textbox>
                  <w:txbxContent>
                    <w:p w14:paraId="735C5DD4" w14:textId="1F28396F" w:rsidR="00952282" w:rsidRPr="00464D32" w:rsidRDefault="00952282" w:rsidP="00952282">
                      <w:pPr>
                        <w:jc w:val="center"/>
                        <w:rPr>
                          <w:color w:val="FFFFFF" w:themeColor="background1"/>
                          <w:sz w:val="14"/>
                          <w:szCs w:val="14"/>
                          <w:lang w:val="en-GB"/>
                        </w:rPr>
                      </w:pPr>
                      <w:r w:rsidRPr="00464D32">
                        <w:rPr>
                          <w:color w:val="FFFFFF" w:themeColor="background1"/>
                          <w:sz w:val="14"/>
                          <w:szCs w:val="14"/>
                          <w:lang w:val="en-GB"/>
                        </w:rPr>
                        <w:t>Needs assessment</w:t>
                      </w:r>
                    </w:p>
                  </w:txbxContent>
                </v:textbox>
              </v:shape>
            </w:pict>
          </mc:Fallback>
        </mc:AlternateContent>
      </w:r>
      <w:r w:rsidR="00952282" w:rsidRPr="0087352B">
        <w:rPr>
          <w:noProof/>
          <w:sz w:val="26"/>
        </w:rPr>
        <mc:AlternateContent>
          <mc:Choice Requires="wps">
            <w:drawing>
              <wp:anchor distT="45720" distB="45720" distL="114300" distR="114300" simplePos="0" relativeHeight="251658403" behindDoc="0" locked="0" layoutInCell="1" allowOverlap="1" wp14:anchorId="16BACDF9" wp14:editId="1CC64533">
                <wp:simplePos x="0" y="0"/>
                <wp:positionH relativeFrom="column">
                  <wp:posOffset>373684</wp:posOffset>
                </wp:positionH>
                <wp:positionV relativeFrom="paragraph">
                  <wp:posOffset>853247</wp:posOffset>
                </wp:positionV>
                <wp:extent cx="500932" cy="198783"/>
                <wp:effectExtent l="0" t="0" r="0" b="0"/>
                <wp:wrapNone/>
                <wp:docPr id="1218857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198783"/>
                        </a:xfrm>
                        <a:prstGeom prst="rect">
                          <a:avLst/>
                        </a:prstGeom>
                        <a:solidFill>
                          <a:srgbClr val="FFFFFF"/>
                        </a:solidFill>
                        <a:ln w="9525">
                          <a:noFill/>
                          <a:miter lim="800000"/>
                          <a:headEnd/>
                          <a:tailEnd/>
                        </a:ln>
                      </wps:spPr>
                      <wps:txbx>
                        <w:txbxContent>
                          <w:p w14:paraId="4A9DD495" w14:textId="5A06D862" w:rsidR="00952282" w:rsidRPr="0087352B" w:rsidRDefault="00952282" w:rsidP="00952282">
                            <w:pPr>
                              <w:jc w:val="center"/>
                              <w:rPr>
                                <w:sz w:val="14"/>
                                <w:szCs w:val="14"/>
                                <w:lang w:val="lv-LV"/>
                              </w:rPr>
                            </w:pPr>
                            <w:r>
                              <w:rPr>
                                <w:sz w:val="14"/>
                                <w:szCs w:val="14"/>
                                <w:lang w:val="lv-LV"/>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ACDF9" id="_x0000_s1197" type="#_x0000_t202" style="position:absolute;margin-left:29.4pt;margin-top:67.2pt;width:39.45pt;height:15.65pt;z-index:251658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" stroked="f">
                <v:textbox>
                  <w:txbxContent>
                    <w:p w14:paraId="4A9DD495" w14:textId="5A06D862" w:rsidR="00952282" w:rsidRPr="0087352B" w:rsidRDefault="00952282" w:rsidP="00952282">
                      <w:pPr>
                        <w:jc w:val="center"/>
                        <w:rPr>
                          <w:sz w:val="14"/>
                          <w:szCs w:val="14"/>
                          <w:lang w:val="lv-LV"/>
                        </w:rPr>
                      </w:pPr>
                      <w:r>
                        <w:rPr>
                          <w:sz w:val="14"/>
                          <w:szCs w:val="14"/>
                          <w:lang w:val="lv-LV"/>
                        </w:rPr>
                        <w:t>Start</w:t>
                      </w:r>
                    </w:p>
                  </w:txbxContent>
                </v:textbox>
              </v:shape>
            </w:pict>
          </mc:Fallback>
        </mc:AlternateContent>
      </w:r>
      <w:r w:rsidR="0087352B" w:rsidRPr="0087352B">
        <w:rPr>
          <w:noProof/>
          <w:sz w:val="26"/>
        </w:rPr>
        <mc:AlternateContent>
          <mc:Choice Requires="wps">
            <w:drawing>
              <wp:anchor distT="45720" distB="45720" distL="114300" distR="114300" simplePos="0" relativeHeight="251658401" behindDoc="0" locked="0" layoutInCell="1" allowOverlap="1" wp14:anchorId="2A37C128" wp14:editId="772C5E5B">
                <wp:simplePos x="0" y="0"/>
                <wp:positionH relativeFrom="column">
                  <wp:posOffset>5407936</wp:posOffset>
                </wp:positionH>
                <wp:positionV relativeFrom="paragraph">
                  <wp:posOffset>4241579</wp:posOffset>
                </wp:positionV>
                <wp:extent cx="413468" cy="198783"/>
                <wp:effectExtent l="0" t="0" r="5715" b="0"/>
                <wp:wrapNone/>
                <wp:docPr id="2046667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22FBD5BA"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7C128" id="_x0000_s1198" type="#_x0000_t202" style="position:absolute;margin-left:425.8pt;margin-top:334pt;width:32.55pt;height:15.65pt;z-index:2516584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" stroked="f">
                <v:textbox>
                  <w:txbxContent>
                    <w:p w14:paraId="22FBD5BA"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402" behindDoc="0" locked="0" layoutInCell="1" allowOverlap="1" wp14:anchorId="2834B6CC" wp14:editId="7EB2F1FF">
                <wp:simplePos x="0" y="0"/>
                <wp:positionH relativeFrom="column">
                  <wp:posOffset>5431845</wp:posOffset>
                </wp:positionH>
                <wp:positionV relativeFrom="paragraph">
                  <wp:posOffset>5029449</wp:posOffset>
                </wp:positionV>
                <wp:extent cx="413468" cy="198783"/>
                <wp:effectExtent l="0" t="0" r="5715" b="0"/>
                <wp:wrapNone/>
                <wp:docPr id="2102888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46FC22A8"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B6CC" id="_x0000_s1199" type="#_x0000_t202" style="position:absolute;margin-left:427.7pt;margin-top:396pt;width:32.55pt;height:15.65pt;z-index:2516584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" stroked="f">
                <v:textbox>
                  <w:txbxContent>
                    <w:p w14:paraId="46FC22A8"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400" behindDoc="0" locked="0" layoutInCell="1" allowOverlap="1" wp14:anchorId="5118984F" wp14:editId="061D0956">
                <wp:simplePos x="0" y="0"/>
                <wp:positionH relativeFrom="column">
                  <wp:posOffset>2275261</wp:posOffset>
                </wp:positionH>
                <wp:positionV relativeFrom="paragraph">
                  <wp:posOffset>4250166</wp:posOffset>
                </wp:positionV>
                <wp:extent cx="413468" cy="198783"/>
                <wp:effectExtent l="0" t="0" r="5715" b="0"/>
                <wp:wrapNone/>
                <wp:docPr id="1742359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154EC396"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8984F" id="_x0000_s1200" type="#_x0000_t202" style="position:absolute;margin-left:179.15pt;margin-top:334.65pt;width:32.55pt;height:15.65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" stroked="f">
                <v:textbox>
                  <w:txbxContent>
                    <w:p w14:paraId="154EC396"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399" behindDoc="0" locked="0" layoutInCell="1" allowOverlap="1" wp14:anchorId="35ADE90B" wp14:editId="41953CEA">
                <wp:simplePos x="0" y="0"/>
                <wp:positionH relativeFrom="column">
                  <wp:posOffset>1178036</wp:posOffset>
                </wp:positionH>
                <wp:positionV relativeFrom="paragraph">
                  <wp:posOffset>2206321</wp:posOffset>
                </wp:positionV>
                <wp:extent cx="413468" cy="198783"/>
                <wp:effectExtent l="0" t="0" r="5715" b="0"/>
                <wp:wrapNone/>
                <wp:docPr id="58900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0F4FB368"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DE90B" id="_x0000_s1201" type="#_x0000_t202" style="position:absolute;margin-left:92.75pt;margin-top:173.75pt;width:32.55pt;height:15.65pt;z-index:2516583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" stroked="f">
                <v:textbox>
                  <w:txbxContent>
                    <w:p w14:paraId="0F4FB368"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398" behindDoc="0" locked="0" layoutInCell="1" allowOverlap="1" wp14:anchorId="172BF1F5" wp14:editId="44E138E0">
                <wp:simplePos x="0" y="0"/>
                <wp:positionH relativeFrom="column">
                  <wp:posOffset>7912735</wp:posOffset>
                </wp:positionH>
                <wp:positionV relativeFrom="paragraph">
                  <wp:posOffset>3144659</wp:posOffset>
                </wp:positionV>
                <wp:extent cx="413468" cy="198783"/>
                <wp:effectExtent l="0" t="0" r="5715" b="0"/>
                <wp:wrapNone/>
                <wp:docPr id="197339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0E31227C"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BF1F5" id="_x0000_s1202" type="#_x0000_t202" style="position:absolute;margin-left:623.05pt;margin-top:247.6pt;width:32.55pt;height:15.65pt;z-index:2516583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" stroked="f">
                <v:textbox>
                  <w:txbxContent>
                    <w:p w14:paraId="0E31227C"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397" behindDoc="0" locked="0" layoutInCell="1" allowOverlap="1" wp14:anchorId="66241F96" wp14:editId="55969DD0">
                <wp:simplePos x="0" y="0"/>
                <wp:positionH relativeFrom="column">
                  <wp:posOffset>5749511</wp:posOffset>
                </wp:positionH>
                <wp:positionV relativeFrom="paragraph">
                  <wp:posOffset>2182853</wp:posOffset>
                </wp:positionV>
                <wp:extent cx="413468" cy="198783"/>
                <wp:effectExtent l="0" t="0" r="5715" b="0"/>
                <wp:wrapNone/>
                <wp:docPr id="77605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349BC988"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41F96" id="_x0000_s1203" type="#_x0000_t202" style="position:absolute;margin-left:452.7pt;margin-top:171.9pt;width:32.55pt;height:15.65pt;z-index:251658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" stroked="f">
                <v:textbox>
                  <w:txbxContent>
                    <w:p w14:paraId="349BC988"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396" behindDoc="0" locked="0" layoutInCell="1" allowOverlap="1" wp14:anchorId="143341C4" wp14:editId="5C380F0E">
                <wp:simplePos x="0" y="0"/>
                <wp:positionH relativeFrom="column">
                  <wp:posOffset>6361789</wp:posOffset>
                </wp:positionH>
                <wp:positionV relativeFrom="paragraph">
                  <wp:posOffset>846897</wp:posOffset>
                </wp:positionV>
                <wp:extent cx="413468" cy="198783"/>
                <wp:effectExtent l="0" t="0" r="5715" b="0"/>
                <wp:wrapNone/>
                <wp:docPr id="84258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08F1E4EB"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341C4" id="_x0000_s1204" type="#_x0000_t202" style="position:absolute;margin-left:500.95pt;margin-top:66.7pt;width:32.55pt;height:15.65pt;z-index:2516583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" stroked="f">
                <v:textbox>
                  <w:txbxContent>
                    <w:p w14:paraId="08F1E4EB"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395" behindDoc="0" locked="0" layoutInCell="1" allowOverlap="1" wp14:anchorId="12FA3C67" wp14:editId="0904670C">
                <wp:simplePos x="0" y="0"/>
                <wp:positionH relativeFrom="column">
                  <wp:posOffset>4175677</wp:posOffset>
                </wp:positionH>
                <wp:positionV relativeFrom="paragraph">
                  <wp:posOffset>806809</wp:posOffset>
                </wp:positionV>
                <wp:extent cx="413468" cy="198783"/>
                <wp:effectExtent l="0" t="0" r="5715" b="0"/>
                <wp:wrapNone/>
                <wp:docPr id="1268242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4E7EF23A" w14:textId="77777777"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A3C67" id="_x0000_s1205" type="#_x0000_t202" style="position:absolute;margin-left:328.8pt;margin-top:63.55pt;width:32.55pt;height:15.65pt;z-index:251658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" stroked="f">
                <v:textbox>
                  <w:txbxContent>
                    <w:p w14:paraId="4E7EF23A" w14:textId="77777777"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394" behindDoc="0" locked="0" layoutInCell="1" allowOverlap="1" wp14:anchorId="40F0CFF5" wp14:editId="56A1AF62">
                <wp:simplePos x="0" y="0"/>
                <wp:positionH relativeFrom="column">
                  <wp:posOffset>1876756</wp:posOffset>
                </wp:positionH>
                <wp:positionV relativeFrom="paragraph">
                  <wp:posOffset>814981</wp:posOffset>
                </wp:positionV>
                <wp:extent cx="413468" cy="198783"/>
                <wp:effectExtent l="0" t="0" r="5715" b="0"/>
                <wp:wrapNone/>
                <wp:docPr id="1411128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6E921D73" w14:textId="782EC2D3" w:rsidR="0087352B" w:rsidRPr="0087352B" w:rsidRDefault="0087352B" w:rsidP="0087352B">
                            <w:pPr>
                              <w:jc w:val="center"/>
                              <w:rPr>
                                <w:sz w:val="14"/>
                                <w:szCs w:val="14"/>
                                <w:lang w:val="lv-LV"/>
                              </w:rPr>
                            </w:pPr>
                            <w:r>
                              <w:rPr>
                                <w:sz w:val="14"/>
                                <w:szCs w:val="14"/>
                                <w:lang w:val="lv-LV"/>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0CFF5" id="_x0000_s1206" type="#_x0000_t202" style="position:absolute;margin-left:147.8pt;margin-top:64.15pt;width:32.55pt;height:15.65pt;z-index:2516583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JEg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" stroked="f">
                <v:textbox>
                  <w:txbxContent>
                    <w:p w14:paraId="6E921D73" w14:textId="782EC2D3" w:rsidR="0087352B" w:rsidRPr="0087352B" w:rsidRDefault="0087352B" w:rsidP="0087352B">
                      <w:pPr>
                        <w:jc w:val="center"/>
                        <w:rPr>
                          <w:sz w:val="14"/>
                          <w:szCs w:val="14"/>
                          <w:lang w:val="lv-LV"/>
                        </w:rPr>
                      </w:pPr>
                      <w:r>
                        <w:rPr>
                          <w:sz w:val="14"/>
                          <w:szCs w:val="14"/>
                          <w:lang w:val="lv-LV"/>
                        </w:rPr>
                        <w:t>No</w:t>
                      </w:r>
                    </w:p>
                  </w:txbxContent>
                </v:textbox>
              </v:shape>
            </w:pict>
          </mc:Fallback>
        </mc:AlternateContent>
      </w:r>
      <w:r w:rsidR="0087352B" w:rsidRPr="0087352B">
        <w:rPr>
          <w:noProof/>
          <w:sz w:val="26"/>
        </w:rPr>
        <mc:AlternateContent>
          <mc:Choice Requires="wps">
            <w:drawing>
              <wp:anchor distT="45720" distB="45720" distL="114300" distR="114300" simplePos="0" relativeHeight="251658393" behindDoc="0" locked="0" layoutInCell="1" allowOverlap="1" wp14:anchorId="0279F306" wp14:editId="6E2A79DE">
                <wp:simplePos x="0" y="0"/>
                <wp:positionH relativeFrom="column">
                  <wp:posOffset>6306102</wp:posOffset>
                </wp:positionH>
                <wp:positionV relativeFrom="paragraph">
                  <wp:posOffset>4552177</wp:posOffset>
                </wp:positionV>
                <wp:extent cx="413468" cy="198783"/>
                <wp:effectExtent l="0" t="0" r="5715" b="0"/>
                <wp:wrapNone/>
                <wp:docPr id="310940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67D32347"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9F306" id="_x0000_s1207" type="#_x0000_t202" style="position:absolute;margin-left:496.55pt;margin-top:358.45pt;width:32.55pt;height:15.65pt;z-index:2516583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Z/EgIAAP4DAAAOAAAAZHJzL2Uyb0RvYy54bWysU9tu2zAMfR+wfxD0vjhJkzYx4hRdugwD&#10;ugvQ7QNkWY6FyaJGKbG7rx8lu2m2vQ3TgyCK1C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" stroked="f">
                <v:textbox>
                  <w:txbxContent>
                    <w:p w14:paraId="67D32347"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87352B" w:rsidRPr="0087352B">
        <w:rPr>
          <w:noProof/>
          <w:sz w:val="26"/>
        </w:rPr>
        <mc:AlternateContent>
          <mc:Choice Requires="wps">
            <w:drawing>
              <wp:anchor distT="45720" distB="45720" distL="114300" distR="114300" simplePos="0" relativeHeight="251658392" behindDoc="0" locked="0" layoutInCell="1" allowOverlap="1" wp14:anchorId="12F4C15E" wp14:editId="7DFCD70E">
                <wp:simplePos x="0" y="0"/>
                <wp:positionH relativeFrom="column">
                  <wp:posOffset>6934752</wp:posOffset>
                </wp:positionH>
                <wp:positionV relativeFrom="paragraph">
                  <wp:posOffset>3200621</wp:posOffset>
                </wp:positionV>
                <wp:extent cx="413468" cy="198783"/>
                <wp:effectExtent l="0" t="0" r="5715" b="0"/>
                <wp:wrapNone/>
                <wp:docPr id="2113230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30AE9961"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4C15E" id="_x0000_s1208" type="#_x0000_t202" style="position:absolute;margin-left:546.05pt;margin-top:252pt;width:32.55pt;height:15.65pt;z-index:251658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S+Ew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" stroked="f">
                <v:textbox>
                  <w:txbxContent>
                    <w:p w14:paraId="30AE9961"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87352B" w:rsidRPr="0087352B">
        <w:rPr>
          <w:noProof/>
          <w:sz w:val="26"/>
        </w:rPr>
        <mc:AlternateContent>
          <mc:Choice Requires="wps">
            <w:drawing>
              <wp:anchor distT="45720" distB="45720" distL="114300" distR="114300" simplePos="0" relativeHeight="251658391" behindDoc="0" locked="0" layoutInCell="1" allowOverlap="1" wp14:anchorId="08146DD3" wp14:editId="3E28721D">
                <wp:simplePos x="0" y="0"/>
                <wp:positionH relativeFrom="column">
                  <wp:posOffset>6282662</wp:posOffset>
                </wp:positionH>
                <wp:positionV relativeFrom="paragraph">
                  <wp:posOffset>3836670</wp:posOffset>
                </wp:positionV>
                <wp:extent cx="413468" cy="198783"/>
                <wp:effectExtent l="0" t="0" r="5715" b="0"/>
                <wp:wrapNone/>
                <wp:docPr id="1511777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2528F50F"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46DD3" id="_x0000_s1209" type="#_x0000_t202" style="position:absolute;margin-left:494.7pt;margin-top:302.1pt;width:32.55pt;height:15.65pt;z-index:251658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pIEQIAAP4DAAAOAAAAZHJzL2Uyb0RvYy54bWysU9tu2zAMfR+wfxD0vjhJkzYx4hRdugwD&#10;ugvQ7QNkWY6FyaJGKbG7rx8lu2m2vQ3TgyCK1C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" stroked="f">
                <v:textbox>
                  <w:txbxContent>
                    <w:p w14:paraId="2528F50F"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87352B" w:rsidRPr="0087352B">
        <w:rPr>
          <w:noProof/>
          <w:sz w:val="26"/>
        </w:rPr>
        <mc:AlternateContent>
          <mc:Choice Requires="wps">
            <w:drawing>
              <wp:anchor distT="45720" distB="45720" distL="114300" distR="114300" simplePos="0" relativeHeight="251658390" behindDoc="0" locked="0" layoutInCell="1" allowOverlap="1" wp14:anchorId="472A0D02" wp14:editId="3342CFC1">
                <wp:simplePos x="0" y="0"/>
                <wp:positionH relativeFrom="column">
                  <wp:posOffset>3038420</wp:posOffset>
                </wp:positionH>
                <wp:positionV relativeFrom="paragraph">
                  <wp:posOffset>3884074</wp:posOffset>
                </wp:positionV>
                <wp:extent cx="413468" cy="198783"/>
                <wp:effectExtent l="0" t="0" r="5715" b="0"/>
                <wp:wrapNone/>
                <wp:docPr id="63624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0EA98E43"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0D02" id="_x0000_s1210" type="#_x0000_t202" style="position:absolute;margin-left:239.25pt;margin-top:305.85pt;width:32.55pt;height:15.65pt;z-index:2516583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" stroked="f">
                <v:textbox>
                  <w:txbxContent>
                    <w:p w14:paraId="0EA98E43"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87352B" w:rsidRPr="0087352B">
        <w:rPr>
          <w:noProof/>
          <w:sz w:val="26"/>
        </w:rPr>
        <mc:AlternateContent>
          <mc:Choice Requires="wps">
            <w:drawing>
              <wp:anchor distT="45720" distB="45720" distL="114300" distR="114300" simplePos="0" relativeHeight="251658389" behindDoc="0" locked="0" layoutInCell="1" allowOverlap="1" wp14:anchorId="2579F425" wp14:editId="368B0773">
                <wp:simplePos x="0" y="0"/>
                <wp:positionH relativeFrom="column">
                  <wp:posOffset>1822146</wp:posOffset>
                </wp:positionH>
                <wp:positionV relativeFrom="paragraph">
                  <wp:posOffset>1848845</wp:posOffset>
                </wp:positionV>
                <wp:extent cx="413468" cy="198783"/>
                <wp:effectExtent l="0" t="0" r="5715" b="0"/>
                <wp:wrapNone/>
                <wp:docPr id="1008727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68BF9EBB"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9F425" id="_x0000_s1211" type="#_x0000_t202" style="position:absolute;margin-left:143.5pt;margin-top:145.6pt;width:32.55pt;height:15.65pt;z-index:251658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4QEw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" stroked="f">
                <v:textbox>
                  <w:txbxContent>
                    <w:p w14:paraId="68BF9EBB"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87352B" w:rsidRPr="0087352B">
        <w:rPr>
          <w:noProof/>
          <w:sz w:val="26"/>
        </w:rPr>
        <mc:AlternateContent>
          <mc:Choice Requires="wps">
            <w:drawing>
              <wp:anchor distT="45720" distB="45720" distL="114300" distR="114300" simplePos="0" relativeHeight="251658388" behindDoc="0" locked="0" layoutInCell="1" allowOverlap="1" wp14:anchorId="26A4A0DE" wp14:editId="4E0D2134">
                <wp:simplePos x="0" y="0"/>
                <wp:positionH relativeFrom="column">
                  <wp:posOffset>6600301</wp:posOffset>
                </wp:positionH>
                <wp:positionV relativeFrom="paragraph">
                  <wp:posOffset>1840920</wp:posOffset>
                </wp:positionV>
                <wp:extent cx="413468" cy="198783"/>
                <wp:effectExtent l="0" t="0" r="5715" b="0"/>
                <wp:wrapNone/>
                <wp:docPr id="114676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7CB94CAE"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4A0DE" id="_x0000_s1212" type="#_x0000_t202" style="position:absolute;margin-left:519.7pt;margin-top:144.95pt;width:32.55pt;height:15.65pt;z-index:251658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" stroked="f">
                <v:textbox>
                  <w:txbxContent>
                    <w:p w14:paraId="7CB94CAE"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87352B" w:rsidRPr="0087352B">
        <w:rPr>
          <w:noProof/>
          <w:sz w:val="26"/>
        </w:rPr>
        <mc:AlternateContent>
          <mc:Choice Requires="wps">
            <w:drawing>
              <wp:anchor distT="45720" distB="45720" distL="114300" distR="114300" simplePos="0" relativeHeight="251658387" behindDoc="0" locked="0" layoutInCell="1" allowOverlap="1" wp14:anchorId="1DA69AE0" wp14:editId="1E2140A2">
                <wp:simplePos x="0" y="0"/>
                <wp:positionH relativeFrom="column">
                  <wp:posOffset>7156919</wp:posOffset>
                </wp:positionH>
                <wp:positionV relativeFrom="paragraph">
                  <wp:posOffset>481109</wp:posOffset>
                </wp:positionV>
                <wp:extent cx="413468" cy="198783"/>
                <wp:effectExtent l="0" t="0" r="5715" b="0"/>
                <wp:wrapNone/>
                <wp:docPr id="288791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3491E956"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69AE0" id="_x0000_s1213" type="#_x0000_t202" style="position:absolute;margin-left:563.55pt;margin-top:37.9pt;width:32.55pt;height:15.65pt;z-index:2516583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" stroked="f">
                <v:textbox>
                  <w:txbxContent>
                    <w:p w14:paraId="3491E956"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87352B" w:rsidRPr="0087352B">
        <w:rPr>
          <w:noProof/>
          <w:sz w:val="26"/>
        </w:rPr>
        <mc:AlternateContent>
          <mc:Choice Requires="wps">
            <w:drawing>
              <wp:anchor distT="45720" distB="45720" distL="114300" distR="114300" simplePos="0" relativeHeight="251658386" behindDoc="0" locked="0" layoutInCell="1" allowOverlap="1" wp14:anchorId="4F5EA2E1" wp14:editId="17831058">
                <wp:simplePos x="0" y="0"/>
                <wp:positionH relativeFrom="column">
                  <wp:posOffset>4906672</wp:posOffset>
                </wp:positionH>
                <wp:positionV relativeFrom="paragraph">
                  <wp:posOffset>457283</wp:posOffset>
                </wp:positionV>
                <wp:extent cx="413468" cy="198783"/>
                <wp:effectExtent l="0" t="0" r="5715" b="0"/>
                <wp:wrapNone/>
                <wp:docPr id="770279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8783"/>
                        </a:xfrm>
                        <a:prstGeom prst="rect">
                          <a:avLst/>
                        </a:prstGeom>
                        <a:solidFill>
                          <a:srgbClr val="FFFFFF"/>
                        </a:solidFill>
                        <a:ln w="9525">
                          <a:noFill/>
                          <a:miter lim="800000"/>
                          <a:headEnd/>
                          <a:tailEnd/>
                        </a:ln>
                      </wps:spPr>
                      <wps:txbx>
                        <w:txbxContent>
                          <w:p w14:paraId="0C87C835" w14:textId="77777777" w:rsidR="0087352B" w:rsidRPr="0087352B" w:rsidRDefault="0087352B" w:rsidP="0087352B">
                            <w:pPr>
                              <w:jc w:val="center"/>
                              <w:rPr>
                                <w:sz w:val="14"/>
                                <w:szCs w:val="14"/>
                              </w:rPr>
                            </w:pPr>
                            <w:r w:rsidRPr="0087352B">
                              <w:rPr>
                                <w:sz w:val="14"/>
                                <w:szCs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EA2E1" id="_x0000_s1214" type="#_x0000_t202" style="position:absolute;margin-left:386.35pt;margin-top:36pt;width:32.55pt;height:15.65pt;z-index:251658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" stroked="f">
                <v:textbox>
                  <w:txbxContent>
                    <w:p w14:paraId="0C87C835" w14:textId="77777777" w:rsidR="0087352B" w:rsidRPr="0087352B" w:rsidRDefault="0087352B" w:rsidP="0087352B">
                      <w:pPr>
                        <w:jc w:val="center"/>
                        <w:rPr>
                          <w:sz w:val="14"/>
                          <w:szCs w:val="14"/>
                        </w:rPr>
                      </w:pPr>
                      <w:r w:rsidRPr="0087352B">
                        <w:rPr>
                          <w:sz w:val="14"/>
                          <w:szCs w:val="14"/>
                        </w:rPr>
                        <w:t>Yes</w:t>
                      </w:r>
                    </w:p>
                  </w:txbxContent>
                </v:textbox>
              </v:shape>
            </w:pict>
          </mc:Fallback>
        </mc:AlternateContent>
      </w:r>
      <w:r w:rsidR="007D1740">
        <w:rPr>
          <w:noProof/>
        </w:rPr>
        <w:drawing>
          <wp:inline distT="0" distB="0" distL="0" distR="0" wp14:anchorId="63373DA9" wp14:editId="5D247E89">
            <wp:extent cx="8135553" cy="565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160483" cy="5675187"/>
                    </a:xfrm>
                    <a:prstGeom prst="rect">
                      <a:avLst/>
                    </a:prstGeom>
                  </pic:spPr>
                </pic:pic>
              </a:graphicData>
            </a:graphic>
          </wp:inline>
        </w:drawing>
      </w:r>
      <w:r w:rsidR="007D1740">
        <w:rPr>
          <w:sz w:val="26"/>
        </w:rPr>
        <w:t xml:space="preserve"> </w:t>
      </w:r>
      <w:r w:rsidR="007D1740">
        <w:rPr>
          <w:sz w:val="26"/>
        </w:rPr>
        <w:br w:type="page"/>
      </w:r>
    </w:p>
    <w:p w14:paraId="1FB641FD" w14:textId="77777777" w:rsidR="00672DC5" w:rsidRDefault="00C12286" w:rsidP="00A51DA5">
      <w:pPr>
        <w:pStyle w:val="Virsraksts1"/>
        <w:rPr>
          <w:sz w:val="26"/>
          <w:szCs w:val="26"/>
        </w:rPr>
      </w:pPr>
      <w:bookmarkStart w:id="195" w:name="_Pielikums_B._Izmantoto"/>
      <w:bookmarkStart w:id="196" w:name="_Toc3805012"/>
      <w:bookmarkStart w:id="197" w:name="_Toc178586375"/>
      <w:bookmarkStart w:id="198" w:name="_Toc3759975"/>
      <w:bookmarkEnd w:id="195"/>
      <w:r>
        <w:rPr>
          <w:sz w:val="26"/>
        </w:rPr>
        <w:lastRenderedPageBreak/>
        <w:t>Annex B. A List of Sources of Information Used</w:t>
      </w:r>
      <w:bookmarkEnd w:id="196"/>
      <w:bookmarkEnd w:id="197"/>
      <w:r>
        <w:rPr>
          <w:sz w:val="26"/>
        </w:rPr>
        <w:t xml:space="preserve"> </w:t>
      </w:r>
    </w:p>
    <w:p w14:paraId="7C6592B1" w14:textId="24073FFE" w:rsidR="00A51DA5" w:rsidRPr="00672DC5" w:rsidRDefault="7C3E34A1" w:rsidP="7DB09CA3">
      <w:pPr>
        <w:rPr>
          <w:sz w:val="18"/>
          <w:szCs w:val="18"/>
        </w:rPr>
      </w:pPr>
      <w:r>
        <w:rPr>
          <w:sz w:val="18"/>
        </w:rPr>
        <w:t>(up-to-date versions as of 18.03.2019)</w:t>
      </w:r>
      <w:bookmarkEnd w:id="198"/>
    </w:p>
    <w:tbl>
      <w:tblPr>
        <w:tblW w:w="5000" w:type="pct"/>
        <w:tblCellMar>
          <w:left w:w="0" w:type="dxa"/>
          <w:right w:w="0" w:type="dxa"/>
        </w:tblCellMar>
        <w:tblLook w:val="0600" w:firstRow="0" w:lastRow="0" w:firstColumn="0" w:lastColumn="0" w:noHBand="1" w:noVBand="1"/>
      </w:tblPr>
      <w:tblGrid>
        <w:gridCol w:w="813"/>
        <w:gridCol w:w="4315"/>
        <w:gridCol w:w="3061"/>
        <w:gridCol w:w="1420"/>
        <w:gridCol w:w="1314"/>
        <w:gridCol w:w="2037"/>
      </w:tblGrid>
      <w:tr w:rsidR="00A51DA5" w:rsidRPr="007F7F3A" w14:paraId="445C1FA8" w14:textId="77777777" w:rsidTr="7DB09CA3">
        <w:trPr>
          <w:trHeight w:val="407"/>
          <w:tblHeader/>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E3E3E4" w:themeFill="accent6" w:themeFillTint="33"/>
            <w:tcMar>
              <w:top w:w="15" w:type="dxa"/>
              <w:left w:w="15" w:type="dxa"/>
              <w:bottom w:w="0" w:type="dxa"/>
              <w:right w:w="15" w:type="dxa"/>
            </w:tcMar>
            <w:vAlign w:val="center"/>
          </w:tcPr>
          <w:p w14:paraId="66D65FDD" w14:textId="77777777" w:rsidR="00A51DA5" w:rsidRPr="003A2B63" w:rsidRDefault="00A51DA5" w:rsidP="00A51DA5">
            <w:pPr>
              <w:jc w:val="center"/>
              <w:rPr>
                <w:b/>
                <w:sz w:val="18"/>
                <w:szCs w:val="18"/>
              </w:rPr>
            </w:pPr>
            <w:r>
              <w:rPr>
                <w:b/>
                <w:sz w:val="18"/>
              </w:rPr>
              <w:t>No.</w:t>
            </w:r>
          </w:p>
        </w:tc>
        <w:tc>
          <w:tcPr>
            <w:tcW w:w="4315" w:type="dxa"/>
            <w:tcBorders>
              <w:top w:val="single" w:sz="4" w:space="0" w:color="BFBFBF" w:themeColor="background1" w:themeShade="BF"/>
              <w:left w:val="nil"/>
              <w:bottom w:val="single" w:sz="4" w:space="0" w:color="BFBFBF" w:themeColor="background1" w:themeShade="BF"/>
              <w:right w:val="nil"/>
            </w:tcBorders>
            <w:shd w:val="clear" w:color="auto" w:fill="E3E3E4" w:themeFill="accent6" w:themeFillTint="33"/>
            <w:vAlign w:val="center"/>
          </w:tcPr>
          <w:p w14:paraId="49288491" w14:textId="77777777" w:rsidR="00A51DA5" w:rsidRPr="003A2B63" w:rsidRDefault="00A51DA5" w:rsidP="00A51DA5">
            <w:pPr>
              <w:ind w:firstLine="86"/>
              <w:jc w:val="center"/>
              <w:rPr>
                <w:b/>
                <w:sz w:val="18"/>
                <w:szCs w:val="18"/>
              </w:rPr>
            </w:pPr>
            <w:r>
              <w:rPr>
                <w:b/>
                <w:sz w:val="18"/>
              </w:rPr>
              <w:t>Document name</w:t>
            </w:r>
          </w:p>
        </w:tc>
        <w:tc>
          <w:tcPr>
            <w:tcW w:w="3061" w:type="dxa"/>
            <w:tcBorders>
              <w:top w:val="single" w:sz="4" w:space="0" w:color="BFBFBF" w:themeColor="background1" w:themeShade="BF"/>
              <w:left w:val="nil"/>
              <w:bottom w:val="single" w:sz="4" w:space="0" w:color="BFBFBF" w:themeColor="background1" w:themeShade="BF"/>
              <w:right w:val="nil"/>
            </w:tcBorders>
            <w:shd w:val="clear" w:color="auto" w:fill="E3E3E4" w:themeFill="accent6" w:themeFillTint="33"/>
            <w:vAlign w:val="center"/>
          </w:tcPr>
          <w:p w14:paraId="32727C01" w14:textId="062E33AB" w:rsidR="00A51DA5" w:rsidRDefault="00A51DA5" w:rsidP="00C2478D">
            <w:pPr>
              <w:ind w:left="100"/>
              <w:jc w:val="center"/>
              <w:rPr>
                <w:b/>
                <w:sz w:val="18"/>
                <w:szCs w:val="18"/>
              </w:rPr>
            </w:pPr>
            <w:r>
              <w:rPr>
                <w:b/>
                <w:sz w:val="18"/>
              </w:rPr>
              <w:t>Name used in the Guidelines</w:t>
            </w:r>
          </w:p>
        </w:tc>
        <w:tc>
          <w:tcPr>
            <w:tcW w:w="1420" w:type="dxa"/>
            <w:tcBorders>
              <w:top w:val="single" w:sz="4" w:space="0" w:color="BFBFBF" w:themeColor="background1" w:themeShade="BF"/>
              <w:left w:val="nil"/>
              <w:bottom w:val="single" w:sz="4" w:space="0" w:color="BFBFBF" w:themeColor="background1" w:themeShade="BF"/>
              <w:right w:val="nil"/>
            </w:tcBorders>
            <w:shd w:val="clear" w:color="auto" w:fill="E3E3E4" w:themeFill="accent6" w:themeFillTint="33"/>
            <w:vAlign w:val="center"/>
          </w:tcPr>
          <w:p w14:paraId="6D0BF738" w14:textId="730F07B7" w:rsidR="00A51DA5" w:rsidRDefault="00D64275" w:rsidP="00A51DA5">
            <w:pPr>
              <w:ind w:firstLine="86"/>
              <w:jc w:val="center"/>
              <w:rPr>
                <w:b/>
                <w:sz w:val="18"/>
                <w:szCs w:val="18"/>
              </w:rPr>
            </w:pPr>
            <w:r>
              <w:rPr>
                <w:b/>
                <w:sz w:val="18"/>
              </w:rPr>
              <w:t>Date or year of adoption</w:t>
            </w:r>
          </w:p>
        </w:tc>
        <w:tc>
          <w:tcPr>
            <w:tcW w:w="1314" w:type="dxa"/>
            <w:tcBorders>
              <w:top w:val="single" w:sz="4" w:space="0" w:color="BFBFBF" w:themeColor="background1" w:themeShade="BF"/>
              <w:left w:val="nil"/>
              <w:bottom w:val="single" w:sz="4" w:space="0" w:color="BFBFBF" w:themeColor="background1" w:themeShade="BF"/>
              <w:right w:val="nil"/>
            </w:tcBorders>
            <w:shd w:val="clear" w:color="auto" w:fill="E3E3E4" w:themeFill="accent6" w:themeFillTint="33"/>
            <w:vAlign w:val="center"/>
          </w:tcPr>
          <w:p w14:paraId="7F181CC5" w14:textId="77777777" w:rsidR="00A51DA5" w:rsidRDefault="00A51DA5" w:rsidP="00586D3A">
            <w:pPr>
              <w:ind w:firstLine="86"/>
              <w:jc w:val="center"/>
              <w:rPr>
                <w:b/>
                <w:sz w:val="18"/>
                <w:szCs w:val="18"/>
              </w:rPr>
            </w:pPr>
            <w:r>
              <w:rPr>
                <w:b/>
                <w:sz w:val="18"/>
              </w:rPr>
              <w:t>Issuer</w:t>
            </w:r>
          </w:p>
        </w:tc>
        <w:tc>
          <w:tcPr>
            <w:tcW w:w="2037" w:type="dxa"/>
            <w:tcBorders>
              <w:top w:val="single" w:sz="4" w:space="0" w:color="BFBFBF" w:themeColor="background1" w:themeShade="BF"/>
              <w:left w:val="nil"/>
              <w:bottom w:val="single" w:sz="4" w:space="0" w:color="BFBFBF" w:themeColor="background1" w:themeShade="BF"/>
              <w:right w:val="nil"/>
            </w:tcBorders>
            <w:shd w:val="clear" w:color="auto" w:fill="E3E3E4" w:themeFill="accent6" w:themeFillTint="33"/>
            <w:vAlign w:val="center"/>
          </w:tcPr>
          <w:p w14:paraId="5B14B477" w14:textId="7CFC2287" w:rsidR="00A51DA5" w:rsidRPr="003A2B63" w:rsidRDefault="00A51DA5" w:rsidP="00A51DA5">
            <w:pPr>
              <w:ind w:left="130" w:hanging="4"/>
              <w:jc w:val="center"/>
              <w:rPr>
                <w:b/>
                <w:sz w:val="18"/>
                <w:szCs w:val="18"/>
              </w:rPr>
            </w:pPr>
            <w:r>
              <w:rPr>
                <w:b/>
                <w:sz w:val="18"/>
              </w:rPr>
              <w:t>Reference to chapters used or required to be used</w:t>
            </w:r>
          </w:p>
        </w:tc>
      </w:tr>
      <w:tr w:rsidR="00A51DA5" w:rsidRPr="003A2B63" w14:paraId="0CAF86B5" w14:textId="77777777" w:rsidTr="7DB09CA3">
        <w:trPr>
          <w:trHeight w:val="308"/>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1D37557D" w14:textId="77777777" w:rsidR="00A51DA5" w:rsidRPr="003A2B63" w:rsidRDefault="00A51DA5" w:rsidP="00586D3A">
            <w:pPr>
              <w:pStyle w:val="Sarakstarindkopa"/>
              <w:spacing w:before="120"/>
              <w:ind w:left="200"/>
              <w:contextualSpacing w:val="0"/>
              <w:rPr>
                <w:sz w:val="18"/>
                <w:szCs w:val="18"/>
              </w:rPr>
            </w:pPr>
            <w:r>
              <w:rPr>
                <w:sz w:val="18"/>
              </w:rPr>
              <w:t>1.</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ED74DA3" w14:textId="6E9D01BC" w:rsidR="00A51DA5" w:rsidRPr="00672DC5" w:rsidRDefault="00A51DA5" w:rsidP="00586D3A">
            <w:pPr>
              <w:pStyle w:val="Sarakstarindkopa"/>
              <w:spacing w:before="120"/>
              <w:ind w:left="200"/>
              <w:contextualSpacing w:val="0"/>
              <w:rPr>
                <w:color w:val="000000" w:themeColor="text1"/>
                <w:sz w:val="18"/>
                <w:szCs w:val="18"/>
              </w:rPr>
            </w:pPr>
            <w:hyperlink r:id="rId99" w:history="1">
              <w:r w:rsidRPr="009229AD">
                <w:rPr>
                  <w:rStyle w:val="Hipersaite"/>
                  <w:sz w:val="18"/>
                </w:rPr>
                <w:t>Law on Public-Private Partnership</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4CA4D04" w14:textId="6F8AAAF0" w:rsidR="00A51DA5" w:rsidRPr="00672DC5" w:rsidRDefault="00672DC5" w:rsidP="00586D3A">
            <w:pPr>
              <w:pStyle w:val="Sarakstarindkopa"/>
              <w:spacing w:before="120"/>
              <w:ind w:left="200"/>
              <w:contextualSpacing w:val="0"/>
              <w:rPr>
                <w:color w:val="000000" w:themeColor="text1"/>
                <w:sz w:val="18"/>
                <w:szCs w:val="18"/>
              </w:rPr>
            </w:pPr>
            <w:r>
              <w:rPr>
                <w:color w:val="000000" w:themeColor="text1"/>
                <w:sz w:val="18"/>
              </w:rPr>
              <w:t>PPP Law</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6FF97462" w14:textId="2E8F0551" w:rsidR="00A51DA5" w:rsidRPr="00D64275" w:rsidRDefault="00D64275" w:rsidP="00586D3A">
            <w:pPr>
              <w:pStyle w:val="Sarakstarindkopa"/>
              <w:spacing w:before="120"/>
              <w:ind w:left="200" w:hanging="200"/>
              <w:contextualSpacing w:val="0"/>
              <w:jc w:val="center"/>
              <w:rPr>
                <w:sz w:val="18"/>
                <w:szCs w:val="18"/>
              </w:rPr>
            </w:pPr>
            <w:r>
              <w:rPr>
                <w:sz w:val="18"/>
              </w:rPr>
              <w:t>18.06.</w:t>
            </w:r>
            <w:r>
              <w:rPr>
                <w:color w:val="000000" w:themeColor="text1"/>
                <w:sz w:val="18"/>
              </w:rPr>
              <w:t>2009</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4FF2BCF3" w14:textId="1F23E374" w:rsidR="00A51DA5" w:rsidRDefault="00A51DA5" w:rsidP="00586D3A">
            <w:pPr>
              <w:pStyle w:val="Sarakstarindkopa"/>
              <w:spacing w:before="120"/>
              <w:ind w:left="200" w:hanging="170"/>
              <w:contextualSpacing w:val="0"/>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2E479F1A" w14:textId="02268408" w:rsidR="00A51DA5" w:rsidRPr="003A2B63" w:rsidRDefault="00746F6D" w:rsidP="00586D3A">
            <w:pPr>
              <w:pStyle w:val="Sarakstarindkopa"/>
              <w:spacing w:before="120"/>
              <w:ind w:left="30"/>
              <w:contextualSpacing w:val="0"/>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2FA73EDC"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44CF9490" w14:textId="77777777" w:rsidR="00A51DA5" w:rsidRPr="003A2B63" w:rsidRDefault="00A51DA5" w:rsidP="00A51DA5">
            <w:pPr>
              <w:pStyle w:val="Sarakstarindkopa"/>
              <w:ind w:left="200"/>
              <w:rPr>
                <w:sz w:val="18"/>
                <w:szCs w:val="18"/>
              </w:rPr>
            </w:pPr>
            <w:r>
              <w:rPr>
                <w:sz w:val="18"/>
              </w:rPr>
              <w:t>2.</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A8324BD" w14:textId="232BDBC7" w:rsidR="00A51DA5" w:rsidRPr="003A2B63" w:rsidRDefault="00A51DA5" w:rsidP="00A51DA5">
            <w:pPr>
              <w:pStyle w:val="Sarakstarindkopa"/>
              <w:ind w:left="200"/>
              <w:rPr>
                <w:sz w:val="18"/>
                <w:szCs w:val="18"/>
              </w:rPr>
            </w:pPr>
            <w:hyperlink r:id="rId100" w:history="1">
              <w:r w:rsidRPr="008F1255">
                <w:rPr>
                  <w:rStyle w:val="Hipersaite"/>
                  <w:sz w:val="18"/>
                </w:rPr>
                <w:t>State Administration Structure Law</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44254AFD" w14:textId="36A68C7B" w:rsidR="00A51DA5" w:rsidRPr="005B33D3" w:rsidRDefault="00C2478D" w:rsidP="00586D3A">
            <w:pPr>
              <w:pStyle w:val="Sarakstarindkopa"/>
              <w:spacing w:before="120"/>
              <w:ind w:left="200"/>
              <w:contextualSpacing w:val="0"/>
              <w:rPr>
                <w:sz w:val="18"/>
                <w:szCs w:val="18"/>
              </w:rPr>
            </w:pPr>
            <w:r>
              <w:rPr>
                <w:color w:val="000000" w:themeColor="text1"/>
                <w:sz w:val="18"/>
              </w:rPr>
              <w:t>SASL</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65BAAE10" w14:textId="424F2436" w:rsidR="00A51DA5" w:rsidRPr="005B33D3" w:rsidRDefault="00D64275" w:rsidP="00586D3A">
            <w:pPr>
              <w:pStyle w:val="Sarakstarindkopa"/>
              <w:spacing w:before="120"/>
              <w:ind w:left="200" w:hanging="200"/>
              <w:contextualSpacing w:val="0"/>
              <w:jc w:val="center"/>
              <w:rPr>
                <w:sz w:val="18"/>
                <w:szCs w:val="18"/>
              </w:rPr>
            </w:pPr>
            <w:r>
              <w:rPr>
                <w:sz w:val="18"/>
              </w:rPr>
              <w:t>06.06.2002</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45B49A11" w14:textId="215542E8"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3C875A7D" w14:textId="68C2F511"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6ACFDE02"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E234268" w14:textId="77777777" w:rsidR="00A51DA5" w:rsidRPr="003A2B63" w:rsidRDefault="00A51DA5" w:rsidP="00A51DA5">
            <w:pPr>
              <w:pStyle w:val="Sarakstarindkopa"/>
              <w:ind w:left="200"/>
              <w:rPr>
                <w:sz w:val="18"/>
                <w:szCs w:val="18"/>
              </w:rPr>
            </w:pPr>
            <w:r>
              <w:rPr>
                <w:sz w:val="18"/>
              </w:rPr>
              <w:t>3.</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9B76A5E" w14:textId="2681A63A" w:rsidR="00A51DA5" w:rsidRPr="003A2B63" w:rsidRDefault="00A51DA5" w:rsidP="00A51DA5">
            <w:pPr>
              <w:pStyle w:val="Sarakstarindkopa"/>
              <w:ind w:left="200"/>
              <w:rPr>
                <w:color w:val="000000" w:themeColor="text1"/>
                <w:sz w:val="18"/>
                <w:szCs w:val="18"/>
              </w:rPr>
            </w:pPr>
            <w:hyperlink r:id="rId101" w:history="1">
              <w:r w:rsidRPr="00EA3D21">
                <w:rPr>
                  <w:rStyle w:val="Hipersaite"/>
                  <w:sz w:val="18"/>
                </w:rPr>
                <w:t>Civil Law</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3C788924" w14:textId="5EF5A10D" w:rsidR="00A51DA5" w:rsidRPr="00586D3A" w:rsidRDefault="00C2478D" w:rsidP="00586D3A">
            <w:pPr>
              <w:pStyle w:val="Sarakstarindkopa"/>
              <w:spacing w:before="120"/>
              <w:ind w:left="200"/>
              <w:contextualSpacing w:val="0"/>
              <w:rPr>
                <w:color w:val="000000" w:themeColor="text1"/>
                <w:sz w:val="18"/>
                <w:szCs w:val="18"/>
              </w:rPr>
            </w:pPr>
            <w:r>
              <w:rPr>
                <w:color w:val="000000" w:themeColor="text1"/>
                <w:sz w:val="18"/>
              </w:rPr>
              <w:t>CL</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7732009E" w14:textId="054FDF7B" w:rsidR="00A51DA5" w:rsidRPr="005B33D3" w:rsidRDefault="00D64275" w:rsidP="00586D3A">
            <w:pPr>
              <w:pStyle w:val="Sarakstarindkopa"/>
              <w:spacing w:before="120"/>
              <w:ind w:left="200" w:hanging="200"/>
              <w:contextualSpacing w:val="0"/>
              <w:jc w:val="center"/>
              <w:rPr>
                <w:sz w:val="18"/>
                <w:szCs w:val="18"/>
              </w:rPr>
            </w:pPr>
            <w:r>
              <w:rPr>
                <w:sz w:val="18"/>
              </w:rPr>
              <w:t>28.01.1937</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544EA5BB" w14:textId="2A4DAC8F"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6838EC58" w14:textId="77777777" w:rsidR="00A51DA5" w:rsidRPr="005B33D3" w:rsidRDefault="00A51DA5" w:rsidP="00A51DA5">
            <w:pPr>
              <w:ind w:left="58"/>
              <w:rPr>
                <w:sz w:val="18"/>
                <w:szCs w:val="18"/>
                <w:lang w:val="lv-LV"/>
              </w:rPr>
            </w:pPr>
          </w:p>
        </w:tc>
      </w:tr>
      <w:tr w:rsidR="00A51DA5" w:rsidRPr="003A2B63" w14:paraId="46B3B974"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4384DE19" w14:textId="77777777" w:rsidR="00A51DA5" w:rsidRPr="003A2B63" w:rsidRDefault="00A51DA5" w:rsidP="00A51DA5">
            <w:pPr>
              <w:pStyle w:val="Sarakstarindkopa"/>
              <w:ind w:left="200"/>
              <w:rPr>
                <w:sz w:val="18"/>
                <w:szCs w:val="18"/>
              </w:rPr>
            </w:pPr>
            <w:r>
              <w:rPr>
                <w:sz w:val="18"/>
              </w:rPr>
              <w:t>4.</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5B494A29" w14:textId="3C095AC7" w:rsidR="00A51DA5" w:rsidRPr="003A2B63" w:rsidRDefault="00A51DA5" w:rsidP="00A51DA5">
            <w:pPr>
              <w:pStyle w:val="Sarakstarindkopa"/>
              <w:ind w:left="200"/>
              <w:rPr>
                <w:rStyle w:val="normaltextrun"/>
                <w:color w:val="000000"/>
                <w:sz w:val="18"/>
                <w:szCs w:val="18"/>
              </w:rPr>
            </w:pPr>
            <w:hyperlink r:id="rId102" w:history="1">
              <w:r w:rsidRPr="005255B1">
                <w:rPr>
                  <w:rStyle w:val="Hipersaite"/>
                  <w:sz w:val="18"/>
                </w:rPr>
                <w:t>Commercial Law</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25AEE202" w14:textId="7CB9E1F8" w:rsidR="00A51DA5" w:rsidRPr="00586D3A" w:rsidRDefault="00C2478D" w:rsidP="00586D3A">
            <w:pPr>
              <w:pStyle w:val="Sarakstarindkopa"/>
              <w:spacing w:before="120"/>
              <w:ind w:left="200"/>
              <w:contextualSpacing w:val="0"/>
              <w:rPr>
                <w:color w:val="000000" w:themeColor="text1"/>
                <w:sz w:val="18"/>
                <w:szCs w:val="18"/>
              </w:rPr>
            </w:pPr>
            <w:r>
              <w:rPr>
                <w:color w:val="000000" w:themeColor="text1"/>
                <w:sz w:val="18"/>
              </w:rPr>
              <w:t>CcL</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41213BC5" w14:textId="79391318" w:rsidR="00A51DA5" w:rsidRPr="005B33D3" w:rsidRDefault="00D64275" w:rsidP="00586D3A">
            <w:pPr>
              <w:pStyle w:val="Sarakstarindkopa"/>
              <w:spacing w:before="120"/>
              <w:ind w:left="200" w:hanging="200"/>
              <w:contextualSpacing w:val="0"/>
              <w:jc w:val="center"/>
              <w:rPr>
                <w:sz w:val="18"/>
                <w:szCs w:val="18"/>
              </w:rPr>
            </w:pPr>
            <w:r>
              <w:rPr>
                <w:sz w:val="18"/>
              </w:rPr>
              <w:t>13.04.2000</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32FED4A0" w14:textId="5D72077A"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752FD2B7" w14:textId="4A8AE3E1"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6113D7A7"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77DE8475" w14:textId="77777777" w:rsidR="00A51DA5" w:rsidRPr="003A2B63" w:rsidRDefault="00A51DA5" w:rsidP="00A51DA5">
            <w:pPr>
              <w:pStyle w:val="Sarakstarindkopa"/>
              <w:ind w:left="200"/>
              <w:rPr>
                <w:sz w:val="18"/>
                <w:szCs w:val="18"/>
              </w:rPr>
            </w:pPr>
            <w:r>
              <w:rPr>
                <w:sz w:val="18"/>
              </w:rPr>
              <w:t>5.</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2E8C7D3B" w14:textId="2CA18A18" w:rsidR="00A51DA5" w:rsidRPr="003A2B63" w:rsidRDefault="00A51DA5" w:rsidP="00A51DA5">
            <w:pPr>
              <w:pStyle w:val="Sarakstarindkopa"/>
              <w:ind w:left="200"/>
              <w:rPr>
                <w:rStyle w:val="normaltextrun"/>
                <w:color w:val="000000"/>
                <w:sz w:val="18"/>
                <w:szCs w:val="18"/>
              </w:rPr>
            </w:pPr>
            <w:hyperlink r:id="rId103" w:history="1">
              <w:r w:rsidRPr="0006124B">
                <w:rPr>
                  <w:rStyle w:val="Hipersaite"/>
                  <w:sz w:val="18"/>
                </w:rPr>
                <w:t>Competition Law</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EAD1CAB" w14:textId="09E713DB" w:rsidR="00A51DA5" w:rsidRPr="00586D3A" w:rsidRDefault="00C2478D" w:rsidP="00586D3A">
            <w:pPr>
              <w:pStyle w:val="Sarakstarindkopa"/>
              <w:spacing w:before="120"/>
              <w:ind w:left="200"/>
              <w:contextualSpacing w:val="0"/>
              <w:rPr>
                <w:color w:val="000000" w:themeColor="text1"/>
                <w:sz w:val="18"/>
                <w:szCs w:val="18"/>
              </w:rPr>
            </w:pPr>
            <w:r>
              <w:rPr>
                <w:color w:val="000000" w:themeColor="text1"/>
                <w:sz w:val="18"/>
              </w:rPr>
              <w:t>CtL</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231BCF7" w14:textId="3126DBE3" w:rsidR="00A51DA5" w:rsidRPr="005B33D3" w:rsidRDefault="00D64275" w:rsidP="00586D3A">
            <w:pPr>
              <w:pStyle w:val="Sarakstarindkopa"/>
              <w:spacing w:before="120"/>
              <w:ind w:left="200" w:hanging="200"/>
              <w:contextualSpacing w:val="0"/>
              <w:jc w:val="center"/>
              <w:rPr>
                <w:sz w:val="18"/>
                <w:szCs w:val="18"/>
              </w:rPr>
            </w:pPr>
            <w:r>
              <w:rPr>
                <w:sz w:val="18"/>
              </w:rPr>
              <w:t>14.10.2001</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392B1856" w14:textId="65183667"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45517575" w14:textId="2E7544C5"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7A2C9B9E"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51450CD1" w14:textId="77777777" w:rsidR="00A51DA5" w:rsidRPr="003A2B63" w:rsidRDefault="00A51DA5" w:rsidP="00A51DA5">
            <w:pPr>
              <w:pStyle w:val="Sarakstarindkopa"/>
              <w:ind w:left="200"/>
              <w:rPr>
                <w:sz w:val="18"/>
                <w:szCs w:val="18"/>
              </w:rPr>
            </w:pPr>
            <w:r>
              <w:rPr>
                <w:sz w:val="18"/>
              </w:rPr>
              <w:t>6.</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1097E06" w14:textId="301C8783" w:rsidR="00A51DA5" w:rsidRPr="003A2B63" w:rsidRDefault="00A51DA5" w:rsidP="00A51DA5">
            <w:pPr>
              <w:pStyle w:val="Sarakstarindkopa"/>
              <w:ind w:left="200"/>
              <w:rPr>
                <w:rStyle w:val="normaltextrun"/>
                <w:color w:val="000000"/>
                <w:sz w:val="18"/>
                <w:szCs w:val="18"/>
              </w:rPr>
            </w:pPr>
            <w:hyperlink r:id="rId104" w:history="1">
              <w:r w:rsidRPr="00D5784D">
                <w:rPr>
                  <w:rStyle w:val="Hipersaite"/>
                  <w:sz w:val="18"/>
                </w:rPr>
                <w:t>Law on Control of Aid for Commercial Activity</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44348CB0" w14:textId="6D9AC199" w:rsidR="00A51DA5" w:rsidRPr="00586D3A" w:rsidRDefault="00C2478D" w:rsidP="00586D3A">
            <w:pPr>
              <w:pStyle w:val="Sarakstarindkopa"/>
              <w:spacing w:before="120"/>
              <w:ind w:left="200"/>
              <w:contextualSpacing w:val="0"/>
              <w:rPr>
                <w:color w:val="000000" w:themeColor="text1"/>
                <w:sz w:val="18"/>
                <w:szCs w:val="18"/>
              </w:rPr>
            </w:pPr>
            <w:r>
              <w:rPr>
                <w:color w:val="000000" w:themeColor="text1"/>
                <w:sz w:val="18"/>
              </w:rPr>
              <w:t>Aid Law</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2F0613FB" w14:textId="10714084" w:rsidR="00A51DA5" w:rsidRPr="005B33D3" w:rsidRDefault="00D64275" w:rsidP="00586D3A">
            <w:pPr>
              <w:pStyle w:val="Sarakstarindkopa"/>
              <w:spacing w:before="120"/>
              <w:ind w:left="200" w:hanging="200"/>
              <w:contextualSpacing w:val="0"/>
              <w:jc w:val="center"/>
              <w:rPr>
                <w:sz w:val="18"/>
                <w:szCs w:val="18"/>
              </w:rPr>
            </w:pPr>
            <w:r>
              <w:rPr>
                <w:sz w:val="18"/>
              </w:rPr>
              <w:t>19.06.2014</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17394812" w14:textId="146D9545"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0B8EA3BF" w14:textId="14722AD7"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378C0938"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1C5AF64F" w14:textId="77777777" w:rsidR="00A51DA5" w:rsidRPr="003A2B63" w:rsidRDefault="00A51DA5" w:rsidP="00A51DA5">
            <w:pPr>
              <w:pStyle w:val="Sarakstarindkopa"/>
              <w:ind w:left="200"/>
              <w:rPr>
                <w:sz w:val="18"/>
                <w:szCs w:val="18"/>
              </w:rPr>
            </w:pPr>
            <w:r>
              <w:rPr>
                <w:sz w:val="18"/>
              </w:rPr>
              <w:t>7.</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8A7FC8E" w14:textId="22455D50" w:rsidR="00A51DA5" w:rsidRPr="003A2B63" w:rsidRDefault="00A51DA5" w:rsidP="00A51DA5">
            <w:pPr>
              <w:pStyle w:val="Sarakstarindkopa"/>
              <w:ind w:left="200"/>
              <w:rPr>
                <w:rStyle w:val="normaltextrun"/>
                <w:color w:val="000000" w:themeColor="text1"/>
                <w:sz w:val="18"/>
                <w:szCs w:val="18"/>
              </w:rPr>
            </w:pPr>
            <w:hyperlink r:id="rId105" w:history="1">
              <w:r w:rsidRPr="009345CD">
                <w:rPr>
                  <w:rStyle w:val="Hipersaite"/>
                  <w:sz w:val="18"/>
                </w:rPr>
                <w:t>Law on Prevention of Squandering of the Financial Resources and Property of a Public Entity</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0F90B4D9" w14:textId="368EA5C1"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Law on Prevention of Squandering</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D769377" w14:textId="71ACAB67" w:rsidR="00A51DA5" w:rsidRPr="005B33D3" w:rsidRDefault="00D64275" w:rsidP="00586D3A">
            <w:pPr>
              <w:pStyle w:val="Sarakstarindkopa"/>
              <w:spacing w:before="120"/>
              <w:ind w:left="200" w:hanging="200"/>
              <w:contextualSpacing w:val="0"/>
              <w:jc w:val="center"/>
              <w:rPr>
                <w:sz w:val="18"/>
                <w:szCs w:val="18"/>
              </w:rPr>
            </w:pPr>
            <w:r>
              <w:rPr>
                <w:sz w:val="18"/>
              </w:rPr>
              <w:t>19.07.1995</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090423A3" w14:textId="14E5FAD6"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7ED7CACD" w14:textId="5D4A1592"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550EDDD2"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124A6ECE" w14:textId="77777777" w:rsidR="00A51DA5" w:rsidRPr="003A2B63" w:rsidRDefault="00A51DA5" w:rsidP="00A51DA5">
            <w:pPr>
              <w:pStyle w:val="Sarakstarindkopa"/>
              <w:ind w:left="200"/>
              <w:rPr>
                <w:sz w:val="18"/>
                <w:szCs w:val="18"/>
              </w:rPr>
            </w:pPr>
            <w:r>
              <w:rPr>
                <w:sz w:val="18"/>
              </w:rPr>
              <w:t>8.</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4C8996EC" w14:textId="07AF3024" w:rsidR="00A51DA5" w:rsidRPr="003A2B63" w:rsidRDefault="00A51DA5" w:rsidP="00A51DA5">
            <w:pPr>
              <w:pStyle w:val="Sarakstarindkopa"/>
              <w:ind w:left="200"/>
              <w:rPr>
                <w:rStyle w:val="normaltextrun"/>
                <w:color w:val="000000" w:themeColor="text1"/>
                <w:sz w:val="18"/>
                <w:szCs w:val="18"/>
              </w:rPr>
            </w:pPr>
            <w:hyperlink r:id="rId106" w:history="1">
              <w:r w:rsidRPr="004C675C">
                <w:rPr>
                  <w:rStyle w:val="Hipersaite"/>
                  <w:sz w:val="18"/>
                </w:rPr>
                <w:t>Law on Governance of Capital Shares of Public Entity and Management of Capital Companies Thereof</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56FBD84" w14:textId="2A675FF0"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Governance Law</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AC64C5E" w14:textId="294A70C6" w:rsidR="00A51DA5" w:rsidRPr="005B33D3" w:rsidRDefault="00D64275" w:rsidP="00586D3A">
            <w:pPr>
              <w:pStyle w:val="Sarakstarindkopa"/>
              <w:spacing w:before="120"/>
              <w:ind w:left="200" w:hanging="200"/>
              <w:contextualSpacing w:val="0"/>
              <w:jc w:val="center"/>
              <w:rPr>
                <w:sz w:val="18"/>
                <w:szCs w:val="18"/>
              </w:rPr>
            </w:pPr>
            <w:r>
              <w:rPr>
                <w:sz w:val="18"/>
              </w:rPr>
              <w:t>16.10.2014</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646C7CB3" w14:textId="63A69A6F"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30F8D4F7" w14:textId="56BAAEA8"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6DB4F63A"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660B62E" w14:textId="77777777" w:rsidR="00A51DA5" w:rsidRPr="003A2B63" w:rsidRDefault="00A51DA5" w:rsidP="00A51DA5">
            <w:pPr>
              <w:pStyle w:val="Sarakstarindkopa"/>
              <w:ind w:left="200"/>
              <w:rPr>
                <w:sz w:val="18"/>
                <w:szCs w:val="18"/>
              </w:rPr>
            </w:pPr>
            <w:r>
              <w:rPr>
                <w:sz w:val="18"/>
              </w:rPr>
              <w:t>9.</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3739C3F9" w14:textId="4DBC0E3E" w:rsidR="00A51DA5" w:rsidRPr="003A2B63" w:rsidRDefault="00A51DA5" w:rsidP="00A51DA5">
            <w:pPr>
              <w:pStyle w:val="Sarakstarindkopa"/>
              <w:ind w:left="200"/>
              <w:rPr>
                <w:rStyle w:val="normaltextrun"/>
                <w:color w:val="000000"/>
                <w:sz w:val="18"/>
                <w:szCs w:val="18"/>
              </w:rPr>
            </w:pPr>
            <w:hyperlink r:id="rId107" w:history="1">
              <w:r w:rsidRPr="00716C10">
                <w:rPr>
                  <w:rStyle w:val="Hipersaite"/>
                  <w:sz w:val="18"/>
                </w:rPr>
                <w:t>Public Procurement Law</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3E200950" w14:textId="0DE1E5BE"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PPL</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6E122471" w14:textId="76A76141" w:rsidR="00A51DA5" w:rsidRPr="005B33D3" w:rsidRDefault="00D64275" w:rsidP="00586D3A">
            <w:pPr>
              <w:pStyle w:val="Sarakstarindkopa"/>
              <w:spacing w:before="120"/>
              <w:ind w:left="200" w:hanging="200"/>
              <w:contextualSpacing w:val="0"/>
              <w:jc w:val="center"/>
              <w:rPr>
                <w:sz w:val="18"/>
                <w:szCs w:val="18"/>
              </w:rPr>
            </w:pPr>
            <w:r>
              <w:rPr>
                <w:sz w:val="18"/>
              </w:rPr>
              <w:t>15.12.2016</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490CEFD9" w14:textId="43EAADE8"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105A27C9" w14:textId="5F9A6F6E" w:rsidR="00A51DA5" w:rsidRPr="005B33D3" w:rsidRDefault="00746F6D" w:rsidP="001032D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21F8E744"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5256EF5A" w14:textId="77777777" w:rsidR="00A51DA5" w:rsidRPr="003A2B63" w:rsidRDefault="00A51DA5" w:rsidP="00A51DA5">
            <w:pPr>
              <w:pStyle w:val="Sarakstarindkopa"/>
              <w:ind w:left="200"/>
              <w:rPr>
                <w:sz w:val="18"/>
                <w:szCs w:val="18"/>
              </w:rPr>
            </w:pPr>
            <w:r>
              <w:rPr>
                <w:sz w:val="18"/>
              </w:rPr>
              <w:t>10.</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C293944" w14:textId="04827109" w:rsidR="00A51DA5" w:rsidRPr="003A2B63" w:rsidRDefault="00A51DA5" w:rsidP="00A51DA5">
            <w:pPr>
              <w:pStyle w:val="Sarakstarindkopa"/>
              <w:ind w:left="200"/>
              <w:rPr>
                <w:rStyle w:val="normaltextrun"/>
                <w:color w:val="000000"/>
                <w:sz w:val="18"/>
                <w:szCs w:val="18"/>
              </w:rPr>
            </w:pPr>
            <w:hyperlink r:id="rId108" w:history="1">
              <w:r w:rsidRPr="0035193E">
                <w:rPr>
                  <w:rStyle w:val="Hipersaite"/>
                  <w:sz w:val="18"/>
                </w:rPr>
                <w:t>Law on the Procurements of Public Service Providers</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0486E349" w14:textId="162C1CDD"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LPPSP</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45CA2B7B" w14:textId="27AFCD24" w:rsidR="00A51DA5" w:rsidRPr="005B33D3" w:rsidRDefault="00D64275" w:rsidP="00586D3A">
            <w:pPr>
              <w:pStyle w:val="Sarakstarindkopa"/>
              <w:spacing w:before="120"/>
              <w:ind w:left="200" w:hanging="200"/>
              <w:contextualSpacing w:val="0"/>
              <w:jc w:val="center"/>
              <w:rPr>
                <w:sz w:val="18"/>
                <w:szCs w:val="18"/>
              </w:rPr>
            </w:pPr>
            <w:r>
              <w:rPr>
                <w:sz w:val="18"/>
              </w:rPr>
              <w:t>02.02.2017</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77F2DDDB" w14:textId="23290DF2"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3B360209" w14:textId="46BF1213"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1FC094B4"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64CCE6EE" w14:textId="77777777" w:rsidR="00A51DA5" w:rsidRPr="003A2B63" w:rsidRDefault="00A51DA5" w:rsidP="00A51DA5">
            <w:pPr>
              <w:pStyle w:val="Sarakstarindkopa"/>
              <w:ind w:left="200"/>
              <w:rPr>
                <w:sz w:val="18"/>
                <w:szCs w:val="18"/>
              </w:rPr>
            </w:pPr>
            <w:r>
              <w:rPr>
                <w:sz w:val="18"/>
              </w:rPr>
              <w:t>11.</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23C42063" w14:textId="15751D0E" w:rsidR="00A51DA5" w:rsidRPr="003A2B63" w:rsidRDefault="00A51DA5" w:rsidP="00A51DA5">
            <w:pPr>
              <w:pStyle w:val="Sarakstarindkopa"/>
              <w:ind w:left="200"/>
              <w:rPr>
                <w:rStyle w:val="normaltextrun"/>
                <w:color w:val="000000"/>
                <w:sz w:val="18"/>
                <w:szCs w:val="18"/>
              </w:rPr>
            </w:pPr>
            <w:hyperlink r:id="rId109" w:history="1">
              <w:r w:rsidRPr="00CB22CF">
                <w:rPr>
                  <w:rStyle w:val="Hipersaite"/>
                  <w:sz w:val="18"/>
                </w:rPr>
                <w:t>Law on Procurements in the Field of Defence and Security</w:t>
              </w:r>
            </w:hyperlink>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361B4D55" w14:textId="00ACA0F0"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LPFDS</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507287C6" w14:textId="6D014740" w:rsidR="00A51DA5" w:rsidRPr="005B33D3" w:rsidRDefault="00D64275" w:rsidP="00586D3A">
            <w:pPr>
              <w:pStyle w:val="Sarakstarindkopa"/>
              <w:spacing w:before="120"/>
              <w:ind w:left="200" w:hanging="200"/>
              <w:contextualSpacing w:val="0"/>
              <w:jc w:val="center"/>
              <w:rPr>
                <w:sz w:val="18"/>
                <w:szCs w:val="18"/>
              </w:rPr>
            </w:pPr>
            <w:r>
              <w:rPr>
                <w:sz w:val="18"/>
              </w:rPr>
              <w:t>13.10.2011</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54CFA539" w14:textId="46331267" w:rsidR="00A51DA5" w:rsidRPr="005B33D3" w:rsidRDefault="00A51DA5" w:rsidP="00586D3A">
            <w:pPr>
              <w:ind w:left="58"/>
              <w:jc w:val="center"/>
              <w:rPr>
                <w:sz w:val="18"/>
                <w:szCs w:val="18"/>
              </w:rPr>
            </w:pPr>
            <w:r>
              <w:rPr>
                <w:sz w:val="18"/>
              </w:rPr>
              <w:t>The Saeima</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3D0263EF" w14:textId="48760DB9" w:rsidR="00A51DA5" w:rsidRPr="005B33D3" w:rsidRDefault="00746F6D" w:rsidP="00A51DA5">
            <w:pPr>
              <w:ind w:left="58"/>
              <w:rPr>
                <w:sz w:val="18"/>
                <w:szCs w:val="18"/>
              </w:rPr>
            </w:pPr>
            <w:hyperlink w:anchor="_Projekta_iespējamības_novērtējums" w:history="1">
              <w:r>
                <w:rPr>
                  <w:rStyle w:val="Hipersaite"/>
                  <w:sz w:val="18"/>
                </w:rPr>
                <w:t>Chapter 2.3</w:t>
              </w:r>
            </w:hyperlink>
            <w:r>
              <w:rPr>
                <w:sz w:val="18"/>
              </w:rPr>
              <w:t xml:space="preserve">, </w:t>
            </w:r>
            <w:hyperlink w:anchor="_PPP_risinājuma_īstenošanas" w:history="1">
              <w:r>
                <w:rPr>
                  <w:rStyle w:val="Hipersaite"/>
                  <w:sz w:val="18"/>
                </w:rPr>
                <w:t>Chapter 3.1</w:t>
              </w:r>
            </w:hyperlink>
          </w:p>
        </w:tc>
      </w:tr>
      <w:tr w:rsidR="00A51DA5" w:rsidRPr="003A2B63" w14:paraId="1895DE70"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A157ECE" w14:textId="77777777" w:rsidR="00A51DA5" w:rsidRPr="003A2B63" w:rsidRDefault="00A51DA5" w:rsidP="00A51DA5">
            <w:pPr>
              <w:pStyle w:val="Sarakstarindkopa"/>
              <w:ind w:left="200"/>
              <w:rPr>
                <w:rStyle w:val="normaltextrun"/>
                <w:color w:val="000000"/>
                <w:sz w:val="18"/>
                <w:szCs w:val="18"/>
              </w:rPr>
            </w:pPr>
            <w:r>
              <w:rPr>
                <w:rStyle w:val="normaltextrun"/>
                <w:color w:val="000000"/>
                <w:sz w:val="18"/>
              </w:rPr>
              <w:lastRenderedPageBreak/>
              <w:t>12.</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5AE6E44" w14:textId="5572D901" w:rsidR="00A51DA5" w:rsidRPr="00615648" w:rsidRDefault="00A51DA5" w:rsidP="01E314AF">
            <w:pPr>
              <w:pStyle w:val="paragraph"/>
              <w:spacing w:before="0" w:beforeAutospacing="0" w:after="0" w:afterAutospacing="0"/>
              <w:ind w:left="180" w:right="180"/>
              <w:textAlignment w:val="baseline"/>
              <w:rPr>
                <w:rStyle w:val="normaltextrun"/>
                <w:rFonts w:asciiTheme="minorHAnsi" w:eastAsiaTheme="minorEastAsia" w:hAnsiTheme="minorHAnsi" w:cstheme="minorBidi"/>
                <w:sz w:val="18"/>
                <w:szCs w:val="18"/>
              </w:rPr>
            </w:pPr>
            <w:hyperlink r:id="rId110" w:history="1">
              <w:r w:rsidRPr="007A6290">
                <w:rPr>
                  <w:rStyle w:val="Hipersaite"/>
                  <w:rFonts w:asciiTheme="minorHAnsi" w:hAnsiTheme="minorHAnsi"/>
                  <w:sz w:val="18"/>
                </w:rPr>
                <w:t>Regulation No. 107</w:t>
              </w:r>
            </w:hyperlink>
            <w:r>
              <w:rPr>
                <w:rStyle w:val="normaltextrun"/>
                <w:rFonts w:asciiTheme="minorHAnsi" w:hAnsiTheme="minorHAnsi"/>
                <w:color w:val="000000" w:themeColor="text1"/>
                <w:sz w:val="18"/>
              </w:rPr>
              <w:t xml:space="preserve"> "Tendering Procedures for Procurement Procedures and Design Contests" </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6FC900D7" w14:textId="69E95BF0"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0D3225A7" w14:textId="77777777" w:rsidR="00A51DA5" w:rsidRPr="005B33D3" w:rsidRDefault="00A51DA5" w:rsidP="00586D3A">
            <w:pPr>
              <w:pStyle w:val="Sarakstarindkopa"/>
              <w:spacing w:before="120"/>
              <w:ind w:left="200" w:hanging="200"/>
              <w:contextualSpacing w:val="0"/>
              <w:jc w:val="center"/>
              <w:rPr>
                <w:sz w:val="18"/>
                <w:szCs w:val="18"/>
              </w:rPr>
            </w:pPr>
            <w:r>
              <w:rPr>
                <w:sz w:val="18"/>
              </w:rPr>
              <w:t>28.02.2017</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57DB40B9" w14:textId="77777777" w:rsidR="00A51DA5" w:rsidRPr="005B33D3" w:rsidRDefault="00A51DA5" w:rsidP="00586D3A">
            <w:pPr>
              <w:ind w:left="58"/>
              <w:jc w:val="center"/>
              <w:rPr>
                <w:sz w:val="18"/>
                <w:szCs w:val="18"/>
              </w:rPr>
            </w:pPr>
            <w:r>
              <w:rPr>
                <w:sz w:val="18"/>
              </w:rPr>
              <w:t>The Cabinet</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114ED6DF" w14:textId="77777777" w:rsidR="00A51DA5" w:rsidRPr="005B33D3" w:rsidRDefault="00A51DA5" w:rsidP="00A51DA5">
            <w:pPr>
              <w:ind w:left="58"/>
              <w:rPr>
                <w:sz w:val="18"/>
                <w:szCs w:val="18"/>
                <w:lang w:val="lv-LV"/>
              </w:rPr>
            </w:pPr>
          </w:p>
        </w:tc>
      </w:tr>
      <w:tr w:rsidR="00A51DA5" w:rsidRPr="003A2B63" w14:paraId="06F60712"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488335B8" w14:textId="77777777" w:rsidR="00A51DA5" w:rsidRPr="003A2B63" w:rsidRDefault="00A51DA5" w:rsidP="00A51DA5">
            <w:pPr>
              <w:pStyle w:val="Sarakstarindkopa"/>
              <w:ind w:left="200"/>
              <w:rPr>
                <w:rStyle w:val="normaltextrun"/>
                <w:color w:val="000000"/>
                <w:sz w:val="18"/>
                <w:szCs w:val="18"/>
              </w:rPr>
            </w:pPr>
            <w:r>
              <w:rPr>
                <w:rStyle w:val="normaltextrun"/>
                <w:color w:val="000000"/>
                <w:sz w:val="18"/>
              </w:rPr>
              <w:t>13.</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CB0B52C" w14:textId="737CA2BA" w:rsidR="00A51DA5" w:rsidRPr="003A2B63" w:rsidRDefault="00A51DA5" w:rsidP="01E314AF">
            <w:pPr>
              <w:pStyle w:val="paragraph"/>
              <w:spacing w:before="0" w:beforeAutospacing="0" w:after="0" w:afterAutospacing="0"/>
              <w:ind w:left="180" w:right="180"/>
              <w:textAlignment w:val="baseline"/>
              <w:rPr>
                <w:rStyle w:val="normaltextrun"/>
                <w:rFonts w:asciiTheme="minorHAnsi" w:eastAsiaTheme="minorEastAsia" w:hAnsiTheme="minorHAnsi" w:cstheme="minorBidi"/>
                <w:color w:val="000000" w:themeColor="text1"/>
                <w:sz w:val="18"/>
                <w:szCs w:val="18"/>
              </w:rPr>
            </w:pPr>
            <w:hyperlink r:id="rId111" w:history="1">
              <w:r w:rsidRPr="009709D8">
                <w:rPr>
                  <w:rStyle w:val="Hipersaite"/>
                  <w:rFonts w:asciiTheme="minorHAnsi" w:hAnsiTheme="minorHAnsi"/>
                  <w:sz w:val="18"/>
                </w:rPr>
                <w:t>Regulation No. 353</w:t>
              </w:r>
            </w:hyperlink>
            <w:r>
              <w:rPr>
                <w:rStyle w:val="normaltextrun"/>
                <w:rFonts w:asciiTheme="minorHAnsi" w:hAnsiTheme="minorHAnsi"/>
                <w:color w:val="000000" w:themeColor="text1"/>
                <w:sz w:val="18"/>
              </w:rPr>
              <w:t xml:space="preserve"> "Requirements for Green Public Procurement and Procedures for Application"</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2235750" w14:textId="3A919F14"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0D97B7E" w14:textId="77777777" w:rsidR="00A51DA5" w:rsidRPr="005B33D3" w:rsidRDefault="00A51DA5" w:rsidP="00586D3A">
            <w:pPr>
              <w:pStyle w:val="Sarakstarindkopa"/>
              <w:spacing w:before="120"/>
              <w:ind w:left="200" w:hanging="200"/>
              <w:contextualSpacing w:val="0"/>
              <w:jc w:val="center"/>
              <w:rPr>
                <w:sz w:val="18"/>
                <w:szCs w:val="18"/>
              </w:rPr>
            </w:pPr>
            <w:r>
              <w:rPr>
                <w:sz w:val="18"/>
              </w:rPr>
              <w:t>20.06.2017</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22636C0A" w14:textId="77777777" w:rsidR="00A51DA5" w:rsidRPr="005B33D3" w:rsidRDefault="00A51DA5" w:rsidP="00586D3A">
            <w:pPr>
              <w:ind w:left="58"/>
              <w:jc w:val="center"/>
              <w:rPr>
                <w:sz w:val="18"/>
                <w:szCs w:val="18"/>
              </w:rPr>
            </w:pPr>
            <w:r>
              <w:rPr>
                <w:sz w:val="18"/>
              </w:rPr>
              <w:t>The Cabinet</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5B347840" w14:textId="77777777" w:rsidR="00A51DA5" w:rsidRPr="005B33D3" w:rsidRDefault="00A51DA5" w:rsidP="00A51DA5">
            <w:pPr>
              <w:ind w:left="58"/>
              <w:rPr>
                <w:sz w:val="18"/>
                <w:szCs w:val="18"/>
                <w:lang w:val="lv-LV"/>
              </w:rPr>
            </w:pPr>
          </w:p>
        </w:tc>
      </w:tr>
      <w:tr w:rsidR="00A51DA5" w:rsidRPr="003A2B63" w14:paraId="28C8A83E"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2779EC85" w14:textId="77777777" w:rsidR="00A51DA5" w:rsidRPr="003A2B63" w:rsidRDefault="00A51DA5" w:rsidP="00A51DA5">
            <w:pPr>
              <w:pStyle w:val="Sarakstarindkopa"/>
              <w:ind w:left="200"/>
              <w:rPr>
                <w:rStyle w:val="normaltextrun"/>
                <w:color w:val="000000"/>
                <w:sz w:val="18"/>
                <w:szCs w:val="18"/>
              </w:rPr>
            </w:pPr>
            <w:r>
              <w:rPr>
                <w:rStyle w:val="normaltextrun"/>
                <w:color w:val="000000"/>
                <w:sz w:val="18"/>
              </w:rPr>
              <w:t>14.</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0B737FE3" w14:textId="3D32DF76" w:rsidR="00A51DA5" w:rsidRPr="003A2B63" w:rsidRDefault="00A51DA5" w:rsidP="01E314AF">
            <w:pPr>
              <w:pStyle w:val="paragraph"/>
              <w:spacing w:before="0" w:beforeAutospacing="0" w:after="0" w:afterAutospacing="0"/>
              <w:ind w:left="180" w:right="180"/>
              <w:textAlignment w:val="baseline"/>
              <w:rPr>
                <w:rStyle w:val="normaltextrun"/>
                <w:rFonts w:asciiTheme="minorHAnsi" w:hAnsiTheme="minorHAnsi"/>
                <w:color w:val="000000" w:themeColor="text1"/>
                <w:sz w:val="18"/>
                <w:szCs w:val="18"/>
              </w:rPr>
            </w:pPr>
            <w:hyperlink r:id="rId112" w:history="1">
              <w:r w:rsidRPr="001C33AB">
                <w:rPr>
                  <w:rStyle w:val="Hipersaite"/>
                  <w:rFonts w:asciiTheme="minorHAnsi" w:hAnsiTheme="minorHAnsi"/>
                  <w:sz w:val="18"/>
                </w:rPr>
                <w:t>Regulation No. 105</w:t>
              </w:r>
            </w:hyperlink>
            <w:r>
              <w:rPr>
                <w:rStyle w:val="normaltextrun"/>
                <w:rFonts w:asciiTheme="minorHAnsi" w:hAnsiTheme="minorHAnsi"/>
                <w:color w:val="000000" w:themeColor="text1"/>
                <w:sz w:val="18"/>
              </w:rPr>
              <w:t xml:space="preserve"> "Regulations Regarding Thresholds of Contract Prices of Public Procurements"</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68FDEB93" w14:textId="37029D97" w:rsidR="00A51DA5" w:rsidRPr="00586D3A" w:rsidRDefault="00D64275" w:rsidP="00586D3A">
            <w:pPr>
              <w:pStyle w:val="Sarakstarindkopa"/>
              <w:spacing w:before="120"/>
              <w:ind w:left="200"/>
              <w:contextualSpacing w:val="0"/>
              <w:rPr>
                <w:color w:val="000000" w:themeColor="text1"/>
                <w:sz w:val="18"/>
                <w:szCs w:val="18"/>
              </w:rPr>
            </w:pPr>
            <w:r>
              <w:rPr>
                <w:color w:val="000000" w:themeColor="text1"/>
                <w:sz w:val="18"/>
              </w:rPr>
              <w:t>-</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70434482" w14:textId="77777777" w:rsidR="00A51DA5" w:rsidRPr="005B33D3" w:rsidRDefault="00A51DA5" w:rsidP="00586D3A">
            <w:pPr>
              <w:pStyle w:val="Sarakstarindkopa"/>
              <w:spacing w:before="120"/>
              <w:ind w:left="200" w:hanging="200"/>
              <w:contextualSpacing w:val="0"/>
              <w:jc w:val="center"/>
              <w:rPr>
                <w:sz w:val="18"/>
                <w:szCs w:val="18"/>
              </w:rPr>
            </w:pPr>
            <w:r>
              <w:rPr>
                <w:sz w:val="18"/>
              </w:rPr>
              <w:t>28.02.2017</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5FA834D2" w14:textId="77777777" w:rsidR="00A51DA5" w:rsidRPr="005B33D3" w:rsidRDefault="00A51DA5" w:rsidP="00586D3A">
            <w:pPr>
              <w:ind w:left="58"/>
              <w:jc w:val="center"/>
              <w:rPr>
                <w:sz w:val="18"/>
                <w:szCs w:val="18"/>
              </w:rPr>
            </w:pPr>
            <w:r>
              <w:rPr>
                <w:sz w:val="18"/>
              </w:rPr>
              <w:t>The Cabinet</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52FF5765" w14:textId="77777777" w:rsidR="00A51DA5" w:rsidRPr="005B33D3" w:rsidRDefault="00A51DA5" w:rsidP="00A51DA5">
            <w:pPr>
              <w:ind w:left="58"/>
              <w:rPr>
                <w:sz w:val="18"/>
                <w:szCs w:val="18"/>
                <w:lang w:val="lv-LV"/>
              </w:rPr>
            </w:pPr>
          </w:p>
        </w:tc>
      </w:tr>
      <w:tr w:rsidR="0063731A" w:rsidRPr="003A2B63" w14:paraId="645C0932"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4EB113D" w14:textId="77777777" w:rsidR="0063731A" w:rsidRPr="003A2B63" w:rsidRDefault="0063731A" w:rsidP="0063731A">
            <w:pPr>
              <w:pStyle w:val="Sarakstarindkopa"/>
              <w:ind w:left="200"/>
              <w:rPr>
                <w:rStyle w:val="normaltextrun"/>
                <w:color w:val="000000"/>
                <w:sz w:val="18"/>
                <w:szCs w:val="18"/>
              </w:rPr>
            </w:pPr>
            <w:r>
              <w:rPr>
                <w:rStyle w:val="normaltextrun"/>
                <w:color w:val="000000"/>
                <w:sz w:val="18"/>
              </w:rPr>
              <w:t>15.</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39012C46" w14:textId="6C8B804D" w:rsidR="0063731A" w:rsidRPr="003A2B63" w:rsidRDefault="0063731A" w:rsidP="0063731A">
            <w:pPr>
              <w:pStyle w:val="paragraph"/>
              <w:spacing w:before="0" w:beforeAutospacing="0" w:after="0" w:afterAutospacing="0"/>
              <w:ind w:left="180" w:right="180"/>
              <w:textAlignment w:val="baseline"/>
              <w:rPr>
                <w:rStyle w:val="normaltextrun"/>
                <w:rFonts w:asciiTheme="minorHAnsi" w:hAnsiTheme="minorHAnsi"/>
                <w:color w:val="000000" w:themeColor="text1"/>
                <w:sz w:val="18"/>
                <w:szCs w:val="18"/>
              </w:rPr>
            </w:pPr>
            <w:hyperlink r:id="rId113" w:history="1">
              <w:r w:rsidRPr="00330E5B">
                <w:rPr>
                  <w:rStyle w:val="Hipersaite"/>
                  <w:rFonts w:asciiTheme="minorHAnsi" w:hAnsiTheme="minorHAnsi"/>
                  <w:sz w:val="18"/>
                </w:rPr>
                <w:t>Regulation No. 1152</w:t>
              </w:r>
            </w:hyperlink>
            <w:r>
              <w:rPr>
                <w:rStyle w:val="normaltextrun"/>
                <w:rFonts w:asciiTheme="minorHAnsi" w:hAnsiTheme="minorHAnsi"/>
                <w:color w:val="000000" w:themeColor="text1"/>
                <w:sz w:val="18"/>
              </w:rPr>
              <w:t xml:space="preserve"> "Procedure for the Conduct of Financial and Economic Calculations, Determination of the Type of a Public-Private Partnership Contract and the Provision of an Opinion Regarding Financial and Economic Calculations"</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7D0C4E78" w14:textId="3EC5EAB5"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CR 1152</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5C2B5804" w14:textId="49C9E869" w:rsidR="0063731A" w:rsidRPr="005B33D3" w:rsidRDefault="0063731A" w:rsidP="0063731A">
            <w:pPr>
              <w:pStyle w:val="Sarakstarindkopa"/>
              <w:spacing w:before="120"/>
              <w:ind w:left="200" w:hanging="200"/>
              <w:contextualSpacing w:val="0"/>
              <w:jc w:val="center"/>
              <w:rPr>
                <w:sz w:val="18"/>
                <w:szCs w:val="18"/>
              </w:rPr>
            </w:pPr>
            <w:r>
              <w:rPr>
                <w:sz w:val="18"/>
              </w:rPr>
              <w:t>06.10.2009</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05DC6633" w14:textId="61E5E8FF" w:rsidR="0063731A" w:rsidRPr="005B33D3" w:rsidRDefault="0063731A" w:rsidP="0063731A">
            <w:pPr>
              <w:ind w:left="58"/>
              <w:jc w:val="center"/>
              <w:rPr>
                <w:sz w:val="18"/>
                <w:szCs w:val="18"/>
              </w:rPr>
            </w:pPr>
            <w:r>
              <w:rPr>
                <w:sz w:val="18"/>
              </w:rPr>
              <w:t>The Cabinet</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734976B6" w14:textId="4C286B35" w:rsidR="0063731A" w:rsidRPr="005B33D3" w:rsidRDefault="0063731A" w:rsidP="0063731A">
            <w:pPr>
              <w:ind w:left="58"/>
              <w:rPr>
                <w:sz w:val="18"/>
                <w:szCs w:val="18"/>
                <w:lang w:val="lv-LV"/>
              </w:rPr>
            </w:pPr>
            <w:hyperlink w:anchor="_Vajadzību_novērtējums" w:history="1">
              <w:r>
                <w:rPr>
                  <w:rStyle w:val="Hipersaite"/>
                  <w:sz w:val="18"/>
                </w:rPr>
                <w:t>Chapter 2.1</w:t>
              </w:r>
            </w:hyperlink>
            <w:r>
              <w:rPr>
                <w:sz w:val="18"/>
              </w:rPr>
              <w:t xml:space="preserve">, </w:t>
            </w:r>
            <w:hyperlink w:anchor="_Projekta_iespējamo_īstenošanas" w:history="1">
              <w:r>
                <w:rPr>
                  <w:rStyle w:val="Hipersaite"/>
                  <w:sz w:val="18"/>
                </w:rPr>
                <w:t>Chapter 2.2</w:t>
              </w:r>
            </w:hyperlink>
            <w:r>
              <w:rPr>
                <w:sz w:val="18"/>
              </w:rPr>
              <w:t xml:space="preserve">, </w:t>
            </w:r>
            <w:hyperlink w:anchor="_Projekta_iespējamības_novērtējums" w:history="1">
              <w:r>
                <w:rPr>
                  <w:rStyle w:val="Hipersaite"/>
                  <w:sz w:val="18"/>
                </w:rPr>
                <w:t>Chapter 2.3</w:t>
              </w:r>
            </w:hyperlink>
            <w:r>
              <w:rPr>
                <w:sz w:val="18"/>
              </w:rPr>
              <w:t xml:space="preserve">, </w:t>
            </w:r>
            <w:hyperlink w:anchor="_Ieguldījumu_pieejamības_" w:history="1">
              <w:r>
                <w:rPr>
                  <w:rStyle w:val="Hipersaite"/>
                  <w:sz w:val="18"/>
                </w:rPr>
                <w:t>Chapter 3.2</w:t>
              </w:r>
            </w:hyperlink>
            <w:r>
              <w:rPr>
                <w:sz w:val="18"/>
              </w:rPr>
              <w:t xml:space="preserve">, </w:t>
            </w:r>
            <w:hyperlink w:anchor="_Finansējuma_piesaistes_novērtējums" w:history="1">
              <w:r>
                <w:rPr>
                  <w:rStyle w:val="Hipersaite"/>
                  <w:sz w:val="18"/>
                </w:rPr>
                <w:t>Chapter 3.3</w:t>
              </w:r>
            </w:hyperlink>
            <w:r>
              <w:rPr>
                <w:sz w:val="18"/>
              </w:rPr>
              <w:t xml:space="preserve">, </w:t>
            </w:r>
            <w:hyperlink w:anchor="_Finanšu_modeļa_izstrādes" w:history="1">
              <w:r>
                <w:rPr>
                  <w:rStyle w:val="Hipersaite"/>
                  <w:sz w:val="18"/>
                </w:rPr>
                <w:t>Chapter 4.2</w:t>
              </w:r>
            </w:hyperlink>
            <w:r>
              <w:rPr>
                <w:sz w:val="18"/>
              </w:rPr>
              <w:t xml:space="preserve">, </w:t>
            </w:r>
            <w:hyperlink w:anchor="_Ieguldījumam_atbilstošās_vērtības" w:history="1">
              <w:r>
                <w:rPr>
                  <w:rStyle w:val="Hipersaite"/>
                  <w:sz w:val="18"/>
                </w:rPr>
                <w:t>Chapter 4.3</w:t>
              </w:r>
            </w:hyperlink>
          </w:p>
        </w:tc>
      </w:tr>
      <w:tr w:rsidR="0063731A" w:rsidRPr="007F7F3A" w14:paraId="29EB0054"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9D99E5A" w14:textId="77777777" w:rsidR="0063731A" w:rsidRPr="003A2B63" w:rsidRDefault="0063731A" w:rsidP="0063731A">
            <w:pPr>
              <w:pStyle w:val="Sarakstarindkopa"/>
              <w:ind w:left="200"/>
              <w:rPr>
                <w:rStyle w:val="normaltextrun"/>
                <w:color w:val="000000"/>
                <w:sz w:val="18"/>
                <w:szCs w:val="18"/>
              </w:rPr>
            </w:pPr>
            <w:r>
              <w:rPr>
                <w:rStyle w:val="normaltextrun"/>
                <w:color w:val="000000"/>
                <w:sz w:val="18"/>
              </w:rPr>
              <w:t>16.</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6C9CBEB4" w14:textId="45A5B1A9" w:rsidR="0063731A" w:rsidRPr="003A2B63" w:rsidRDefault="0063731A" w:rsidP="0063731A">
            <w:pPr>
              <w:pStyle w:val="paragraph"/>
              <w:spacing w:before="0" w:beforeAutospacing="0" w:after="0" w:afterAutospacing="0"/>
              <w:ind w:left="180" w:right="180"/>
              <w:textAlignment w:val="baseline"/>
              <w:rPr>
                <w:rStyle w:val="normaltextrun"/>
                <w:rFonts w:asciiTheme="minorHAnsi" w:hAnsiTheme="minorHAnsi"/>
                <w:color w:val="000000" w:themeColor="text1"/>
                <w:sz w:val="18"/>
                <w:szCs w:val="18"/>
              </w:rPr>
            </w:pPr>
            <w:hyperlink r:id="rId114" w:history="1">
              <w:r w:rsidRPr="00E74C8C">
                <w:rPr>
                  <w:rStyle w:val="Hipersaite"/>
                  <w:rFonts w:asciiTheme="minorHAnsi" w:hAnsiTheme="minorHAnsi"/>
                  <w:sz w:val="18"/>
                </w:rPr>
                <w:t>Regulation No. 1216</w:t>
              </w:r>
            </w:hyperlink>
            <w:r>
              <w:rPr>
                <w:rStyle w:val="normaltextrun"/>
                <w:rFonts w:asciiTheme="minorHAnsi" w:hAnsiTheme="minorHAnsi"/>
                <w:color w:val="000000" w:themeColor="text1"/>
                <w:sz w:val="18"/>
              </w:rPr>
              <w:t xml:space="preserve"> "Regulations on the Activities of the Monitoring Authority and Reporting on the Performance of the Contract by the Public Partner or its Representative"</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44D01B1" w14:textId="009D7F55"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2946B859" w14:textId="352A98AD" w:rsidR="0063731A" w:rsidRDefault="0063731A" w:rsidP="0063731A">
            <w:pPr>
              <w:pStyle w:val="Sarakstarindkopa"/>
              <w:spacing w:before="120"/>
              <w:ind w:left="200" w:hanging="200"/>
              <w:contextualSpacing w:val="0"/>
              <w:jc w:val="center"/>
              <w:rPr>
                <w:sz w:val="18"/>
                <w:szCs w:val="18"/>
              </w:rPr>
            </w:pPr>
            <w:r>
              <w:rPr>
                <w:sz w:val="18"/>
              </w:rPr>
              <w:t>20.10.2009</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191AE808" w14:textId="3E2FF28D" w:rsidR="0063731A" w:rsidRDefault="0063731A" w:rsidP="0063731A">
            <w:pPr>
              <w:ind w:left="58"/>
              <w:jc w:val="center"/>
              <w:rPr>
                <w:sz w:val="18"/>
                <w:szCs w:val="18"/>
              </w:rPr>
            </w:pPr>
            <w:r>
              <w:rPr>
                <w:sz w:val="18"/>
              </w:rPr>
              <w:t>The Cabinet</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38442923" w14:textId="6788A9C3" w:rsidR="0063731A" w:rsidRPr="005B33D3" w:rsidRDefault="0063731A" w:rsidP="0063731A">
            <w:pPr>
              <w:ind w:left="58"/>
              <w:rPr>
                <w:sz w:val="18"/>
                <w:szCs w:val="18"/>
              </w:rPr>
            </w:pPr>
          </w:p>
        </w:tc>
      </w:tr>
      <w:tr w:rsidR="0063731A" w:rsidRPr="003A2B63" w14:paraId="2CB9CA36"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7785D79" w14:textId="77777777" w:rsidR="0063731A" w:rsidRPr="003A2B63" w:rsidRDefault="0063731A" w:rsidP="0063731A">
            <w:pPr>
              <w:ind w:left="360" w:hanging="200"/>
              <w:rPr>
                <w:sz w:val="18"/>
                <w:szCs w:val="18"/>
              </w:rPr>
            </w:pPr>
            <w:r>
              <w:rPr>
                <w:sz w:val="18"/>
              </w:rPr>
              <w:t>17.</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1FA6C553" w14:textId="3803FFDC" w:rsidR="0063731A" w:rsidRPr="00714F21" w:rsidRDefault="0063731A" w:rsidP="0063731A">
            <w:pPr>
              <w:pStyle w:val="paragraph"/>
              <w:spacing w:before="0" w:beforeAutospacing="0" w:after="0" w:afterAutospacing="0"/>
              <w:ind w:left="180" w:right="180"/>
              <w:textAlignment w:val="baseline"/>
              <w:rPr>
                <w:rFonts w:asciiTheme="minorHAnsi" w:hAnsiTheme="minorHAnsi"/>
                <w:color w:val="000000" w:themeColor="text1"/>
                <w:sz w:val="18"/>
                <w:szCs w:val="18"/>
              </w:rPr>
            </w:pPr>
            <w:r>
              <w:rPr>
                <w:rFonts w:asciiTheme="minorHAnsi" w:hAnsiTheme="minorHAnsi"/>
                <w:sz w:val="18"/>
              </w:rPr>
              <w:t>Regulation (EC) No. 223/2009 of the European Parliament and of the Council of 11 March 2009 on European statistics and repealing Regulation (EC, Euratom) No. 1101/2008 of the European Parliament and of the Council on the transmission of data subject to statistical confidentiality to the Statistical Office of the European Communities, Council Regulation (EC) No. 322/97 on Community Statistics, and Council Decision 89/382/EEC, Euratom establishing a Committee on the Statistical Programmes of the European Communities</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BECB6E0" w14:textId="0C7B7F41"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Regulation (EC) No. 223/2009</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23309248" w14:textId="78CD9C67" w:rsidR="0063731A" w:rsidRPr="005B33D3" w:rsidRDefault="0063731A" w:rsidP="0063731A">
            <w:pPr>
              <w:pStyle w:val="Sarakstarindkopa"/>
              <w:spacing w:before="120"/>
              <w:ind w:left="200" w:hanging="200"/>
              <w:contextualSpacing w:val="0"/>
              <w:jc w:val="center"/>
              <w:rPr>
                <w:sz w:val="18"/>
                <w:szCs w:val="18"/>
              </w:rPr>
            </w:pPr>
            <w:r>
              <w:rPr>
                <w:sz w:val="18"/>
              </w:rPr>
              <w:t>11.03.2009</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1968A502" w14:textId="02F619AD" w:rsidR="0063731A" w:rsidRPr="005B33D3" w:rsidRDefault="0063731A" w:rsidP="0063731A">
            <w:pPr>
              <w:ind w:left="58"/>
              <w:jc w:val="center"/>
              <w:rPr>
                <w:sz w:val="18"/>
                <w:szCs w:val="18"/>
              </w:rPr>
            </w:pPr>
            <w:r>
              <w:rPr>
                <w:sz w:val="18"/>
              </w:rPr>
              <w:t>European Commission</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5E8EF0D3" w14:textId="77777777" w:rsidR="0063731A" w:rsidRPr="005B33D3" w:rsidRDefault="0063731A" w:rsidP="0063731A">
            <w:pPr>
              <w:ind w:left="58"/>
              <w:rPr>
                <w:sz w:val="18"/>
                <w:szCs w:val="18"/>
                <w:lang w:val="lv-LV"/>
              </w:rPr>
            </w:pPr>
          </w:p>
        </w:tc>
      </w:tr>
      <w:tr w:rsidR="0063731A" w:rsidRPr="003A2B63" w14:paraId="26783F99"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6E8F413F" w14:textId="77777777" w:rsidR="0063731A" w:rsidRPr="0063731A" w:rsidRDefault="0063731A" w:rsidP="0063731A">
            <w:pPr>
              <w:ind w:left="360" w:hanging="200"/>
              <w:rPr>
                <w:rFonts w:asciiTheme="majorHAnsi" w:hAnsiTheme="majorHAnsi"/>
                <w:sz w:val="18"/>
                <w:szCs w:val="18"/>
              </w:rPr>
            </w:pPr>
            <w:r w:rsidRPr="0063731A">
              <w:rPr>
                <w:rFonts w:asciiTheme="majorHAnsi" w:hAnsiTheme="majorHAnsi"/>
                <w:sz w:val="18"/>
              </w:rPr>
              <w:lastRenderedPageBreak/>
              <w:t>18.</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556EF161" w14:textId="2E86A977" w:rsidR="0063731A" w:rsidRPr="0063731A" w:rsidRDefault="0063731A" w:rsidP="0063731A">
            <w:pPr>
              <w:pStyle w:val="paragraph"/>
              <w:spacing w:before="0" w:beforeAutospacing="0" w:after="0" w:afterAutospacing="0"/>
              <w:ind w:left="180" w:right="180"/>
              <w:textAlignment w:val="baseline"/>
              <w:rPr>
                <w:rStyle w:val="normaltextrun"/>
                <w:rFonts w:asciiTheme="majorHAnsi" w:hAnsiTheme="majorHAnsi"/>
                <w:color w:val="000000" w:themeColor="text1"/>
                <w:sz w:val="18"/>
                <w:szCs w:val="18"/>
                <w:lang w:val="lv-LV"/>
              </w:rPr>
            </w:pPr>
            <w:r w:rsidRPr="0063731A">
              <w:rPr>
                <w:rFonts w:asciiTheme="majorHAnsi" w:hAnsiTheme="majorHAnsi"/>
                <w:sz w:val="18"/>
              </w:rPr>
              <w:t>Handbook on Public Private Partnership (PPP) in Built Heritage Revitalization Projects</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1C2F037C" w14:textId="7F2005FB"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52A57F71" w14:textId="0A926087" w:rsidR="0063731A" w:rsidRPr="005B33D3" w:rsidRDefault="0063731A" w:rsidP="0063731A">
            <w:pPr>
              <w:pStyle w:val="Sarakstarindkopa"/>
              <w:spacing w:before="120"/>
              <w:ind w:left="200" w:hanging="200"/>
              <w:contextualSpacing w:val="0"/>
              <w:jc w:val="center"/>
              <w:rPr>
                <w:sz w:val="18"/>
                <w:szCs w:val="18"/>
              </w:rPr>
            </w:pPr>
            <w:r>
              <w:rPr>
                <w:sz w:val="18"/>
              </w:rPr>
              <w:t>2017</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3216F243" w14:textId="2C8DD5B7" w:rsidR="0063731A" w:rsidRPr="005B33D3" w:rsidRDefault="0063731A" w:rsidP="0063731A">
            <w:pPr>
              <w:ind w:left="58"/>
              <w:jc w:val="center"/>
              <w:rPr>
                <w:sz w:val="18"/>
                <w:szCs w:val="18"/>
              </w:rPr>
            </w:pPr>
            <w:r>
              <w:rPr>
                <w:sz w:val="18"/>
              </w:rPr>
              <w:t>Interreg Central Europe</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3558B082" w14:textId="584C8992" w:rsidR="0063731A" w:rsidRPr="005B33D3" w:rsidRDefault="0063731A" w:rsidP="0063731A">
            <w:pPr>
              <w:ind w:left="58"/>
              <w:rPr>
                <w:sz w:val="18"/>
                <w:szCs w:val="18"/>
                <w:lang w:val="lv-LV"/>
              </w:rPr>
            </w:pPr>
            <w:hyperlink w:anchor="_1.2._PPP_risinājumi" w:history="1">
              <w:r>
                <w:rPr>
                  <w:rStyle w:val="Hipersaite"/>
                  <w:sz w:val="18"/>
                </w:rPr>
                <w:t>Chapter 1.2</w:t>
              </w:r>
            </w:hyperlink>
          </w:p>
        </w:tc>
      </w:tr>
      <w:tr w:rsidR="0063731A" w:rsidRPr="003A2B63" w14:paraId="25DFFB0E"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16FA8A78" w14:textId="25B1B1AD" w:rsidR="0063731A" w:rsidRDefault="0063731A" w:rsidP="0063731A">
            <w:pPr>
              <w:ind w:left="360" w:hanging="200"/>
              <w:rPr>
                <w:sz w:val="18"/>
                <w:szCs w:val="18"/>
              </w:rPr>
            </w:pPr>
            <w:r>
              <w:rPr>
                <w:sz w:val="18"/>
              </w:rPr>
              <w:t>19.</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249EE71A" w14:textId="59681984" w:rsidR="0063731A" w:rsidRPr="00624362" w:rsidRDefault="0063731A" w:rsidP="0063731A">
            <w:pPr>
              <w:pStyle w:val="paragraph"/>
              <w:spacing w:before="0" w:beforeAutospacing="0" w:after="0" w:afterAutospacing="0"/>
              <w:ind w:left="180" w:right="180"/>
              <w:textAlignment w:val="baseline"/>
              <w:rPr>
                <w:rStyle w:val="normaltextrun"/>
                <w:rFonts w:asciiTheme="minorHAnsi" w:hAnsiTheme="minorHAnsi"/>
                <w:color w:val="000000" w:themeColor="text1"/>
                <w:sz w:val="18"/>
                <w:szCs w:val="18"/>
              </w:rPr>
            </w:pPr>
            <w:r>
              <w:rPr>
                <w:rFonts w:ascii="Verdana" w:hAnsi="Verdana"/>
                <w:sz w:val="18"/>
              </w:rPr>
              <w:t>A Guide to Preparing and Procuring a PPP project</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7F148B30" w14:textId="09A7CC00"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 xml:space="preserve">A Guide to Preparing a PPP Project </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522C99DC" w14:textId="0549D6D3" w:rsidR="0063731A" w:rsidRDefault="0063731A" w:rsidP="0063731A">
            <w:pPr>
              <w:pStyle w:val="Sarakstarindkopa"/>
              <w:spacing w:before="120"/>
              <w:ind w:left="200" w:hanging="200"/>
              <w:contextualSpacing w:val="0"/>
              <w:jc w:val="center"/>
              <w:rPr>
                <w:sz w:val="18"/>
                <w:szCs w:val="18"/>
              </w:rPr>
            </w:pPr>
            <w:r>
              <w:rPr>
                <w:sz w:val="18"/>
              </w:rPr>
              <w:t>2018</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14177CA5" w14:textId="7CC30051" w:rsidR="0063731A" w:rsidRDefault="0063731A" w:rsidP="0063731A">
            <w:pPr>
              <w:ind w:left="58"/>
              <w:jc w:val="center"/>
              <w:rPr>
                <w:sz w:val="18"/>
                <w:szCs w:val="18"/>
              </w:rPr>
            </w:pPr>
            <w:r>
              <w:rPr>
                <w:rFonts w:ascii="Verdana" w:hAnsi="Verdana"/>
                <w:sz w:val="18"/>
              </w:rPr>
              <w:t>European PPP Expertise Centre (EPEC)</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641572BF" w14:textId="5FF00EF2" w:rsidR="0063731A" w:rsidRPr="005B33D3" w:rsidRDefault="0063731A" w:rsidP="0063731A">
            <w:pPr>
              <w:ind w:left="58"/>
              <w:rPr>
                <w:sz w:val="18"/>
                <w:szCs w:val="18"/>
                <w:lang w:val="lv-LV"/>
              </w:rPr>
            </w:pPr>
            <w:hyperlink w:anchor="_PPP_projekts_soli" w:history="1">
              <w:r>
                <w:rPr>
                  <w:rStyle w:val="Hipersaite"/>
                  <w:sz w:val="18"/>
                </w:rPr>
                <w:t>Chapter 1.3</w:t>
              </w:r>
            </w:hyperlink>
            <w:r>
              <w:rPr>
                <w:sz w:val="18"/>
              </w:rPr>
              <w:t xml:space="preserve">, </w:t>
            </w:r>
            <w:hyperlink w:anchor="_Vajadzību_novērtējums" w:history="1">
              <w:r>
                <w:rPr>
                  <w:rStyle w:val="Hipersaite"/>
                  <w:sz w:val="18"/>
                </w:rPr>
                <w:t>Chapter 2.1</w:t>
              </w:r>
            </w:hyperlink>
            <w:r>
              <w:rPr>
                <w:sz w:val="18"/>
              </w:rPr>
              <w:t xml:space="preserve">, </w:t>
            </w:r>
            <w:hyperlink w:anchor="_Projekta_iespējamo_īstenošanas" w:history="1">
              <w:r>
                <w:rPr>
                  <w:rStyle w:val="Hipersaite"/>
                  <w:sz w:val="18"/>
                </w:rPr>
                <w:t>Chapter 2.2</w:t>
              </w:r>
            </w:hyperlink>
            <w:r>
              <w:rPr>
                <w:sz w:val="18"/>
              </w:rPr>
              <w:t xml:space="preserve">, </w:t>
            </w:r>
            <w:hyperlink w:anchor="_Projekta_iespējamības_novērtējums" w:history="1">
              <w:r>
                <w:rPr>
                  <w:rStyle w:val="Hipersaite"/>
                  <w:sz w:val="18"/>
                </w:rPr>
                <w:t>Chapter 2.3</w:t>
              </w:r>
            </w:hyperlink>
            <w:r>
              <w:rPr>
                <w:sz w:val="18"/>
              </w:rPr>
              <w:t xml:space="preserve">, </w:t>
            </w:r>
            <w:hyperlink w:anchor="_PPP_risinājuma_piemērotības" w:history="1">
              <w:r>
                <w:rPr>
                  <w:rStyle w:val="Hipersaite"/>
                  <w:sz w:val="18"/>
                </w:rPr>
                <w:t>Chapter 3.1</w:t>
              </w:r>
            </w:hyperlink>
            <w:r>
              <w:rPr>
                <w:sz w:val="18"/>
              </w:rPr>
              <w:t xml:space="preserve">, </w:t>
            </w:r>
            <w:hyperlink w:anchor="_Ieguldījumu_pieejamības_" w:history="1">
              <w:r>
                <w:rPr>
                  <w:rStyle w:val="Hipersaite"/>
                  <w:sz w:val="18"/>
                </w:rPr>
                <w:t>Chapter 3.2</w:t>
              </w:r>
            </w:hyperlink>
            <w:r>
              <w:rPr>
                <w:sz w:val="18"/>
              </w:rPr>
              <w:t xml:space="preserve">, </w:t>
            </w:r>
            <w:hyperlink w:anchor="_Finansējuma_piesaistes_novērtējums" w:history="1">
              <w:r>
                <w:rPr>
                  <w:rStyle w:val="Hipersaite"/>
                  <w:sz w:val="18"/>
                </w:rPr>
                <w:t>Chapter 3.3</w:t>
              </w:r>
            </w:hyperlink>
            <w:r>
              <w:rPr>
                <w:sz w:val="18"/>
              </w:rPr>
              <w:t xml:space="preserve">, </w:t>
            </w:r>
            <w:hyperlink w:anchor="_Partnerības_līguma_statistiskās" w:history="1">
              <w:r>
                <w:rPr>
                  <w:rStyle w:val="Hipersaite"/>
                  <w:sz w:val="18"/>
                </w:rPr>
                <w:t>Chapter 3.4</w:t>
              </w:r>
            </w:hyperlink>
            <w:r>
              <w:rPr>
                <w:sz w:val="18"/>
              </w:rPr>
              <w:t xml:space="preserve">, </w:t>
            </w:r>
            <w:hyperlink w:anchor="_Risku_analīze" w:history="1">
              <w:r>
                <w:rPr>
                  <w:rStyle w:val="Hipersaite"/>
                  <w:sz w:val="18"/>
                </w:rPr>
                <w:t>Chapter 3.5</w:t>
              </w:r>
            </w:hyperlink>
          </w:p>
        </w:tc>
      </w:tr>
      <w:tr w:rsidR="0063731A" w:rsidRPr="003A2B63" w14:paraId="7925C769"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6E2C9849" w14:textId="6E39189A" w:rsidR="0063731A" w:rsidRPr="003A2B63" w:rsidRDefault="0063731A" w:rsidP="0063731A">
            <w:pPr>
              <w:ind w:left="200"/>
              <w:rPr>
                <w:sz w:val="18"/>
                <w:szCs w:val="18"/>
              </w:rPr>
            </w:pPr>
            <w:r>
              <w:rPr>
                <w:sz w:val="18"/>
              </w:rPr>
              <w:t>20.</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3FDB2234" w14:textId="177A4CEF" w:rsidR="0063731A" w:rsidRPr="005B33D3" w:rsidRDefault="0063731A" w:rsidP="0063731A">
            <w:pPr>
              <w:ind w:left="180" w:right="80"/>
              <w:rPr>
                <w:sz w:val="18"/>
                <w:szCs w:val="18"/>
              </w:rPr>
            </w:pPr>
            <w:r>
              <w:rPr>
                <w:rFonts w:ascii="Verdana" w:hAnsi="Verdana"/>
                <w:sz w:val="18"/>
              </w:rPr>
              <w:t xml:space="preserve">Guide to Cost-Benefit Analysis of Investment Projects, Economic appraisal tool for Cohesion Policy 2014-2020. </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4BBFE21" w14:textId="49E61955"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A Guide to ECBA Preparation</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4B111EA4" w14:textId="1B66A7AD" w:rsidR="0063731A" w:rsidRDefault="0063731A" w:rsidP="0063731A">
            <w:pPr>
              <w:pStyle w:val="Sarakstarindkopa"/>
              <w:spacing w:before="120"/>
              <w:ind w:left="200" w:hanging="200"/>
              <w:contextualSpacing w:val="0"/>
              <w:jc w:val="center"/>
              <w:rPr>
                <w:sz w:val="18"/>
                <w:szCs w:val="18"/>
              </w:rPr>
            </w:pPr>
            <w:r>
              <w:rPr>
                <w:sz w:val="18"/>
              </w:rPr>
              <w:t>2014</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6AD14D92" w14:textId="4C3B4A80" w:rsidR="0063731A" w:rsidRDefault="0063731A" w:rsidP="0063731A">
            <w:pPr>
              <w:ind w:left="58"/>
              <w:jc w:val="center"/>
              <w:rPr>
                <w:sz w:val="18"/>
                <w:szCs w:val="18"/>
              </w:rPr>
            </w:pPr>
            <w:r>
              <w:rPr>
                <w:sz w:val="18"/>
              </w:rPr>
              <w:t>European Commission</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7A99CBA1" w14:textId="19A5E240" w:rsidR="0063731A" w:rsidRPr="005B33D3" w:rsidRDefault="0063731A" w:rsidP="0063731A">
            <w:pPr>
              <w:ind w:left="58"/>
              <w:rPr>
                <w:sz w:val="18"/>
                <w:szCs w:val="18"/>
              </w:rPr>
            </w:pPr>
            <w:hyperlink w:anchor="_Projekta_iespējamo_īstenošanas" w:history="1">
              <w:r>
                <w:rPr>
                  <w:rStyle w:val="Hipersaite"/>
                  <w:sz w:val="18"/>
                </w:rPr>
                <w:t>Chapter 2.2</w:t>
              </w:r>
            </w:hyperlink>
            <w:r>
              <w:rPr>
                <w:sz w:val="18"/>
              </w:rPr>
              <w:t xml:space="preserve">, </w:t>
            </w:r>
            <w:hyperlink w:anchor="_Projekta_iespējamības_novērtējums" w:history="1">
              <w:r>
                <w:rPr>
                  <w:rStyle w:val="Hipersaite"/>
                  <w:sz w:val="18"/>
                </w:rPr>
                <w:t>Chapter 2.3</w:t>
              </w:r>
            </w:hyperlink>
            <w:r>
              <w:rPr>
                <w:sz w:val="18"/>
              </w:rPr>
              <w:t xml:space="preserve">, </w:t>
            </w:r>
            <w:hyperlink w:anchor="_Novērtēšanas_pieejas_apraksts" w:history="1">
              <w:r>
                <w:rPr>
                  <w:rStyle w:val="Hipersaite"/>
                  <w:sz w:val="18"/>
                </w:rPr>
                <w:t>Chapter 4.1</w:t>
              </w:r>
            </w:hyperlink>
            <w:r>
              <w:rPr>
                <w:sz w:val="18"/>
              </w:rPr>
              <w:t xml:space="preserve">, </w:t>
            </w:r>
            <w:hyperlink w:anchor="_Finanšu_modeļa_izstrādes" w:history="1">
              <w:r>
                <w:rPr>
                  <w:rStyle w:val="Hipersaite"/>
                  <w:sz w:val="18"/>
                </w:rPr>
                <w:t>Chapter 4.2</w:t>
              </w:r>
            </w:hyperlink>
            <w:r>
              <w:rPr>
                <w:sz w:val="18"/>
              </w:rPr>
              <w:t xml:space="preserve">, </w:t>
            </w:r>
            <w:hyperlink w:anchor="_Ieguldījumam_atbilstošās_vērtības" w:history="1">
              <w:r>
                <w:rPr>
                  <w:rStyle w:val="Hipersaite"/>
                  <w:sz w:val="18"/>
                </w:rPr>
                <w:t>Chapter 4.3</w:t>
              </w:r>
            </w:hyperlink>
          </w:p>
        </w:tc>
      </w:tr>
      <w:tr w:rsidR="0063731A" w:rsidRPr="007F7F3A" w14:paraId="6F374DE6"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96004F3" w14:textId="24ABF520" w:rsidR="0063731A" w:rsidRPr="003A2B63" w:rsidRDefault="0063731A" w:rsidP="0063731A">
            <w:pPr>
              <w:ind w:left="200"/>
              <w:rPr>
                <w:sz w:val="18"/>
                <w:szCs w:val="18"/>
              </w:rPr>
            </w:pPr>
            <w:r>
              <w:rPr>
                <w:sz w:val="18"/>
              </w:rPr>
              <w:t>21.</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33AAB738" w14:textId="0BE56B3F" w:rsidR="0063731A" w:rsidRPr="005B33D3" w:rsidRDefault="0063731A" w:rsidP="0063731A">
            <w:pPr>
              <w:ind w:left="180"/>
              <w:rPr>
                <w:rFonts w:ascii="Verdana" w:hAnsi="Verdana"/>
                <w:sz w:val="18"/>
                <w:szCs w:val="18"/>
              </w:rPr>
            </w:pPr>
            <w:r>
              <w:rPr>
                <w:rFonts w:ascii="Verdana" w:hAnsi="Verdana"/>
                <w:sz w:val="18"/>
              </w:rPr>
              <w:t>A Guide to the Qualitative and Quantitative Assessment of Value for Money in PPPs</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3743AA1F" w14:textId="7B5019FD"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A Guide to the Qualitative and Quantitative Assessment of VFM</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9E24BBE" w14:textId="4B01F166" w:rsidR="0063731A" w:rsidRDefault="0063731A" w:rsidP="0063731A">
            <w:pPr>
              <w:pStyle w:val="Sarakstarindkopa"/>
              <w:spacing w:before="120"/>
              <w:ind w:left="200" w:hanging="200"/>
              <w:contextualSpacing w:val="0"/>
              <w:jc w:val="center"/>
              <w:rPr>
                <w:sz w:val="18"/>
                <w:szCs w:val="18"/>
              </w:rPr>
            </w:pPr>
            <w:r>
              <w:rPr>
                <w:sz w:val="18"/>
              </w:rPr>
              <w:t>2018</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398081C1" w14:textId="2496C4E0" w:rsidR="0063731A" w:rsidRDefault="0063731A" w:rsidP="0063731A">
            <w:pPr>
              <w:ind w:left="90"/>
              <w:jc w:val="center"/>
              <w:rPr>
                <w:sz w:val="18"/>
                <w:szCs w:val="18"/>
              </w:rPr>
            </w:pPr>
            <w:r>
              <w:rPr>
                <w:rFonts w:ascii="Verdana" w:hAnsi="Verdana"/>
                <w:sz w:val="18"/>
              </w:rPr>
              <w:t>European PPP Expertise Centre</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11FE98C4" w14:textId="470B91A7" w:rsidR="0063731A" w:rsidRPr="005B33D3" w:rsidRDefault="0063731A" w:rsidP="0063731A">
            <w:pPr>
              <w:ind w:left="90"/>
              <w:rPr>
                <w:sz w:val="18"/>
                <w:szCs w:val="18"/>
              </w:rPr>
            </w:pPr>
            <w:hyperlink w:anchor="_PPP_risinājuma_piemērotības" w:history="1">
              <w:r>
                <w:rPr>
                  <w:rStyle w:val="Hipersaite"/>
                  <w:sz w:val="18"/>
                </w:rPr>
                <w:t>Chapter 3.1</w:t>
              </w:r>
            </w:hyperlink>
            <w:r>
              <w:rPr>
                <w:sz w:val="18"/>
              </w:rPr>
              <w:t xml:space="preserve">, </w:t>
            </w:r>
            <w:hyperlink w:anchor="_Ieguldījumu_pieejamības_" w:history="1">
              <w:r>
                <w:rPr>
                  <w:rStyle w:val="Hipersaite"/>
                  <w:sz w:val="18"/>
                </w:rPr>
                <w:t>Chapter 3.2</w:t>
              </w:r>
            </w:hyperlink>
            <w:r>
              <w:rPr>
                <w:sz w:val="18"/>
              </w:rPr>
              <w:t xml:space="preserve">, </w:t>
            </w:r>
            <w:hyperlink w:anchor="_Finansējuma_piesaistes_novērtējums" w:history="1">
              <w:r>
                <w:rPr>
                  <w:rStyle w:val="Hipersaite"/>
                  <w:sz w:val="18"/>
                </w:rPr>
                <w:t>Chapter 3.3</w:t>
              </w:r>
            </w:hyperlink>
            <w:r>
              <w:rPr>
                <w:sz w:val="18"/>
              </w:rPr>
              <w:t xml:space="preserve">, </w:t>
            </w:r>
            <w:hyperlink w:anchor="_Risku_analīze" w:history="1">
              <w:r>
                <w:rPr>
                  <w:rStyle w:val="Hipersaite"/>
                  <w:sz w:val="18"/>
                </w:rPr>
                <w:t>Chapter 3.5</w:t>
              </w:r>
            </w:hyperlink>
            <w:r>
              <w:rPr>
                <w:sz w:val="18"/>
              </w:rPr>
              <w:t xml:space="preserve">, </w:t>
            </w:r>
            <w:hyperlink w:anchor="_Novērtēšanas_pieejas_apraksts" w:history="1">
              <w:r>
                <w:rPr>
                  <w:rStyle w:val="Hipersaite"/>
                  <w:sz w:val="18"/>
                </w:rPr>
                <w:t>Chapter 4.1</w:t>
              </w:r>
            </w:hyperlink>
            <w:r>
              <w:rPr>
                <w:sz w:val="18"/>
              </w:rPr>
              <w:t xml:space="preserve">, </w:t>
            </w:r>
            <w:hyperlink w:anchor="_Finanšu_modeļa_izstrādes" w:history="1">
              <w:r>
                <w:rPr>
                  <w:rStyle w:val="Hipersaite"/>
                  <w:sz w:val="18"/>
                </w:rPr>
                <w:t>Chapter 4.2</w:t>
              </w:r>
            </w:hyperlink>
          </w:p>
        </w:tc>
      </w:tr>
      <w:tr w:rsidR="0063731A" w:rsidRPr="007F7F3A" w14:paraId="10D3B82C"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37B46153" w14:textId="5B1A0C7B" w:rsidR="0063731A" w:rsidRPr="003A2B63" w:rsidRDefault="0063731A" w:rsidP="0063731A">
            <w:pPr>
              <w:ind w:left="200"/>
              <w:rPr>
                <w:sz w:val="18"/>
                <w:szCs w:val="18"/>
              </w:rPr>
            </w:pPr>
            <w:r>
              <w:rPr>
                <w:sz w:val="18"/>
              </w:rPr>
              <w:t xml:space="preserve">22. </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1E066EDE" w14:textId="21DF8A10" w:rsidR="0063731A" w:rsidRPr="00025040" w:rsidRDefault="0063731A" w:rsidP="0063731A">
            <w:pPr>
              <w:ind w:left="180"/>
              <w:rPr>
                <w:rFonts w:ascii="Verdana" w:hAnsi="Verdana"/>
                <w:sz w:val="18"/>
                <w:szCs w:val="18"/>
              </w:rPr>
            </w:pPr>
            <w:r>
              <w:rPr>
                <w:rFonts w:ascii="Verdana" w:hAnsi="Verdana"/>
                <w:sz w:val="18"/>
              </w:rPr>
              <w:t>Regulation (EU) No. 549/2013 of the European Parliament and of the Council on the European system of national and regional accounts in the European Union and its Annex A</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17C04BDA" w14:textId="77777777" w:rsidR="0063731A" w:rsidRDefault="0063731A" w:rsidP="0063731A">
            <w:pPr>
              <w:pStyle w:val="Sarakstarindkopa"/>
              <w:spacing w:before="120"/>
              <w:ind w:left="200"/>
              <w:contextualSpacing w:val="0"/>
              <w:rPr>
                <w:color w:val="000000" w:themeColor="text1"/>
                <w:sz w:val="18"/>
                <w:szCs w:val="18"/>
              </w:rPr>
            </w:pPr>
            <w:r>
              <w:rPr>
                <w:color w:val="000000" w:themeColor="text1"/>
                <w:sz w:val="18"/>
              </w:rPr>
              <w:t>Regulation (EU) No. 549/2013 and</w:t>
            </w:r>
          </w:p>
          <w:p w14:paraId="77D7F996" w14:textId="472A9AF9"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ESA 2010</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38EDF83" w14:textId="488825D0" w:rsidR="0063731A" w:rsidRDefault="0063731A" w:rsidP="0063731A">
            <w:pPr>
              <w:pStyle w:val="Sarakstarindkopa"/>
              <w:spacing w:before="120"/>
              <w:ind w:left="200" w:hanging="200"/>
              <w:contextualSpacing w:val="0"/>
              <w:jc w:val="center"/>
              <w:rPr>
                <w:sz w:val="18"/>
                <w:szCs w:val="18"/>
              </w:rPr>
            </w:pPr>
            <w:r>
              <w:rPr>
                <w:sz w:val="18"/>
              </w:rPr>
              <w:t>21.05.2013</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0B216D59" w14:textId="2A1F70DC" w:rsidR="0063731A" w:rsidRDefault="0063731A" w:rsidP="0063731A">
            <w:pPr>
              <w:ind w:left="58"/>
              <w:jc w:val="center"/>
              <w:rPr>
                <w:sz w:val="18"/>
                <w:szCs w:val="18"/>
              </w:rPr>
            </w:pPr>
            <w:r>
              <w:rPr>
                <w:sz w:val="18"/>
              </w:rPr>
              <w:t>European Commission</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1C6CB11F" w14:textId="133968AA" w:rsidR="0063731A" w:rsidRPr="005B33D3" w:rsidRDefault="0063731A" w:rsidP="0063731A">
            <w:pPr>
              <w:ind w:left="58"/>
              <w:rPr>
                <w:sz w:val="18"/>
                <w:szCs w:val="18"/>
              </w:rPr>
            </w:pPr>
            <w:hyperlink w:anchor="_Partnerības_līguma_statistiskās" w:history="1">
              <w:r>
                <w:rPr>
                  <w:rStyle w:val="Hipersaite"/>
                  <w:sz w:val="18"/>
                </w:rPr>
                <w:t>Chapter 3.4</w:t>
              </w:r>
            </w:hyperlink>
          </w:p>
        </w:tc>
      </w:tr>
      <w:tr w:rsidR="0063731A" w:rsidRPr="007F7F3A" w14:paraId="500243FE"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254D3585" w14:textId="429B4681" w:rsidR="0063731A" w:rsidRPr="003A2B63" w:rsidRDefault="0063731A" w:rsidP="0063731A">
            <w:pPr>
              <w:ind w:left="200"/>
              <w:rPr>
                <w:sz w:val="18"/>
                <w:szCs w:val="18"/>
              </w:rPr>
            </w:pPr>
            <w:r>
              <w:rPr>
                <w:sz w:val="18"/>
              </w:rPr>
              <w:t>23.</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1E0AF860" w14:textId="238A3209" w:rsidR="0063731A" w:rsidRPr="003E0BFD" w:rsidRDefault="0063731A" w:rsidP="0063731A">
            <w:pPr>
              <w:ind w:left="180"/>
              <w:rPr>
                <w:rFonts w:ascii="Verdana" w:hAnsi="Verdana"/>
                <w:sz w:val="18"/>
                <w:szCs w:val="20"/>
              </w:rPr>
            </w:pPr>
            <w:r>
              <w:rPr>
                <w:rFonts w:ascii="Verdana" w:hAnsi="Verdana"/>
                <w:sz w:val="18"/>
              </w:rPr>
              <w:t>A Guide to the Statistical Treatment of PPPs</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25E7322D" w14:textId="07AE5AF0"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Guidelines for PPP Statistical Treatment</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17C9DC6" w14:textId="46E37098" w:rsidR="0063731A" w:rsidRDefault="0063731A" w:rsidP="0063731A">
            <w:pPr>
              <w:pStyle w:val="Sarakstarindkopa"/>
              <w:spacing w:before="120"/>
              <w:ind w:left="200" w:hanging="200"/>
              <w:contextualSpacing w:val="0"/>
              <w:jc w:val="center"/>
              <w:rPr>
                <w:sz w:val="18"/>
                <w:szCs w:val="18"/>
              </w:rPr>
            </w:pPr>
            <w:r>
              <w:rPr>
                <w:sz w:val="18"/>
              </w:rPr>
              <w:t>2016</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14BD7BF7" w14:textId="1E635508" w:rsidR="0063731A" w:rsidRDefault="0063731A" w:rsidP="0063731A">
            <w:pPr>
              <w:ind w:left="58"/>
              <w:jc w:val="center"/>
              <w:rPr>
                <w:sz w:val="18"/>
                <w:szCs w:val="18"/>
              </w:rPr>
            </w:pPr>
            <w:r>
              <w:rPr>
                <w:sz w:val="18"/>
              </w:rPr>
              <w:t>Eurostat</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44496DB3" w14:textId="63C1D744" w:rsidR="0063731A" w:rsidRPr="005B33D3" w:rsidRDefault="0063731A" w:rsidP="0063731A">
            <w:pPr>
              <w:ind w:left="58"/>
              <w:rPr>
                <w:sz w:val="18"/>
                <w:szCs w:val="18"/>
              </w:rPr>
            </w:pPr>
            <w:hyperlink w:anchor="_Partnerības_līguma_statistiskās" w:history="1">
              <w:r>
                <w:rPr>
                  <w:rStyle w:val="Hipersaite"/>
                  <w:sz w:val="18"/>
                </w:rPr>
                <w:t>Chapter 3.4</w:t>
              </w:r>
            </w:hyperlink>
            <w:r>
              <w:rPr>
                <w:sz w:val="18"/>
              </w:rPr>
              <w:t xml:space="preserve">, </w:t>
            </w:r>
            <w:hyperlink w:anchor="_Finanšu_modeļa_izstrādes" w:history="1">
              <w:r>
                <w:rPr>
                  <w:rStyle w:val="Hipersaite"/>
                  <w:sz w:val="18"/>
                </w:rPr>
                <w:t>Chapter 4.2</w:t>
              </w:r>
            </w:hyperlink>
          </w:p>
        </w:tc>
      </w:tr>
      <w:tr w:rsidR="0063731A" w:rsidRPr="003A2B63" w14:paraId="40E7C40E" w14:textId="77777777" w:rsidTr="7DB09CA3">
        <w:trPr>
          <w:trHeight w:val="965"/>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01F74A8F" w14:textId="77777777" w:rsidR="0063731A" w:rsidRPr="00C12286" w:rsidRDefault="0063731A" w:rsidP="0063731A">
            <w:pPr>
              <w:ind w:left="200"/>
              <w:rPr>
                <w:sz w:val="18"/>
                <w:szCs w:val="18"/>
              </w:rPr>
            </w:pPr>
            <w:r>
              <w:rPr>
                <w:sz w:val="18"/>
              </w:rPr>
              <w:t xml:space="preserve">24. </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06F3F6EA" w14:textId="1E6C30DC" w:rsidR="0063731A" w:rsidRPr="00C12286" w:rsidRDefault="0063731A" w:rsidP="0063731A">
            <w:pPr>
              <w:ind w:left="140"/>
              <w:rPr>
                <w:rFonts w:ascii="Verdana" w:hAnsi="Verdana"/>
                <w:sz w:val="18"/>
                <w:szCs w:val="18"/>
              </w:rPr>
            </w:pPr>
            <w:r>
              <w:rPr>
                <w:rFonts w:ascii="Verdana" w:hAnsi="Verdana"/>
                <w:sz w:val="18"/>
              </w:rPr>
              <w:t>Allocating Risks in Public-Private Partnership Contracts</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585433DE" w14:textId="379B23A4"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Allocating Risks in PPP Contracts</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3156B9B6" w14:textId="55B31B80" w:rsidR="0063731A" w:rsidRDefault="0063731A" w:rsidP="0063731A">
            <w:pPr>
              <w:pStyle w:val="Sarakstarindkopa"/>
              <w:spacing w:before="120"/>
              <w:ind w:left="200" w:hanging="200"/>
              <w:contextualSpacing w:val="0"/>
              <w:jc w:val="center"/>
              <w:rPr>
                <w:sz w:val="18"/>
                <w:szCs w:val="18"/>
              </w:rPr>
            </w:pPr>
            <w:r>
              <w:rPr>
                <w:sz w:val="18"/>
              </w:rPr>
              <w:t>2016</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671F3F26" w14:textId="5332DDEF" w:rsidR="0063731A" w:rsidRDefault="0063731A" w:rsidP="0063731A">
            <w:pPr>
              <w:ind w:left="58"/>
              <w:jc w:val="center"/>
              <w:rPr>
                <w:sz w:val="18"/>
                <w:szCs w:val="18"/>
              </w:rPr>
            </w:pPr>
            <w:r>
              <w:rPr>
                <w:rFonts w:ascii="Verdana" w:hAnsi="Verdana"/>
                <w:sz w:val="18"/>
              </w:rPr>
              <w:t>Infrastructure Hub</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34C69250" w14:textId="6178EAE5" w:rsidR="0063731A" w:rsidRPr="005B33D3" w:rsidRDefault="0063731A" w:rsidP="0063731A">
            <w:pPr>
              <w:ind w:left="58"/>
              <w:rPr>
                <w:sz w:val="18"/>
                <w:szCs w:val="18"/>
              </w:rPr>
            </w:pPr>
            <w:hyperlink w:anchor="_Risku_analīze" w:history="1">
              <w:r>
                <w:rPr>
                  <w:rStyle w:val="Hipersaite"/>
                  <w:sz w:val="18"/>
                </w:rPr>
                <w:t>Chapter 3.5</w:t>
              </w:r>
            </w:hyperlink>
          </w:p>
        </w:tc>
      </w:tr>
      <w:tr w:rsidR="0063731A" w:rsidRPr="003A2B63" w14:paraId="3CDC940E" w14:textId="77777777" w:rsidTr="7DB09CA3">
        <w:trPr>
          <w:trHeight w:val="406"/>
        </w:trPr>
        <w:tc>
          <w:tcPr>
            <w:tcW w:w="813" w:type="dxa"/>
            <w:tcBorders>
              <w:top w:val="single" w:sz="4" w:space="0" w:color="BFBFBF" w:themeColor="background1" w:themeShade="BF"/>
              <w:left w:val="nil"/>
              <w:bottom w:val="single" w:sz="4" w:space="0" w:color="BFBFBF" w:themeColor="background1" w:themeShade="BF"/>
              <w:right w:val="nil"/>
            </w:tcBorders>
            <w:shd w:val="clear" w:color="auto" w:fill="auto"/>
            <w:tcMar>
              <w:top w:w="15" w:type="dxa"/>
              <w:left w:w="15" w:type="dxa"/>
              <w:bottom w:w="0" w:type="dxa"/>
              <w:right w:w="15" w:type="dxa"/>
            </w:tcMar>
            <w:vAlign w:val="center"/>
          </w:tcPr>
          <w:p w14:paraId="16592162" w14:textId="77777777" w:rsidR="0063731A" w:rsidRPr="003A2B63" w:rsidRDefault="0063731A" w:rsidP="0063731A">
            <w:pPr>
              <w:ind w:left="200"/>
              <w:rPr>
                <w:sz w:val="18"/>
                <w:szCs w:val="18"/>
              </w:rPr>
            </w:pPr>
            <w:r>
              <w:rPr>
                <w:sz w:val="18"/>
              </w:rPr>
              <w:lastRenderedPageBreak/>
              <w:t>25.</w:t>
            </w:r>
          </w:p>
        </w:tc>
        <w:tc>
          <w:tcPr>
            <w:tcW w:w="4315" w:type="dxa"/>
            <w:tcBorders>
              <w:top w:val="single" w:sz="4" w:space="0" w:color="BFBFBF" w:themeColor="background1" w:themeShade="BF"/>
              <w:left w:val="nil"/>
              <w:bottom w:val="single" w:sz="4" w:space="0" w:color="BFBFBF" w:themeColor="background1" w:themeShade="BF"/>
              <w:right w:val="nil"/>
            </w:tcBorders>
            <w:vAlign w:val="center"/>
          </w:tcPr>
          <w:p w14:paraId="74626D56" w14:textId="76D8418F" w:rsidR="0063731A" w:rsidRPr="00527837" w:rsidRDefault="0063731A" w:rsidP="0063731A">
            <w:pPr>
              <w:ind w:left="140" w:firstLine="40"/>
              <w:rPr>
                <w:rFonts w:ascii="Verdana" w:hAnsi="Verdana"/>
                <w:sz w:val="18"/>
                <w:szCs w:val="20"/>
              </w:rPr>
            </w:pPr>
            <w:r>
              <w:rPr>
                <w:rFonts w:ascii="Verdana" w:hAnsi="Verdana"/>
                <w:sz w:val="18"/>
              </w:rPr>
              <w:t>Competitive Neutrality. A Compendium of OECD Recommendations, Guidelines and best practices bearing on competitive neutrality</w:t>
            </w:r>
          </w:p>
        </w:tc>
        <w:tc>
          <w:tcPr>
            <w:tcW w:w="3061" w:type="dxa"/>
            <w:tcBorders>
              <w:top w:val="single" w:sz="4" w:space="0" w:color="BFBFBF" w:themeColor="background1" w:themeShade="BF"/>
              <w:left w:val="nil"/>
              <w:bottom w:val="single" w:sz="4" w:space="0" w:color="BFBFBF" w:themeColor="background1" w:themeShade="BF"/>
              <w:right w:val="nil"/>
            </w:tcBorders>
            <w:vAlign w:val="center"/>
          </w:tcPr>
          <w:p w14:paraId="7F097A0B" w14:textId="6157FA24" w:rsidR="0063731A" w:rsidRPr="00586D3A" w:rsidRDefault="0063731A" w:rsidP="0063731A">
            <w:pPr>
              <w:pStyle w:val="Sarakstarindkopa"/>
              <w:spacing w:before="120"/>
              <w:ind w:left="200"/>
              <w:contextualSpacing w:val="0"/>
              <w:rPr>
                <w:color w:val="000000" w:themeColor="text1"/>
                <w:sz w:val="18"/>
                <w:szCs w:val="18"/>
              </w:rPr>
            </w:pPr>
            <w:r>
              <w:rPr>
                <w:color w:val="000000" w:themeColor="text1"/>
                <w:sz w:val="18"/>
              </w:rPr>
              <w:t>Recommendations, Guidelines and Best Practices Bearing on Competitive Neutrality</w:t>
            </w:r>
          </w:p>
        </w:tc>
        <w:tc>
          <w:tcPr>
            <w:tcW w:w="1420" w:type="dxa"/>
            <w:tcBorders>
              <w:top w:val="single" w:sz="4" w:space="0" w:color="BFBFBF" w:themeColor="background1" w:themeShade="BF"/>
              <w:left w:val="nil"/>
              <w:bottom w:val="single" w:sz="4" w:space="0" w:color="BFBFBF" w:themeColor="background1" w:themeShade="BF"/>
              <w:right w:val="nil"/>
            </w:tcBorders>
            <w:vAlign w:val="center"/>
          </w:tcPr>
          <w:p w14:paraId="299BF74D" w14:textId="07242633" w:rsidR="0063731A" w:rsidRDefault="0063731A" w:rsidP="0063731A">
            <w:pPr>
              <w:pStyle w:val="Sarakstarindkopa"/>
              <w:spacing w:before="120"/>
              <w:ind w:left="200" w:hanging="200"/>
              <w:contextualSpacing w:val="0"/>
              <w:jc w:val="center"/>
              <w:rPr>
                <w:sz w:val="18"/>
                <w:szCs w:val="18"/>
              </w:rPr>
            </w:pPr>
            <w:r>
              <w:rPr>
                <w:sz w:val="18"/>
              </w:rPr>
              <w:t>2012</w:t>
            </w:r>
          </w:p>
        </w:tc>
        <w:tc>
          <w:tcPr>
            <w:tcW w:w="1314" w:type="dxa"/>
            <w:tcBorders>
              <w:top w:val="single" w:sz="4" w:space="0" w:color="BFBFBF" w:themeColor="background1" w:themeShade="BF"/>
              <w:left w:val="nil"/>
              <w:bottom w:val="single" w:sz="4" w:space="0" w:color="BFBFBF" w:themeColor="background1" w:themeShade="BF"/>
              <w:right w:val="nil"/>
            </w:tcBorders>
            <w:vAlign w:val="center"/>
          </w:tcPr>
          <w:p w14:paraId="5F6B0FD3" w14:textId="10DA3451" w:rsidR="0063731A" w:rsidRDefault="0063731A" w:rsidP="0063731A">
            <w:pPr>
              <w:ind w:left="58"/>
              <w:jc w:val="center"/>
              <w:rPr>
                <w:sz w:val="18"/>
                <w:szCs w:val="18"/>
              </w:rPr>
            </w:pPr>
            <w:r>
              <w:rPr>
                <w:sz w:val="18"/>
              </w:rPr>
              <w:t>OECD</w:t>
            </w:r>
          </w:p>
        </w:tc>
        <w:tc>
          <w:tcPr>
            <w:tcW w:w="2037" w:type="dxa"/>
            <w:tcBorders>
              <w:top w:val="single" w:sz="4" w:space="0" w:color="BFBFBF" w:themeColor="background1" w:themeShade="BF"/>
              <w:left w:val="nil"/>
              <w:bottom w:val="single" w:sz="4" w:space="0" w:color="BFBFBF" w:themeColor="background1" w:themeShade="BF"/>
              <w:right w:val="nil"/>
            </w:tcBorders>
            <w:vAlign w:val="center"/>
          </w:tcPr>
          <w:p w14:paraId="294AFD1A" w14:textId="1E15CD56" w:rsidR="0063731A" w:rsidRPr="005B33D3" w:rsidRDefault="0063731A" w:rsidP="0063731A">
            <w:pPr>
              <w:ind w:left="58"/>
              <w:rPr>
                <w:sz w:val="18"/>
                <w:szCs w:val="18"/>
              </w:rPr>
            </w:pPr>
            <w:r>
              <w:rPr>
                <w:rStyle w:val="Hipersaite"/>
                <w:sz w:val="18"/>
              </w:rPr>
              <w:t>Chapter 4.2</w:t>
            </w:r>
          </w:p>
        </w:tc>
      </w:tr>
    </w:tbl>
    <w:p w14:paraId="79BF8176" w14:textId="2C405415" w:rsidR="004A0667" w:rsidRDefault="004A0667" w:rsidP="2521179D">
      <w:pPr>
        <w:rPr>
          <w:lang w:val="lv-LV"/>
        </w:rPr>
      </w:pPr>
    </w:p>
    <w:p w14:paraId="1923F4A4" w14:textId="17A22B67" w:rsidR="004A0667" w:rsidRDefault="00C12286" w:rsidP="004A0667">
      <w:pPr>
        <w:pStyle w:val="Virsraksts1"/>
        <w:rPr>
          <w:sz w:val="26"/>
          <w:szCs w:val="26"/>
        </w:rPr>
      </w:pPr>
      <w:bookmarkStart w:id="199" w:name="_Toc3246844"/>
      <w:bookmarkStart w:id="200" w:name="_Toc3249553"/>
      <w:bookmarkStart w:id="201" w:name="_Toc3759976"/>
      <w:bookmarkStart w:id="202" w:name="_Toc3805013"/>
      <w:bookmarkStart w:id="203" w:name="_Toc178586376"/>
      <w:r>
        <w:rPr>
          <w:sz w:val="26"/>
        </w:rPr>
        <w:lastRenderedPageBreak/>
        <w:t>Annex C. Financial Model Assumptions Sheet</w:t>
      </w:r>
      <w:bookmarkEnd w:id="199"/>
      <w:bookmarkEnd w:id="200"/>
      <w:bookmarkEnd w:id="201"/>
      <w:bookmarkEnd w:id="202"/>
      <w:bookmarkEnd w:id="203"/>
    </w:p>
    <w:p w14:paraId="69C316FB" w14:textId="6196844F" w:rsidR="00497FEC" w:rsidRPr="0092443C" w:rsidRDefault="0088356C">
      <w:pPr>
        <w:rPr>
          <w:sz w:val="26"/>
          <w:szCs w:val="26"/>
        </w:rPr>
      </w:pPr>
      <w:r w:rsidRPr="0088356C">
        <w:rPr>
          <w:noProof/>
        </w:rPr>
        <w:drawing>
          <wp:inline distT="0" distB="0" distL="0" distR="0" wp14:anchorId="491564A6" wp14:editId="199A6BAF">
            <wp:extent cx="7776376" cy="5694568"/>
            <wp:effectExtent l="0" t="0" r="0" b="1905"/>
            <wp:docPr id="193655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57357" name=""/>
                    <pic:cNvPicPr/>
                  </pic:nvPicPr>
                  <pic:blipFill>
                    <a:blip r:embed="rId115"/>
                    <a:stretch>
                      <a:fillRect/>
                    </a:stretch>
                  </pic:blipFill>
                  <pic:spPr>
                    <a:xfrm>
                      <a:off x="0" y="0"/>
                      <a:ext cx="7795176" cy="5708335"/>
                    </a:xfrm>
                    <a:prstGeom prst="rect">
                      <a:avLst/>
                    </a:prstGeom>
                  </pic:spPr>
                </pic:pic>
              </a:graphicData>
            </a:graphic>
          </wp:inline>
        </w:drawing>
      </w:r>
    </w:p>
    <w:p w14:paraId="5E0B03ED" w14:textId="0CD003F7" w:rsidR="00497FEC" w:rsidRDefault="0092443C">
      <w:pPr>
        <w:rPr>
          <w:sz w:val="26"/>
          <w:szCs w:val="26"/>
        </w:rPr>
      </w:pPr>
      <w:r w:rsidRPr="0092443C">
        <w:rPr>
          <w:noProof/>
          <w:sz w:val="26"/>
          <w:szCs w:val="26"/>
        </w:rPr>
        <w:lastRenderedPageBreak/>
        <w:drawing>
          <wp:inline distT="0" distB="0" distL="0" distR="0" wp14:anchorId="2334DA0C" wp14:editId="58B98E57">
            <wp:extent cx="7076661" cy="5775804"/>
            <wp:effectExtent l="0" t="0" r="0" b="0"/>
            <wp:docPr id="1905315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15684" name="Picture 1" descr="A screenshot of a computer&#10;&#10;Description automatically generated"/>
                    <pic:cNvPicPr/>
                  </pic:nvPicPr>
                  <pic:blipFill>
                    <a:blip r:embed="rId116"/>
                    <a:stretch>
                      <a:fillRect/>
                    </a:stretch>
                  </pic:blipFill>
                  <pic:spPr>
                    <a:xfrm>
                      <a:off x="0" y="0"/>
                      <a:ext cx="7087613" cy="5784743"/>
                    </a:xfrm>
                    <a:prstGeom prst="rect">
                      <a:avLst/>
                    </a:prstGeom>
                  </pic:spPr>
                </pic:pic>
              </a:graphicData>
            </a:graphic>
          </wp:inline>
        </w:drawing>
      </w:r>
    </w:p>
    <w:p w14:paraId="59C88C93" w14:textId="351493A7" w:rsidR="00497FEC" w:rsidRDefault="00497FEC">
      <w:pPr>
        <w:rPr>
          <w:sz w:val="26"/>
          <w:szCs w:val="26"/>
          <w:lang w:val="lv-LV"/>
        </w:rPr>
      </w:pPr>
    </w:p>
    <w:p w14:paraId="71713D50" w14:textId="593DAF67" w:rsidR="00497FEC" w:rsidRDefault="00497FEC">
      <w:pPr>
        <w:rPr>
          <w:sz w:val="26"/>
          <w:szCs w:val="26"/>
          <w:lang w:val="lv-LV"/>
        </w:rPr>
      </w:pPr>
    </w:p>
    <w:p w14:paraId="2E7EE972" w14:textId="7D0CFAAD" w:rsidR="00497FEC" w:rsidRDefault="007907B9">
      <w:pPr>
        <w:rPr>
          <w:sz w:val="26"/>
          <w:szCs w:val="26"/>
        </w:rPr>
      </w:pPr>
      <w:r w:rsidRPr="007907B9">
        <w:rPr>
          <w:noProof/>
          <w:sz w:val="26"/>
          <w:szCs w:val="26"/>
        </w:rPr>
        <w:drawing>
          <wp:inline distT="0" distB="0" distL="0" distR="0" wp14:anchorId="75F9C6FE" wp14:editId="62C9A51B">
            <wp:extent cx="6846073" cy="3954660"/>
            <wp:effectExtent l="0" t="0" r="0" b="8255"/>
            <wp:docPr id="416525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25287" name="Picture 1" descr="A screenshot of a computer&#10;&#10;Description automatically generated"/>
                    <pic:cNvPicPr/>
                  </pic:nvPicPr>
                  <pic:blipFill>
                    <a:blip r:embed="rId117"/>
                    <a:stretch>
                      <a:fillRect/>
                    </a:stretch>
                  </pic:blipFill>
                  <pic:spPr>
                    <a:xfrm>
                      <a:off x="0" y="0"/>
                      <a:ext cx="6852670" cy="3958470"/>
                    </a:xfrm>
                    <a:prstGeom prst="rect">
                      <a:avLst/>
                    </a:prstGeom>
                  </pic:spPr>
                </pic:pic>
              </a:graphicData>
            </a:graphic>
          </wp:inline>
        </w:drawing>
      </w:r>
    </w:p>
    <w:p w14:paraId="0B1C923C" w14:textId="5F69D94D" w:rsidR="00497FEC" w:rsidRDefault="00497FEC">
      <w:pPr>
        <w:rPr>
          <w:sz w:val="26"/>
          <w:szCs w:val="26"/>
          <w:lang w:val="lv-LV"/>
        </w:rPr>
      </w:pPr>
    </w:p>
    <w:p w14:paraId="7AC252E2" w14:textId="582FBBAE" w:rsidR="00497FEC" w:rsidRDefault="00497FEC">
      <w:pPr>
        <w:rPr>
          <w:sz w:val="26"/>
          <w:szCs w:val="26"/>
          <w:lang w:val="lv-LV"/>
        </w:rPr>
      </w:pPr>
    </w:p>
    <w:p w14:paraId="3A3FEDF5" w14:textId="6CCFD765" w:rsidR="00497FEC" w:rsidRDefault="00497FEC">
      <w:pPr>
        <w:rPr>
          <w:noProof/>
        </w:rPr>
      </w:pPr>
    </w:p>
    <w:p w14:paraId="6916C61D" w14:textId="77777777" w:rsidR="007907B9" w:rsidRDefault="007907B9">
      <w:pPr>
        <w:rPr>
          <w:noProof/>
        </w:rPr>
      </w:pPr>
    </w:p>
    <w:p w14:paraId="29B9AC84" w14:textId="03ABE813" w:rsidR="00497FEC" w:rsidRDefault="007907B9">
      <w:pPr>
        <w:rPr>
          <w:sz w:val="26"/>
          <w:szCs w:val="26"/>
        </w:rPr>
      </w:pPr>
      <w:r w:rsidRPr="007907B9">
        <w:rPr>
          <w:noProof/>
          <w:sz w:val="26"/>
          <w:szCs w:val="26"/>
        </w:rPr>
        <w:lastRenderedPageBreak/>
        <w:drawing>
          <wp:inline distT="0" distB="0" distL="0" distR="0" wp14:anchorId="0222AB6F" wp14:editId="315D5480">
            <wp:extent cx="7839986" cy="6151256"/>
            <wp:effectExtent l="0" t="0" r="8890" b="1905"/>
            <wp:docPr id="671391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91553" name="Picture 1" descr="A screenshot of a computer&#10;&#10;Description automatically generated"/>
                    <pic:cNvPicPr/>
                  </pic:nvPicPr>
                  <pic:blipFill>
                    <a:blip r:embed="rId118"/>
                    <a:stretch>
                      <a:fillRect/>
                    </a:stretch>
                  </pic:blipFill>
                  <pic:spPr>
                    <a:xfrm>
                      <a:off x="0" y="0"/>
                      <a:ext cx="7849185" cy="6158474"/>
                    </a:xfrm>
                    <a:prstGeom prst="rect">
                      <a:avLst/>
                    </a:prstGeom>
                  </pic:spPr>
                </pic:pic>
              </a:graphicData>
            </a:graphic>
          </wp:inline>
        </w:drawing>
      </w:r>
    </w:p>
    <w:p w14:paraId="22698336" w14:textId="0236AD4F" w:rsidR="00A9691A" w:rsidRDefault="00C12286" w:rsidP="00A9691A">
      <w:pPr>
        <w:pStyle w:val="Virsraksts1"/>
        <w:rPr>
          <w:sz w:val="26"/>
          <w:szCs w:val="26"/>
        </w:rPr>
      </w:pPr>
      <w:bookmarkStart w:id="204" w:name="_Toc3246845"/>
      <w:bookmarkStart w:id="205" w:name="_Toc3249554"/>
      <w:bookmarkStart w:id="206" w:name="_Toc3759977"/>
      <w:bookmarkStart w:id="207" w:name="_Toc3805014"/>
      <w:bookmarkStart w:id="208" w:name="_Toc178586377"/>
      <w:r>
        <w:rPr>
          <w:sz w:val="26"/>
        </w:rPr>
        <w:lastRenderedPageBreak/>
        <w:t>Annex D. Financial Model Summary Sheet</w:t>
      </w:r>
      <w:bookmarkEnd w:id="204"/>
      <w:bookmarkEnd w:id="205"/>
      <w:bookmarkEnd w:id="206"/>
      <w:bookmarkEnd w:id="207"/>
      <w:bookmarkEnd w:id="208"/>
    </w:p>
    <w:p w14:paraId="62C517E7" w14:textId="54C28557" w:rsidR="00A9691A" w:rsidRDefault="00F80982">
      <w:pPr>
        <w:rPr>
          <w:sz w:val="26"/>
          <w:szCs w:val="26"/>
        </w:rPr>
      </w:pPr>
      <w:r w:rsidRPr="00F80982">
        <w:rPr>
          <w:noProof/>
        </w:rPr>
        <w:drawing>
          <wp:inline distT="0" distB="0" distL="0" distR="0" wp14:anchorId="45824D3F" wp14:editId="13CC40B7">
            <wp:extent cx="7804087" cy="5723505"/>
            <wp:effectExtent l="0" t="0" r="6985" b="0"/>
            <wp:docPr id="19931441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44198" name="Picture 1" descr="A screenshot of a computer screen&#10;&#10;Description automatically generated"/>
                    <pic:cNvPicPr/>
                  </pic:nvPicPr>
                  <pic:blipFill>
                    <a:blip r:embed="rId119"/>
                    <a:stretch>
                      <a:fillRect/>
                    </a:stretch>
                  </pic:blipFill>
                  <pic:spPr>
                    <a:xfrm>
                      <a:off x="0" y="0"/>
                      <a:ext cx="7825158" cy="5738958"/>
                    </a:xfrm>
                    <a:prstGeom prst="rect">
                      <a:avLst/>
                    </a:prstGeom>
                  </pic:spPr>
                </pic:pic>
              </a:graphicData>
            </a:graphic>
          </wp:inline>
        </w:drawing>
      </w:r>
      <w:r w:rsidR="006E40CA">
        <w:br w:type="page"/>
      </w:r>
    </w:p>
    <w:p w14:paraId="3E32D262" w14:textId="1665A51E" w:rsidR="002F2B7F" w:rsidRPr="002F2B7F" w:rsidRDefault="00C12286" w:rsidP="002F2B7F">
      <w:pPr>
        <w:pStyle w:val="Virsraksts1"/>
        <w:rPr>
          <w:sz w:val="26"/>
          <w:szCs w:val="26"/>
        </w:rPr>
      </w:pPr>
      <w:bookmarkStart w:id="209" w:name="_Toc3246846"/>
      <w:bookmarkStart w:id="210" w:name="_Toc3249555"/>
      <w:bookmarkStart w:id="211" w:name="_Toc3759978"/>
      <w:bookmarkStart w:id="212" w:name="_Toc3805015"/>
      <w:bookmarkStart w:id="213" w:name="_Toc178586378"/>
      <w:r>
        <w:rPr>
          <w:sz w:val="26"/>
        </w:rPr>
        <w:lastRenderedPageBreak/>
        <w:t>Annex E. Financial Model Sensitivity Analysis Sheet</w:t>
      </w:r>
      <w:bookmarkEnd w:id="209"/>
      <w:bookmarkEnd w:id="210"/>
      <w:bookmarkEnd w:id="211"/>
      <w:bookmarkEnd w:id="212"/>
      <w:bookmarkEnd w:id="213"/>
    </w:p>
    <w:p w14:paraId="271258A8" w14:textId="62A74764" w:rsidR="2EC170D8" w:rsidRDefault="2EC170D8" w:rsidP="2EC170D8">
      <w:pPr>
        <w:rPr>
          <w:lang w:val="lv-LV"/>
        </w:rPr>
      </w:pPr>
    </w:p>
    <w:p w14:paraId="044E489E" w14:textId="422D2988" w:rsidR="00A9691A" w:rsidRPr="00A9691A" w:rsidRDefault="0032165C" w:rsidP="00A9691A">
      <w:r w:rsidRPr="0032165C">
        <w:rPr>
          <w:noProof/>
        </w:rPr>
        <w:drawing>
          <wp:inline distT="0" distB="0" distL="0" distR="0" wp14:anchorId="599F0DE3" wp14:editId="50B9E7AA">
            <wp:extent cx="8261879" cy="1568450"/>
            <wp:effectExtent l="0" t="0" r="6350" b="0"/>
            <wp:docPr id="86159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98528" name=""/>
                    <pic:cNvPicPr/>
                  </pic:nvPicPr>
                  <pic:blipFill>
                    <a:blip r:embed="rId120"/>
                    <a:stretch>
                      <a:fillRect/>
                    </a:stretch>
                  </pic:blipFill>
                  <pic:spPr>
                    <a:xfrm>
                      <a:off x="0" y="0"/>
                      <a:ext cx="8263763" cy="1568808"/>
                    </a:xfrm>
                    <a:prstGeom prst="rect">
                      <a:avLst/>
                    </a:prstGeom>
                  </pic:spPr>
                </pic:pic>
              </a:graphicData>
            </a:graphic>
          </wp:inline>
        </w:drawing>
      </w:r>
    </w:p>
    <w:p w14:paraId="51E6FABF" w14:textId="34D61FD5" w:rsidR="004A0667" w:rsidRPr="0032165C" w:rsidRDefault="004A0667" w:rsidP="004A0667">
      <w:pPr>
        <w:rPr>
          <w:sz w:val="26"/>
          <w:szCs w:val="26"/>
          <w:lang w:val="lv-LV"/>
        </w:rPr>
      </w:pPr>
    </w:p>
    <w:p w14:paraId="5A9CD642" w14:textId="2D973BE4" w:rsidR="001840D0" w:rsidRPr="001840D0" w:rsidRDefault="001840D0" w:rsidP="001840D0">
      <w:pPr>
        <w:rPr>
          <w:lang w:val="lv-LV"/>
        </w:rPr>
      </w:pPr>
    </w:p>
    <w:sectPr w:rsidR="001840D0" w:rsidRPr="001840D0" w:rsidSect="00714F21">
      <w:headerReference w:type="even" r:id="rId121"/>
      <w:headerReference w:type="default" r:id="rId122"/>
      <w:footerReference w:type="default" r:id="rId123"/>
      <w:headerReference w:type="first" r:id="rId124"/>
      <w:footerReference w:type="first" r:id="rId1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A6E4C" w14:textId="77777777" w:rsidR="00910F3B" w:rsidRDefault="00910F3B" w:rsidP="006F1437">
      <w:pPr>
        <w:spacing w:after="0" w:line="240" w:lineRule="auto"/>
      </w:pPr>
      <w:r>
        <w:separator/>
      </w:r>
    </w:p>
  </w:endnote>
  <w:endnote w:type="continuationSeparator" w:id="0">
    <w:p w14:paraId="2EB3A415" w14:textId="77777777" w:rsidR="00910F3B" w:rsidRDefault="00910F3B" w:rsidP="006F1437">
      <w:pPr>
        <w:spacing w:after="0" w:line="240" w:lineRule="auto"/>
      </w:pPr>
      <w:r>
        <w:continuationSeparator/>
      </w:r>
    </w:p>
  </w:endnote>
  <w:endnote w:type="continuationNotice" w:id="1">
    <w:p w14:paraId="75D440AE" w14:textId="77777777" w:rsidR="00910F3B" w:rsidRDefault="00910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7955593"/>
      <w:docPartObj>
        <w:docPartGallery w:val="Page Numbers (Bottom of Page)"/>
        <w:docPartUnique/>
      </w:docPartObj>
    </w:sdtPr>
    <w:sdtEndPr>
      <w:rPr>
        <w:noProof/>
        <w:sz w:val="16"/>
      </w:rPr>
    </w:sdtEndPr>
    <w:sdtContent>
      <w:p w14:paraId="3AF8669C" w14:textId="056A9AB7" w:rsidR="00EF0F26" w:rsidRPr="00EF4BF2" w:rsidRDefault="00EF0F26">
        <w:pPr>
          <w:pStyle w:val="Kjene"/>
          <w:jc w:val="right"/>
          <w:rPr>
            <w:sz w:val="16"/>
          </w:rPr>
        </w:pPr>
        <w:r w:rsidRPr="00EF4BF2">
          <w:rPr>
            <w:color w:val="2B579A"/>
            <w:sz w:val="16"/>
            <w:shd w:val="clear" w:color="auto" w:fill="E6E6E6"/>
          </w:rPr>
          <w:fldChar w:fldCharType="begin"/>
        </w:r>
        <w:r w:rsidRPr="00EF4BF2">
          <w:rPr>
            <w:sz w:val="16"/>
          </w:rPr>
          <w:instrText xml:space="preserve"> PAGE   \* MERGEFORMAT </w:instrText>
        </w:r>
        <w:r w:rsidRPr="00EF4BF2">
          <w:rPr>
            <w:color w:val="2B579A"/>
            <w:sz w:val="16"/>
            <w:shd w:val="clear" w:color="auto" w:fill="E6E6E6"/>
          </w:rPr>
          <w:fldChar w:fldCharType="separate"/>
        </w:r>
        <w:r w:rsidR="00275AF8">
          <w:rPr>
            <w:sz w:val="16"/>
          </w:rPr>
          <w:t>38</w:t>
        </w:r>
        <w:r w:rsidRPr="00EF4BF2">
          <w:rPr>
            <w:color w:val="2B579A"/>
            <w:sz w:val="16"/>
            <w:shd w:val="clear" w:color="auto" w:fill="E6E6E6"/>
          </w:rPr>
          <w:fldChar w:fldCharType="end"/>
        </w:r>
      </w:p>
    </w:sdtContent>
  </w:sdt>
  <w:p w14:paraId="5DF032A7" w14:textId="4E8FF720" w:rsidR="00EF0F26" w:rsidRDefault="00EF0F26">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F0F26" w14:paraId="266A44F5" w14:textId="77777777" w:rsidTr="5F0D7D7A">
      <w:tc>
        <w:tcPr>
          <w:tcW w:w="3120" w:type="dxa"/>
        </w:tcPr>
        <w:p w14:paraId="50C3654D" w14:textId="29D28B0A" w:rsidR="00EF0F26" w:rsidRDefault="00EF0F26" w:rsidP="5F0D7D7A">
          <w:pPr>
            <w:pStyle w:val="Galvene"/>
            <w:ind w:left="-115"/>
          </w:pPr>
        </w:p>
      </w:tc>
      <w:tc>
        <w:tcPr>
          <w:tcW w:w="3120" w:type="dxa"/>
        </w:tcPr>
        <w:p w14:paraId="1FD72D65" w14:textId="047F3CEE" w:rsidR="00EF0F26" w:rsidRDefault="00EF0F26" w:rsidP="5F0D7D7A">
          <w:pPr>
            <w:pStyle w:val="Galvene"/>
            <w:jc w:val="center"/>
          </w:pPr>
          <w:r>
            <w:t>20</w:t>
          </w:r>
          <w:r w:rsidR="00137F83">
            <w:t>24</w:t>
          </w:r>
        </w:p>
      </w:tc>
      <w:tc>
        <w:tcPr>
          <w:tcW w:w="3120" w:type="dxa"/>
        </w:tcPr>
        <w:p w14:paraId="3FE73762" w14:textId="7BF9A209" w:rsidR="00EF0F26" w:rsidRDefault="00EF0F26" w:rsidP="5F0D7D7A">
          <w:pPr>
            <w:pStyle w:val="Galvene"/>
            <w:ind w:right="-115"/>
            <w:jc w:val="right"/>
          </w:pPr>
        </w:p>
      </w:tc>
    </w:tr>
  </w:tbl>
  <w:p w14:paraId="2F01AF05" w14:textId="4A6B0284" w:rsidR="00EF0F26" w:rsidRDefault="00EF0F26" w:rsidP="5F0D7D7A">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3595463"/>
      <w:docPartObj>
        <w:docPartGallery w:val="Page Numbers (Bottom of Page)"/>
        <w:docPartUnique/>
      </w:docPartObj>
    </w:sdtPr>
    <w:sdtEndPr>
      <w:rPr>
        <w:noProof/>
      </w:rPr>
    </w:sdtEndPr>
    <w:sdtContent>
      <w:p w14:paraId="5AC3BA0B" w14:textId="2CF9850F" w:rsidR="00EF0F26" w:rsidRDefault="00EF0F26">
        <w:pPr>
          <w:pStyle w:val="Kjene"/>
          <w:jc w:val="right"/>
        </w:pPr>
        <w:r w:rsidRPr="00DD0AA3">
          <w:rPr>
            <w:sz w:val="16"/>
          </w:rPr>
          <w:fldChar w:fldCharType="begin"/>
        </w:r>
        <w:r w:rsidRPr="00DD0AA3">
          <w:rPr>
            <w:sz w:val="16"/>
          </w:rPr>
          <w:instrText xml:space="preserve"> PAGE   \* MERGEFORMAT </w:instrText>
        </w:r>
        <w:r w:rsidRPr="00DD0AA3">
          <w:rPr>
            <w:sz w:val="16"/>
          </w:rPr>
          <w:fldChar w:fldCharType="separate"/>
        </w:r>
        <w:r w:rsidR="00275AF8">
          <w:rPr>
            <w:sz w:val="16"/>
          </w:rPr>
          <w:t>50</w:t>
        </w:r>
        <w:r w:rsidRPr="00DD0AA3">
          <w:rPr>
            <w:sz w:val="16"/>
          </w:rPr>
          <w:fldChar w:fldCharType="end"/>
        </w:r>
      </w:p>
    </w:sdtContent>
  </w:sdt>
  <w:p w14:paraId="14DC757B" w14:textId="5D92C4EB" w:rsidR="00EF0F26" w:rsidRDefault="00EF0F26">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00EF0F26" w14:paraId="1A84FE16" w14:textId="77777777" w:rsidTr="5F0D7D7A">
      <w:tc>
        <w:tcPr>
          <w:tcW w:w="4320" w:type="dxa"/>
        </w:tcPr>
        <w:p w14:paraId="1B27A9F1" w14:textId="2D81E9A6" w:rsidR="00EF0F26" w:rsidRDefault="00EF0F26" w:rsidP="5F0D7D7A">
          <w:pPr>
            <w:pStyle w:val="Galvene"/>
            <w:ind w:left="-115"/>
          </w:pPr>
        </w:p>
      </w:tc>
      <w:tc>
        <w:tcPr>
          <w:tcW w:w="4320" w:type="dxa"/>
        </w:tcPr>
        <w:p w14:paraId="6D778658" w14:textId="52793FB1" w:rsidR="00EF0F26" w:rsidRDefault="00EF0F26" w:rsidP="5F0D7D7A">
          <w:pPr>
            <w:pStyle w:val="Galvene"/>
            <w:jc w:val="center"/>
          </w:pPr>
        </w:p>
      </w:tc>
      <w:tc>
        <w:tcPr>
          <w:tcW w:w="4320" w:type="dxa"/>
        </w:tcPr>
        <w:p w14:paraId="31A408B1" w14:textId="516257C7" w:rsidR="00EF0F26" w:rsidRDefault="00EF0F26" w:rsidP="5F0D7D7A">
          <w:pPr>
            <w:pStyle w:val="Galvene"/>
            <w:ind w:right="-115"/>
            <w:jc w:val="right"/>
          </w:pPr>
        </w:p>
      </w:tc>
    </w:tr>
  </w:tbl>
  <w:p w14:paraId="75D73DA1" w14:textId="03ECE555" w:rsidR="00EF0F26" w:rsidRDefault="00EF0F26" w:rsidP="5F0D7D7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A5495" w14:textId="77777777" w:rsidR="00910F3B" w:rsidRDefault="00910F3B" w:rsidP="006F1437">
      <w:pPr>
        <w:spacing w:after="0" w:line="240" w:lineRule="auto"/>
      </w:pPr>
      <w:r>
        <w:separator/>
      </w:r>
    </w:p>
  </w:footnote>
  <w:footnote w:type="continuationSeparator" w:id="0">
    <w:p w14:paraId="239A7982" w14:textId="77777777" w:rsidR="00910F3B" w:rsidRDefault="00910F3B" w:rsidP="006F1437">
      <w:pPr>
        <w:spacing w:after="0" w:line="240" w:lineRule="auto"/>
      </w:pPr>
      <w:r>
        <w:continuationSeparator/>
      </w:r>
    </w:p>
  </w:footnote>
  <w:footnote w:type="continuationNotice" w:id="1">
    <w:p w14:paraId="05166D60" w14:textId="77777777" w:rsidR="00910F3B" w:rsidRDefault="00910F3B">
      <w:pPr>
        <w:spacing w:after="0" w:line="240" w:lineRule="auto"/>
      </w:pPr>
    </w:p>
  </w:footnote>
  <w:footnote w:id="2">
    <w:p w14:paraId="37F03A2C" w14:textId="77777777" w:rsidR="00EF0F26" w:rsidRPr="005D67DB" w:rsidRDefault="00EF0F26" w:rsidP="00ED4951">
      <w:pPr>
        <w:pStyle w:val="Vresteksts"/>
        <w:jc w:val="both"/>
        <w:rPr>
          <w:sz w:val="16"/>
        </w:rPr>
      </w:pPr>
      <w:r>
        <w:rPr>
          <w:rStyle w:val="Vresatsauce"/>
          <w:sz w:val="16"/>
          <w:lang w:val="lv-LV"/>
        </w:rPr>
        <w:footnoteRef/>
      </w:r>
      <w:r>
        <w:rPr>
          <w:sz w:val="16"/>
        </w:rPr>
        <w:t xml:space="preserve"> The proper legal term for a public-private partnership is </w:t>
      </w:r>
      <w:r>
        <w:rPr>
          <w:i/>
          <w:sz w:val="16"/>
        </w:rPr>
        <w:t>public and private partnership</w:t>
      </w:r>
    </w:p>
  </w:footnote>
  <w:footnote w:id="3">
    <w:p w14:paraId="15F468DA" w14:textId="77777777" w:rsidR="00EF0F26" w:rsidRPr="005D67DB" w:rsidRDefault="00EF0F26" w:rsidP="00915841">
      <w:pPr>
        <w:pStyle w:val="Vresteksts"/>
        <w:jc w:val="both"/>
        <w:rPr>
          <w:sz w:val="16"/>
        </w:rPr>
      </w:pPr>
      <w:r>
        <w:rPr>
          <w:rStyle w:val="Vresatsauce"/>
          <w:sz w:val="16"/>
          <w:lang w:val="lv-LV"/>
        </w:rPr>
        <w:footnoteRef/>
      </w:r>
      <w:r>
        <w:rPr>
          <w:sz w:val="16"/>
        </w:rPr>
        <w:t xml:space="preserve"> PPP Law, Article 1(1)</w:t>
      </w:r>
    </w:p>
  </w:footnote>
  <w:footnote w:id="4">
    <w:p w14:paraId="5C6735E1" w14:textId="77777777" w:rsidR="00EF0F26" w:rsidRPr="005D67DB" w:rsidRDefault="00EF0F26" w:rsidP="00915841">
      <w:pPr>
        <w:pStyle w:val="Vresteksts"/>
        <w:jc w:val="both"/>
        <w:rPr>
          <w:sz w:val="16"/>
        </w:rPr>
      </w:pPr>
      <w:r>
        <w:rPr>
          <w:rStyle w:val="Vresatsauce"/>
          <w:sz w:val="16"/>
        </w:rPr>
        <w:footnoteRef/>
      </w:r>
      <w:r>
        <w:rPr>
          <w:sz w:val="16"/>
        </w:rPr>
        <w:t xml:space="preserve"> PPP Law, Article 1(1)</w:t>
      </w:r>
    </w:p>
  </w:footnote>
  <w:footnote w:id="5">
    <w:p w14:paraId="24026D31" w14:textId="7B10D980" w:rsidR="00EF0F26" w:rsidRPr="005D67DB" w:rsidRDefault="00EF0F26" w:rsidP="50721EAF">
      <w:pPr>
        <w:pStyle w:val="Vresteksts"/>
        <w:jc w:val="both"/>
        <w:rPr>
          <w:rFonts w:eastAsiaTheme="minorEastAsia"/>
          <w:sz w:val="16"/>
          <w:szCs w:val="16"/>
        </w:rPr>
      </w:pPr>
      <w:r>
        <w:rPr>
          <w:rStyle w:val="Vresatsauce"/>
          <w:sz w:val="16"/>
          <w:szCs w:val="16"/>
        </w:rPr>
        <w:footnoteRef/>
      </w:r>
      <w:r>
        <w:rPr>
          <w:sz w:val="16"/>
        </w:rPr>
        <w:t xml:space="preserve"> PPP Law, Article 1(17). Public needs not having a commercial or industrial character are needs that are not related to direct availability of goods and services on the market and that are important for meeting the public interests. See, for example, Paragraph 4.6 of the Judgment of the Department of Administrative Affairs of the Supreme Court of the Republic of Latvia of 14 May 2015 No. SKA-0018-15; Judgment of the Court of Justice of the European Union (current title) of 22 May 2003 in Case C-18/01 Korhonen and Others v Varkauden Taitotalo Oy, Paragraphs 47-51, 57-58.</w:t>
      </w:r>
    </w:p>
  </w:footnote>
  <w:footnote w:id="6">
    <w:p w14:paraId="3288DDBA" w14:textId="77777777" w:rsidR="00EF0F26" w:rsidRPr="005D67DB" w:rsidRDefault="00EF0F26" w:rsidP="00915841">
      <w:pPr>
        <w:pStyle w:val="Vresteksts"/>
        <w:jc w:val="both"/>
        <w:rPr>
          <w:sz w:val="16"/>
        </w:rPr>
      </w:pPr>
      <w:r>
        <w:rPr>
          <w:rStyle w:val="Vresatsauce"/>
          <w:sz w:val="16"/>
        </w:rPr>
        <w:footnoteRef/>
      </w:r>
      <w:r>
        <w:rPr>
          <w:sz w:val="16"/>
        </w:rPr>
        <w:t xml:space="preserve"> PPP Law, Articles 1(15) and (16); SASL, Articles 1(1) and (2), Article 4</w:t>
      </w:r>
    </w:p>
  </w:footnote>
  <w:footnote w:id="7">
    <w:p w14:paraId="47AEF61F" w14:textId="77777777" w:rsidR="00EF0F26" w:rsidRPr="005D67DB" w:rsidRDefault="00EF0F26" w:rsidP="00915841">
      <w:pPr>
        <w:pStyle w:val="Vresteksts"/>
        <w:jc w:val="both"/>
        <w:rPr>
          <w:sz w:val="16"/>
        </w:rPr>
      </w:pPr>
      <w:r>
        <w:rPr>
          <w:rStyle w:val="Vresatsauce"/>
          <w:sz w:val="16"/>
        </w:rPr>
        <w:footnoteRef/>
      </w:r>
      <w:r>
        <w:rPr>
          <w:sz w:val="16"/>
        </w:rPr>
        <w:t xml:space="preserve"> PPP Law, Article 1(21) </w:t>
      </w:r>
    </w:p>
  </w:footnote>
  <w:footnote w:id="8">
    <w:p w14:paraId="1E24DD07" w14:textId="77777777" w:rsidR="00EF0F26" w:rsidRPr="005D67DB" w:rsidRDefault="00EF0F26" w:rsidP="00915841">
      <w:pPr>
        <w:pStyle w:val="Vresteksts"/>
        <w:jc w:val="both"/>
        <w:rPr>
          <w:sz w:val="16"/>
        </w:rPr>
      </w:pPr>
      <w:r>
        <w:rPr>
          <w:rStyle w:val="Vresatsauce"/>
          <w:sz w:val="16"/>
        </w:rPr>
        <w:footnoteRef/>
      </w:r>
      <w:r>
        <w:rPr>
          <w:sz w:val="16"/>
        </w:rPr>
        <w:t xml:space="preserve"> PPP Law, Article 60(5). The duration of a Concession Contract may be shorter than five years if the compensation provided to the private partner does not exclude the risks of structure or service exploitation.</w:t>
      </w:r>
    </w:p>
  </w:footnote>
  <w:footnote w:id="9">
    <w:p w14:paraId="07402040" w14:textId="77777777" w:rsidR="00EF0F26" w:rsidRPr="005D67DB" w:rsidRDefault="00EF0F26" w:rsidP="00915841">
      <w:pPr>
        <w:pStyle w:val="Vresteksts"/>
        <w:jc w:val="both"/>
        <w:rPr>
          <w:sz w:val="16"/>
        </w:rPr>
      </w:pPr>
      <w:r>
        <w:rPr>
          <w:rStyle w:val="Vresatsauce"/>
          <w:sz w:val="16"/>
          <w:lang w:val="lv-LV"/>
        </w:rPr>
        <w:footnoteRef/>
      </w:r>
      <w:r>
        <w:rPr>
          <w:sz w:val="16"/>
        </w:rPr>
        <w:t xml:space="preserve"> PPP Law, Article 1(4), Article 60(1). Article 62 of the PPP Law sets out the minimum content of a PPP Contract.</w:t>
      </w:r>
    </w:p>
  </w:footnote>
  <w:footnote w:id="10">
    <w:p w14:paraId="4221EE66" w14:textId="77777777" w:rsidR="00EF0F26" w:rsidRPr="00CF411D" w:rsidRDefault="00EF0F26" w:rsidP="00915841">
      <w:pPr>
        <w:pStyle w:val="Vresteksts"/>
        <w:jc w:val="both"/>
        <w:rPr>
          <w:sz w:val="16"/>
          <w:szCs w:val="16"/>
        </w:rPr>
      </w:pPr>
      <w:r>
        <w:rPr>
          <w:rStyle w:val="Vresatsauce"/>
          <w:sz w:val="16"/>
          <w:lang w:val="lv-LV"/>
        </w:rPr>
        <w:footnoteRef/>
      </w:r>
      <w:r>
        <w:rPr>
          <w:sz w:val="16"/>
        </w:rPr>
        <w:t xml:space="preserve"> PPP Law, Article 60(3)</w:t>
      </w:r>
    </w:p>
  </w:footnote>
  <w:footnote w:id="11">
    <w:p w14:paraId="2AC38CE8" w14:textId="77777777" w:rsidR="00EF0F26" w:rsidRPr="00CF411D" w:rsidRDefault="00EF0F26" w:rsidP="00915841">
      <w:pPr>
        <w:pStyle w:val="Vresteksts"/>
        <w:jc w:val="both"/>
        <w:rPr>
          <w:sz w:val="16"/>
          <w:szCs w:val="16"/>
        </w:rPr>
      </w:pPr>
      <w:r>
        <w:rPr>
          <w:rStyle w:val="Vresatsauce"/>
          <w:sz w:val="16"/>
          <w:szCs w:val="16"/>
        </w:rPr>
        <w:footnoteRef/>
      </w:r>
      <w:r>
        <w:rPr>
          <w:sz w:val="16"/>
        </w:rPr>
        <w:t xml:space="preserve"> PPP Law, Article 1(1)</w:t>
      </w:r>
    </w:p>
  </w:footnote>
  <w:footnote w:id="12">
    <w:p w14:paraId="2B016F8F" w14:textId="77777777" w:rsidR="00EF0F26" w:rsidRPr="005D67DB" w:rsidRDefault="00EF0F26" w:rsidP="00915841">
      <w:pPr>
        <w:pStyle w:val="Vresteksts"/>
        <w:jc w:val="both"/>
        <w:rPr>
          <w:sz w:val="16"/>
        </w:rPr>
      </w:pPr>
      <w:r>
        <w:rPr>
          <w:rStyle w:val="Vresatsauce"/>
          <w:sz w:val="16"/>
          <w:szCs w:val="16"/>
        </w:rPr>
        <w:footnoteRef/>
      </w:r>
      <w:r>
        <w:rPr>
          <w:sz w:val="16"/>
        </w:rPr>
        <w:t xml:space="preserve"> SASL, Chapter XI</w:t>
      </w:r>
    </w:p>
  </w:footnote>
  <w:footnote w:id="13">
    <w:p w14:paraId="71217B2A" w14:textId="77777777" w:rsidR="00EF0F26" w:rsidRPr="005D67DB" w:rsidRDefault="00EF0F26" w:rsidP="00915841">
      <w:pPr>
        <w:pStyle w:val="Vresteksts"/>
        <w:jc w:val="both"/>
        <w:rPr>
          <w:sz w:val="16"/>
        </w:rPr>
      </w:pPr>
      <w:r>
        <w:rPr>
          <w:rStyle w:val="Vresatsauce"/>
          <w:sz w:val="16"/>
        </w:rPr>
        <w:footnoteRef/>
      </w:r>
      <w:r>
        <w:rPr>
          <w:sz w:val="16"/>
        </w:rPr>
        <w:t xml:space="preserve"> Handbook on Public Private Partnership (PPP) in Built Heritage Revitalization Projects. Version 1, 05/2017. Interreg Central Europe, pp. 41-48. Available: </w:t>
      </w:r>
      <w:hyperlink r:id="rId1" w:history="1">
        <w:r>
          <w:rPr>
            <w:rStyle w:val="Hipersaite"/>
            <w:sz w:val="16"/>
          </w:rPr>
          <w:t>https://www.interreg-central.eu/Content.Node/O.T1.1-Handbook-new.pdf</w:t>
        </w:r>
      </w:hyperlink>
      <w:r>
        <w:rPr>
          <w:sz w:val="16"/>
        </w:rPr>
        <w:t xml:space="preserve">  </w:t>
      </w:r>
    </w:p>
  </w:footnote>
  <w:footnote w:id="14">
    <w:p w14:paraId="2C7EFFA2" w14:textId="77777777" w:rsidR="00EF0F26" w:rsidRPr="005D67DB" w:rsidRDefault="00EF0F26" w:rsidP="00915841">
      <w:pPr>
        <w:pStyle w:val="Vresteksts"/>
        <w:rPr>
          <w:sz w:val="16"/>
        </w:rPr>
      </w:pPr>
      <w:r>
        <w:rPr>
          <w:rStyle w:val="Vresatsauce"/>
          <w:sz w:val="16"/>
        </w:rPr>
        <w:footnoteRef/>
      </w:r>
      <w:r>
        <w:rPr>
          <w:sz w:val="16"/>
        </w:rPr>
        <w:t xml:space="preserve"> PPP Law. A graphical representation of the PPP project cycle is available on the CFCA's website: </w:t>
      </w:r>
      <w:hyperlink r:id="rId2" w:history="1">
        <w:r>
          <w:rPr>
            <w:rStyle w:val="Hipersaite"/>
            <w:sz w:val="16"/>
          </w:rPr>
          <w:t>https://www.cfla.gov.lv/lv/citas-programmas/publiska-un-privata-partneriba/ppp-projekta-cikls</w:t>
        </w:r>
      </w:hyperlink>
      <w:r>
        <w:rPr>
          <w:sz w:val="16"/>
        </w:rPr>
        <w:t xml:space="preserve"> </w:t>
      </w:r>
    </w:p>
  </w:footnote>
  <w:footnote w:id="15">
    <w:p w14:paraId="2115C8E3" w14:textId="272E0DA9" w:rsidR="00EF0F26" w:rsidRPr="00F04138" w:rsidRDefault="00EF0F26" w:rsidP="11A1B717">
      <w:pPr>
        <w:pStyle w:val="Vresteksts"/>
        <w:rPr>
          <w:sz w:val="16"/>
          <w:szCs w:val="16"/>
        </w:rPr>
      </w:pPr>
      <w:r>
        <w:rPr>
          <w:rStyle w:val="Vresatsauce"/>
          <w:sz w:val="16"/>
          <w:szCs w:val="16"/>
          <w:lang w:val="lv-LV"/>
        </w:rPr>
        <w:footnoteRef/>
      </w:r>
      <w:r>
        <w:rPr>
          <w:sz w:val="16"/>
        </w:rPr>
        <w:t xml:space="preserve"> PPP Law, Article 9(2)</w:t>
      </w:r>
    </w:p>
  </w:footnote>
  <w:footnote w:id="16">
    <w:p w14:paraId="1F21A99E" w14:textId="77777777" w:rsidR="00EF0F26" w:rsidRPr="00543205" w:rsidRDefault="00EF0F26" w:rsidP="00915841">
      <w:pPr>
        <w:pStyle w:val="Vresteksts"/>
      </w:pPr>
      <w:r>
        <w:rPr>
          <w:rStyle w:val="Vresatsauce"/>
          <w:sz w:val="16"/>
          <w:lang w:val="lv-LV"/>
        </w:rPr>
        <w:footnoteRef/>
      </w:r>
      <w:r>
        <w:rPr>
          <w:sz w:val="16"/>
        </w:rPr>
        <w:t xml:space="preserve"> PPP Law, Article 14; EPEC Guidelines</w:t>
      </w:r>
    </w:p>
  </w:footnote>
  <w:footnote w:id="17">
    <w:p w14:paraId="09EB2D56" w14:textId="7C0B70F0" w:rsidR="00EF0F26" w:rsidRPr="00CC0CB8" w:rsidRDefault="00EF0F26" w:rsidP="00915841">
      <w:pPr>
        <w:pStyle w:val="Vresteksts"/>
        <w:rPr>
          <w:sz w:val="16"/>
        </w:rPr>
      </w:pPr>
      <w:r>
        <w:rPr>
          <w:rStyle w:val="Vresatsauce"/>
          <w:sz w:val="16"/>
          <w:lang w:val="lv-LV"/>
        </w:rPr>
        <w:footnoteRef/>
      </w:r>
      <w:r>
        <w:rPr>
          <w:sz w:val="16"/>
        </w:rPr>
        <w:t xml:space="preserve"> PPP Law, Article 2(1)</w:t>
      </w:r>
    </w:p>
  </w:footnote>
  <w:footnote w:id="18">
    <w:p w14:paraId="5886C5DC" w14:textId="63AB47E6" w:rsidR="00EF0F26" w:rsidRPr="00CC0CB8" w:rsidRDefault="00EF0F26" w:rsidP="00915841">
      <w:pPr>
        <w:pStyle w:val="Vresteksts"/>
        <w:rPr>
          <w:sz w:val="16"/>
        </w:rPr>
      </w:pPr>
      <w:r>
        <w:rPr>
          <w:rStyle w:val="Vresatsauce"/>
          <w:sz w:val="16"/>
          <w:lang w:val="lv-LV"/>
        </w:rPr>
        <w:footnoteRef/>
      </w:r>
      <w:r>
        <w:rPr>
          <w:sz w:val="16"/>
        </w:rPr>
        <w:t xml:space="preserve"> PPL, Article 2; LPPSP, Article 2; LPFDS, Article 2</w:t>
      </w:r>
    </w:p>
  </w:footnote>
  <w:footnote w:id="19">
    <w:p w14:paraId="560CAA44" w14:textId="151B9C62" w:rsidR="00EF0F26" w:rsidRDefault="00EF0F26" w:rsidP="00915841">
      <w:pPr>
        <w:pStyle w:val="Vresteksts"/>
      </w:pPr>
      <w:r>
        <w:rPr>
          <w:rStyle w:val="Vresatsauce"/>
          <w:sz w:val="16"/>
          <w:lang w:val="lv-LV"/>
        </w:rPr>
        <w:footnoteRef/>
      </w:r>
      <w:r>
        <w:rPr>
          <w:sz w:val="16"/>
        </w:rPr>
        <w:t xml:space="preserve"> CtL, Article 2</w:t>
      </w:r>
    </w:p>
  </w:footnote>
  <w:footnote w:id="20">
    <w:p w14:paraId="2CB389A8" w14:textId="610DF5FD" w:rsidR="00EF0F26" w:rsidRPr="005D67DB" w:rsidRDefault="00EF0F26" w:rsidP="00915841">
      <w:pPr>
        <w:pStyle w:val="Vresteksts"/>
        <w:rPr>
          <w:sz w:val="16"/>
        </w:rPr>
      </w:pPr>
      <w:r>
        <w:rPr>
          <w:rStyle w:val="Vresatsauce"/>
          <w:sz w:val="16"/>
        </w:rPr>
        <w:footnoteRef/>
      </w:r>
      <w:r>
        <w:rPr>
          <w:sz w:val="16"/>
        </w:rPr>
        <w:t xml:space="preserve"> PPP Law, Article 15</w:t>
      </w:r>
    </w:p>
  </w:footnote>
  <w:footnote w:id="21">
    <w:p w14:paraId="3057212A" w14:textId="53D6BB7F" w:rsidR="00EF0F26" w:rsidRPr="00ED406F" w:rsidRDefault="00EF0F26" w:rsidP="00915841">
      <w:pPr>
        <w:pStyle w:val="Vresteksts"/>
        <w:rPr>
          <w:sz w:val="16"/>
        </w:rPr>
      </w:pPr>
      <w:r>
        <w:rPr>
          <w:rStyle w:val="Vresatsauce"/>
          <w:sz w:val="16"/>
        </w:rPr>
        <w:footnoteRef/>
      </w:r>
      <w:r>
        <w:rPr>
          <w:sz w:val="16"/>
        </w:rPr>
        <w:t xml:space="preserve"> PPP Law, Article 16</w:t>
      </w:r>
    </w:p>
  </w:footnote>
  <w:footnote w:id="22">
    <w:p w14:paraId="6974DBFA" w14:textId="4CA79D2E" w:rsidR="00EF0F26" w:rsidRPr="00954532" w:rsidRDefault="00EF0F26" w:rsidP="00915841">
      <w:pPr>
        <w:pStyle w:val="Vresteksts"/>
        <w:rPr>
          <w:sz w:val="16"/>
          <w:szCs w:val="16"/>
        </w:rPr>
      </w:pPr>
      <w:r>
        <w:rPr>
          <w:rStyle w:val="Vresatsauce"/>
          <w:sz w:val="16"/>
          <w:szCs w:val="16"/>
        </w:rPr>
        <w:footnoteRef/>
      </w:r>
      <w:r>
        <w:rPr>
          <w:sz w:val="16"/>
        </w:rPr>
        <w:t xml:space="preserve"> PPP Law; PPL</w:t>
      </w:r>
    </w:p>
  </w:footnote>
  <w:footnote w:id="23">
    <w:p w14:paraId="5F48A97C" w14:textId="315B5EBB" w:rsidR="00EF0F26" w:rsidRPr="00954532" w:rsidRDefault="00EF0F26" w:rsidP="00915841">
      <w:pPr>
        <w:pStyle w:val="Vresteksts"/>
        <w:rPr>
          <w:sz w:val="16"/>
          <w:szCs w:val="16"/>
        </w:rPr>
      </w:pPr>
      <w:r>
        <w:rPr>
          <w:rStyle w:val="Vresatsauce"/>
          <w:sz w:val="16"/>
          <w:szCs w:val="16"/>
        </w:rPr>
        <w:footnoteRef/>
      </w:r>
      <w:r>
        <w:rPr>
          <w:sz w:val="16"/>
        </w:rPr>
        <w:t xml:space="preserve"> SASL, Article 45(4)</w:t>
      </w:r>
    </w:p>
  </w:footnote>
  <w:footnote w:id="24">
    <w:p w14:paraId="0B9B7B10" w14:textId="66A7A7DF" w:rsidR="00EF0F26" w:rsidRPr="00954532" w:rsidRDefault="00EF0F26" w:rsidP="00915841">
      <w:pPr>
        <w:pStyle w:val="Vresteksts"/>
        <w:rPr>
          <w:sz w:val="16"/>
          <w:szCs w:val="16"/>
        </w:rPr>
      </w:pPr>
      <w:r>
        <w:rPr>
          <w:rStyle w:val="Vresatsauce"/>
          <w:sz w:val="16"/>
          <w:szCs w:val="16"/>
          <w:lang w:val="lv-LV"/>
        </w:rPr>
        <w:footnoteRef/>
      </w:r>
      <w:r>
        <w:rPr>
          <w:sz w:val="16"/>
        </w:rPr>
        <w:t xml:space="preserve"> SASL, Article 45</w:t>
      </w:r>
      <w:r>
        <w:rPr>
          <w:sz w:val="16"/>
          <w:vertAlign w:val="superscript"/>
        </w:rPr>
        <w:t>1</w:t>
      </w:r>
      <w:r>
        <w:rPr>
          <w:sz w:val="16"/>
        </w:rPr>
        <w:t>(1)</w:t>
      </w:r>
    </w:p>
  </w:footnote>
  <w:footnote w:id="25">
    <w:p w14:paraId="74C90AA1" w14:textId="1A8BF484" w:rsidR="00EF0F26" w:rsidRPr="00954532" w:rsidRDefault="00EF0F26" w:rsidP="00915841">
      <w:pPr>
        <w:pStyle w:val="Vresteksts"/>
        <w:rPr>
          <w:sz w:val="16"/>
          <w:szCs w:val="16"/>
        </w:rPr>
      </w:pPr>
      <w:r>
        <w:rPr>
          <w:rStyle w:val="Vresatsauce"/>
          <w:sz w:val="16"/>
          <w:szCs w:val="16"/>
          <w:lang w:val="lv-LV"/>
        </w:rPr>
        <w:footnoteRef/>
      </w:r>
      <w:r>
        <w:rPr>
          <w:sz w:val="16"/>
        </w:rPr>
        <w:t xml:space="preserve"> SASL, Article 45</w:t>
      </w:r>
      <w:r>
        <w:rPr>
          <w:sz w:val="16"/>
          <w:vertAlign w:val="superscript"/>
        </w:rPr>
        <w:t>1</w:t>
      </w:r>
      <w:r>
        <w:rPr>
          <w:sz w:val="16"/>
        </w:rPr>
        <w:t>(2) and Article 46</w:t>
      </w:r>
    </w:p>
  </w:footnote>
  <w:footnote w:id="26">
    <w:p w14:paraId="39AACE32" w14:textId="12681A3C" w:rsidR="00EF0F26" w:rsidRPr="00954532" w:rsidRDefault="00EF0F26" w:rsidP="00915841">
      <w:pPr>
        <w:pStyle w:val="Vresteksts"/>
        <w:rPr>
          <w:sz w:val="16"/>
          <w:szCs w:val="16"/>
        </w:rPr>
      </w:pPr>
      <w:r>
        <w:rPr>
          <w:rStyle w:val="Vresatsauce"/>
          <w:sz w:val="16"/>
          <w:szCs w:val="16"/>
          <w:lang w:val="lv-LV"/>
        </w:rPr>
        <w:footnoteRef/>
      </w:r>
      <w:r>
        <w:rPr>
          <w:sz w:val="16"/>
        </w:rPr>
        <w:t xml:space="preserve"> CtL, Article 7(2). Letter No. 1-11/189 of the Competition Council of 14 February 2017 to the Riga City Council "On the Riga City Council's Planned Public-Private Partnership Contract in the Waste Management Sector", available at: </w:t>
      </w:r>
      <w:r>
        <w:rPr>
          <w:rStyle w:val="Hipersaite"/>
          <w:sz w:val="16"/>
        </w:rPr>
        <w:t>"https://www.kp.gov.lv/oldfiles/38/citi/2017_14_02_pppatkr.pdf</w:t>
      </w:r>
      <w:r>
        <w:rPr>
          <w:sz w:val="16"/>
        </w:rPr>
        <w:t xml:space="preserve"> </w:t>
      </w:r>
    </w:p>
  </w:footnote>
  <w:footnote w:id="27">
    <w:p w14:paraId="76A7CF5B" w14:textId="0B55E531" w:rsidR="00EF0F26" w:rsidRPr="00CF411D" w:rsidRDefault="00EF0F26" w:rsidP="00915841">
      <w:pPr>
        <w:pStyle w:val="Vresteksts"/>
      </w:pPr>
      <w:r>
        <w:rPr>
          <w:rStyle w:val="Vresatsauce"/>
          <w:sz w:val="16"/>
          <w:szCs w:val="16"/>
          <w:lang w:val="lv-LV"/>
        </w:rPr>
        <w:footnoteRef/>
      </w:r>
      <w:r>
        <w:rPr>
          <w:sz w:val="16"/>
        </w:rPr>
        <w:t xml:space="preserve"> SASL, Article 88(1)</w:t>
      </w:r>
    </w:p>
  </w:footnote>
  <w:footnote w:id="28">
    <w:p w14:paraId="0CAB15EB" w14:textId="2D699BCB" w:rsidR="00EF0F26" w:rsidRPr="00AD51BC" w:rsidRDefault="00EF0F26" w:rsidP="00915841">
      <w:pPr>
        <w:pStyle w:val="Vresteksts"/>
        <w:rPr>
          <w:sz w:val="16"/>
          <w:szCs w:val="16"/>
        </w:rPr>
      </w:pPr>
      <w:r>
        <w:rPr>
          <w:rStyle w:val="Vresatsauce"/>
          <w:sz w:val="16"/>
          <w:szCs w:val="16"/>
          <w:lang w:val="lv-LV"/>
        </w:rPr>
        <w:footnoteRef/>
      </w:r>
      <w:r>
        <w:rPr>
          <w:sz w:val="16"/>
        </w:rPr>
        <w:t xml:space="preserve"> SASL, Article 88(2)</w:t>
      </w:r>
    </w:p>
  </w:footnote>
  <w:footnote w:id="29">
    <w:p w14:paraId="252E4158" w14:textId="179DB376" w:rsidR="00EF0F26" w:rsidRPr="00AD51BC" w:rsidRDefault="00EF0F26" w:rsidP="5F33FD79">
      <w:pPr>
        <w:pStyle w:val="Vresteksts"/>
        <w:rPr>
          <w:rFonts w:eastAsiaTheme="minorEastAsia"/>
          <w:sz w:val="16"/>
          <w:szCs w:val="16"/>
        </w:rPr>
      </w:pPr>
      <w:r>
        <w:rPr>
          <w:rStyle w:val="Vresatsauce"/>
          <w:sz w:val="16"/>
          <w:szCs w:val="16"/>
          <w:lang w:val="lv-LV"/>
        </w:rPr>
        <w:footnoteRef/>
      </w:r>
      <w:r>
        <w:rPr>
          <w:sz w:val="16"/>
        </w:rPr>
        <w:t xml:space="preserve"> Judgment of the Court of Justice of the European Union (current name) of 10 July 1986 in Case 234/84. Kingdom of Belgium v the European Commission</w:t>
      </w:r>
    </w:p>
  </w:footnote>
  <w:footnote w:id="30">
    <w:p w14:paraId="72E6E134" w14:textId="04CC5989" w:rsidR="00EF0F26" w:rsidRPr="00AD51BC" w:rsidRDefault="00EF0F26" w:rsidP="000F488D">
      <w:pPr>
        <w:pStyle w:val="Vresteksts"/>
        <w:ind w:left="284" w:hanging="284"/>
        <w:rPr>
          <w:sz w:val="16"/>
          <w:szCs w:val="16"/>
        </w:rPr>
      </w:pPr>
      <w:r>
        <w:rPr>
          <w:rStyle w:val="Vresatsauce"/>
          <w:sz w:val="16"/>
          <w:szCs w:val="16"/>
          <w:lang w:val="lv-LV"/>
        </w:rPr>
        <w:footnoteRef/>
      </w:r>
      <w:r>
        <w:rPr>
          <w:sz w:val="16"/>
        </w:rPr>
        <w:t xml:space="preserve"> Judgment of the Court of Justice of the European Union (current name) of 8 May 2003 in Joined Cases C-328/99 and C-399/00 Italy and SIM 2 Multimedia v the European Commission.</w:t>
      </w:r>
    </w:p>
  </w:footnote>
  <w:footnote w:id="31">
    <w:p w14:paraId="7E0250F1" w14:textId="74C0C1DE" w:rsidR="00EF0F26" w:rsidRPr="00AD51BC" w:rsidRDefault="00EF0F26" w:rsidP="52C2A8E6">
      <w:pPr>
        <w:pStyle w:val="Vresteksts"/>
        <w:rPr>
          <w:sz w:val="16"/>
          <w:szCs w:val="16"/>
        </w:rPr>
      </w:pPr>
      <w:r>
        <w:rPr>
          <w:rStyle w:val="Vresatsauce"/>
          <w:sz w:val="16"/>
          <w:szCs w:val="16"/>
          <w:lang w:val="lv-LV"/>
        </w:rPr>
        <w:footnoteRef/>
      </w:r>
      <w:r>
        <w:rPr>
          <w:sz w:val="16"/>
        </w:rPr>
        <w:t xml:space="preserve"> Aid Law, Article 5</w:t>
      </w:r>
    </w:p>
  </w:footnote>
  <w:footnote w:id="32">
    <w:p w14:paraId="1B3744B0" w14:textId="5F406F0D" w:rsidR="00EF0F26" w:rsidRPr="00954532" w:rsidRDefault="00EF0F26" w:rsidP="006B4FBE">
      <w:pPr>
        <w:pStyle w:val="Vresteksts"/>
        <w:rPr>
          <w:sz w:val="16"/>
          <w:szCs w:val="16"/>
        </w:rPr>
      </w:pPr>
      <w:r>
        <w:rPr>
          <w:rStyle w:val="Vresatsauce"/>
          <w:sz w:val="16"/>
          <w:szCs w:val="16"/>
          <w:lang w:val="lv-LV"/>
        </w:rPr>
        <w:footnoteRef/>
      </w:r>
      <w:r>
        <w:rPr>
          <w:sz w:val="16"/>
        </w:rPr>
        <w:t xml:space="preserve"> PPP Law, Article 4(14); Aid Law, Articles 5 and 6</w:t>
      </w:r>
    </w:p>
  </w:footnote>
  <w:footnote w:id="33">
    <w:p w14:paraId="07870F9A" w14:textId="1CD00899" w:rsidR="00EF0F26" w:rsidRPr="00AD51BC" w:rsidRDefault="00EF0F26">
      <w:pPr>
        <w:pStyle w:val="Vresteksts"/>
        <w:rPr>
          <w:color w:val="333333"/>
          <w:sz w:val="16"/>
          <w:szCs w:val="16"/>
        </w:rPr>
      </w:pPr>
      <w:r>
        <w:rPr>
          <w:rStyle w:val="Vresatsauce"/>
          <w:sz w:val="16"/>
          <w:szCs w:val="16"/>
          <w:lang w:val="lv-LV"/>
        </w:rPr>
        <w:footnoteRef/>
      </w:r>
      <w:r>
        <w:rPr>
          <w:sz w:val="16"/>
        </w:rPr>
        <w:t xml:space="preserve"> </w:t>
      </w:r>
      <w:r>
        <w:rPr>
          <w:rFonts w:ascii="Verdana" w:hAnsi="Verdana"/>
          <w:sz w:val="16"/>
        </w:rPr>
        <w:t xml:space="preserve">Judgment of the Court of Justice of the European Union (current name) of 30 June 2015 in Joined Cases </w:t>
      </w:r>
      <w:r>
        <w:rPr>
          <w:sz w:val="16"/>
        </w:rPr>
        <w:t>T-186/13, T-190/30 and T-193/13</w:t>
      </w:r>
      <w:r>
        <w:rPr>
          <w:rFonts w:ascii="Verdana" w:hAnsi="Verdana"/>
          <w:sz w:val="16"/>
        </w:rPr>
        <w:t xml:space="preserve"> Netherlands and Others v the European Commission</w:t>
      </w:r>
    </w:p>
  </w:footnote>
  <w:footnote w:id="34">
    <w:p w14:paraId="0B823B8F" w14:textId="0DBC1C13" w:rsidR="00EF0F26" w:rsidRPr="00AD51BC" w:rsidRDefault="00EF0F26" w:rsidP="000F488D">
      <w:pPr>
        <w:pStyle w:val="Vresteksts"/>
        <w:ind w:left="284" w:hanging="284"/>
        <w:rPr>
          <w:rFonts w:eastAsia="Verdana" w:cs="Verdana"/>
          <w:sz w:val="16"/>
          <w:szCs w:val="16"/>
        </w:rPr>
      </w:pPr>
      <w:r>
        <w:rPr>
          <w:rStyle w:val="Vresatsauce"/>
          <w:sz w:val="16"/>
          <w:szCs w:val="16"/>
          <w:lang w:val="lv-LV"/>
        </w:rPr>
        <w:footnoteRef/>
      </w:r>
      <w:r>
        <w:rPr>
          <w:sz w:val="16"/>
        </w:rPr>
        <w:t xml:space="preserve"> </w:t>
      </w:r>
      <w:r>
        <w:rPr>
          <w:rFonts w:ascii="Verdana" w:hAnsi="Verdana"/>
          <w:sz w:val="16"/>
        </w:rPr>
        <w:t>Judgment of the Court of Justice of the European Union (current name) of 20 September 2011 in Joined Cases</w:t>
      </w:r>
      <w:r>
        <w:rPr>
          <w:sz w:val="16"/>
        </w:rPr>
        <w:t xml:space="preserve"> T-394/08, T-408/08, T-453/08 and T-454/08</w:t>
      </w:r>
      <w:r>
        <w:rPr>
          <w:rFonts w:ascii="Verdana" w:hAnsi="Verdana"/>
          <w:sz w:val="16"/>
        </w:rPr>
        <w:t xml:space="preserve"> </w:t>
      </w:r>
      <w:r>
        <w:rPr>
          <w:sz w:val="16"/>
        </w:rPr>
        <w:t>Regione autonoma della Sardegna and Others v the European Commission</w:t>
      </w:r>
    </w:p>
  </w:footnote>
  <w:footnote w:id="35">
    <w:p w14:paraId="7B0858D8" w14:textId="0D748EC5" w:rsidR="00EF0F26" w:rsidRPr="00895EAC" w:rsidRDefault="00EF0F26" w:rsidP="6430CE97">
      <w:pPr>
        <w:pStyle w:val="Vresteksts"/>
        <w:rPr>
          <w:rFonts w:eastAsia="Verdana" w:cs="Verdana"/>
          <w:sz w:val="16"/>
          <w:szCs w:val="16"/>
        </w:rPr>
      </w:pPr>
      <w:r>
        <w:rPr>
          <w:rStyle w:val="Vresatsauce"/>
          <w:sz w:val="16"/>
          <w:szCs w:val="16"/>
          <w:lang w:val="lv-LV"/>
        </w:rPr>
        <w:footnoteRef/>
      </w:r>
      <w:r>
        <w:rPr>
          <w:sz w:val="16"/>
        </w:rPr>
        <w:t xml:space="preserve"> </w:t>
      </w:r>
      <w:r>
        <w:rPr>
          <w:rFonts w:ascii="Verdana" w:hAnsi="Verdana"/>
          <w:sz w:val="16"/>
        </w:rPr>
        <w:t xml:space="preserve">Judgment of the Court of Justice of the European Union (current name) of 9 March 1994 in Case </w:t>
      </w:r>
      <w:r>
        <w:rPr>
          <w:sz w:val="16"/>
        </w:rPr>
        <w:t>C-188/92 TWD Textilwerke Deggendorf GmbH v Germany</w:t>
      </w:r>
    </w:p>
  </w:footnote>
  <w:footnote w:id="36">
    <w:p w14:paraId="72A061D0" w14:textId="1DDD3527" w:rsidR="00EF0F26" w:rsidRPr="00AD51BC" w:rsidRDefault="00EF0F26" w:rsidP="0ECF366A">
      <w:pPr>
        <w:pStyle w:val="Vresteksts"/>
        <w:rPr>
          <w:sz w:val="16"/>
          <w:szCs w:val="16"/>
        </w:rPr>
      </w:pPr>
      <w:r>
        <w:rPr>
          <w:rStyle w:val="Vresatsauce"/>
          <w:sz w:val="16"/>
          <w:szCs w:val="16"/>
        </w:rPr>
        <w:footnoteRef/>
      </w:r>
      <w:r>
        <w:rPr>
          <w:sz w:val="16"/>
        </w:rPr>
        <w:t xml:space="preserve"> PPL, Article 46(3)(1) and (2)</w:t>
      </w:r>
    </w:p>
  </w:footnote>
  <w:footnote w:id="37">
    <w:p w14:paraId="4E6BD85F" w14:textId="3600841E" w:rsidR="001A00AC" w:rsidRPr="00BD3D61" w:rsidRDefault="001A00AC">
      <w:pPr>
        <w:pStyle w:val="Vresteksts"/>
        <w:rPr>
          <w:lang w:val="lv-LV"/>
        </w:rPr>
      </w:pPr>
      <w:r>
        <w:rPr>
          <w:rStyle w:val="Vresatsauce"/>
        </w:rPr>
        <w:footnoteRef/>
      </w:r>
      <w:r>
        <w:t xml:space="preserve"> </w:t>
      </w:r>
      <w:r w:rsidRPr="00BD3D61">
        <w:rPr>
          <w:sz w:val="18"/>
          <w:szCs w:val="18"/>
        </w:rPr>
        <w:t>Available:</w:t>
      </w:r>
      <w:r w:rsidRPr="00BD3D61">
        <w:t xml:space="preserve"> </w:t>
      </w:r>
      <w:hyperlink r:id="rId3" w:history="1">
        <w:r w:rsidRPr="00BD3D61">
          <w:rPr>
            <w:rStyle w:val="Hipersaite"/>
            <w:sz w:val="18"/>
            <w:szCs w:val="18"/>
            <w:lang w:val="lv-LV"/>
          </w:rPr>
          <w:t>https://ppp.cfla.gov.lv/</w:t>
        </w:r>
      </w:hyperlink>
      <w:r w:rsidRPr="00BD3D61">
        <w:rPr>
          <w:rStyle w:val="Hipersaite"/>
          <w:sz w:val="18"/>
          <w:szCs w:val="18"/>
          <w:lang w:val="lv-LV"/>
        </w:rPr>
        <w:t xml:space="preserve"> (registration required)</w:t>
      </w:r>
    </w:p>
  </w:footnote>
  <w:footnote w:id="38">
    <w:p w14:paraId="5C3FCE6E" w14:textId="51EF33EE" w:rsidR="00BD3D61" w:rsidRPr="00BD3D61" w:rsidRDefault="00BD3D61">
      <w:pPr>
        <w:pStyle w:val="Vresteksts"/>
        <w:rPr>
          <w:lang w:val="lv-LV"/>
        </w:rPr>
      </w:pPr>
      <w:r w:rsidRPr="00BD3D61">
        <w:rPr>
          <w:rStyle w:val="Vresatsauce"/>
        </w:rPr>
        <w:footnoteRef/>
      </w:r>
      <w:r w:rsidRPr="00BD3D61">
        <w:t xml:space="preserve"> </w:t>
      </w:r>
      <w:r w:rsidRPr="00BD3D61">
        <w:rPr>
          <w:sz w:val="18"/>
          <w:szCs w:val="18"/>
          <w:lang w:val="lv-LV"/>
        </w:rPr>
        <w:t>Available:</w:t>
      </w:r>
      <w:r w:rsidRPr="00BD3D61">
        <w:rPr>
          <w:lang w:val="lv-LV"/>
        </w:rPr>
        <w:t xml:space="preserve"> </w:t>
      </w:r>
      <w:hyperlink r:id="rId4" w:history="1">
        <w:r w:rsidRPr="00BD3D61">
          <w:rPr>
            <w:rStyle w:val="Hipersaite"/>
            <w:sz w:val="18"/>
            <w:szCs w:val="18"/>
            <w:lang w:val="lv-LV"/>
          </w:rPr>
          <w:t>https://www.cfla.gov.lv/lv/finansu-un-ekonomiskie-aprekini</w:t>
        </w:r>
      </w:hyperlink>
    </w:p>
  </w:footnote>
  <w:footnote w:id="39">
    <w:p w14:paraId="6EDC80F0" w14:textId="2117E91F" w:rsidR="00B3402A" w:rsidRPr="00B3402A" w:rsidRDefault="00B3402A" w:rsidP="00713FB6">
      <w:pPr>
        <w:pStyle w:val="Vresteksts"/>
        <w:rPr>
          <w:sz w:val="18"/>
          <w:szCs w:val="18"/>
          <w:lang w:val="lv-LV"/>
        </w:rPr>
      </w:pPr>
      <w:r>
        <w:rPr>
          <w:rStyle w:val="Vresatsauce"/>
        </w:rPr>
        <w:footnoteRef/>
      </w:r>
      <w:r>
        <w:t xml:space="preserve"> </w:t>
      </w:r>
      <w:r w:rsidRPr="00B3402A">
        <w:rPr>
          <w:sz w:val="18"/>
          <w:szCs w:val="18"/>
        </w:rPr>
        <w:t>Recommendations for risk mitigation actions available</w:t>
      </w:r>
      <w:r>
        <w:rPr>
          <w:sz w:val="18"/>
          <w:szCs w:val="18"/>
        </w:rPr>
        <w:t xml:space="preserve"> at </w:t>
      </w:r>
      <w:hyperlink r:id="rId5" w:anchor="abstract" w:tgtFrame="_blank" w:tooltip="https://www.tandfonline.com/doi/full/10.1080/15309576.2020.1741406#abstract" w:history="1">
        <w:r w:rsidRPr="00B3402A">
          <w:rPr>
            <w:rStyle w:val="Hipersaite"/>
            <w:sz w:val="18"/>
            <w:szCs w:val="18"/>
            <w:lang w:val="lv-LV"/>
          </w:rPr>
          <w:t>https://www.tandfonline.com/doi/full/10.1080/15309576.2020.1741406#abstract</w:t>
        </w:r>
      </w:hyperlink>
      <w:r w:rsidRPr="00B3402A">
        <w:rPr>
          <w:rStyle w:val="Hipersaite"/>
          <w:lang w:val="lv-LV"/>
        </w:rPr>
        <w:t xml:space="preserve"> </w:t>
      </w:r>
      <w:hyperlink r:id="rId6" w:history="1">
        <w:r w:rsidRPr="00B3402A">
          <w:rPr>
            <w:rStyle w:val="Hipersaite"/>
            <w:sz w:val="18"/>
            <w:szCs w:val="18"/>
            <w:lang w:val="lv-LV"/>
          </w:rPr>
          <w:t>https://www.foxmandal.in/anatomy-of-risks-in-ppp-projects-in-india-and-how-to-mitigate-them/</w:t>
        </w:r>
      </w:hyperlink>
      <w:r w:rsidRPr="00B3402A">
        <w:rPr>
          <w:rStyle w:val="Hipersaite"/>
          <w:sz w:val="18"/>
          <w:szCs w:val="18"/>
          <w:lang w:val="lv-LV"/>
        </w:rPr>
        <w:t xml:space="preserve"> </w:t>
      </w:r>
      <w:hyperlink r:id="rId7" w:history="1">
        <w:r w:rsidRPr="00B3402A">
          <w:rPr>
            <w:rStyle w:val="Hipersaite"/>
            <w:sz w:val="18"/>
            <w:szCs w:val="18"/>
            <w:lang w:val="lv-LV"/>
          </w:rPr>
          <w:t>https://pure.spbu.ru/ws/files/19637708/Risk_management_in_public_private_partnership_projects_1939_6104_16_4_155.pdf</w:t>
        </w:r>
      </w:hyperlink>
      <w:r w:rsidRPr="00B3402A">
        <w:rPr>
          <w:rStyle w:val="Hipersaite"/>
          <w:sz w:val="18"/>
          <w:szCs w:val="18"/>
          <w:lang w:val="lv-LV"/>
        </w:rPr>
        <w:t xml:space="preserve"> (avoti aplūkoti 25.09.2024)</w:t>
      </w:r>
    </w:p>
  </w:footnote>
  <w:footnote w:id="40">
    <w:p w14:paraId="4DA4E492" w14:textId="5A372316" w:rsidR="00A87290" w:rsidRPr="00A87290" w:rsidRDefault="00A87290" w:rsidP="00713FB6">
      <w:pPr>
        <w:pStyle w:val="Vresteksts"/>
        <w:jc w:val="both"/>
        <w:rPr>
          <w:sz w:val="18"/>
          <w:szCs w:val="18"/>
          <w:lang w:val="lv-LV"/>
        </w:rPr>
      </w:pPr>
      <w:r>
        <w:rPr>
          <w:rStyle w:val="Vresatsauce"/>
        </w:rPr>
        <w:footnoteRef/>
      </w:r>
      <w:r>
        <w:t xml:space="preserve"> </w:t>
      </w:r>
      <w:r w:rsidRPr="00A87290">
        <w:rPr>
          <w:sz w:val="18"/>
          <w:szCs w:val="18"/>
        </w:rPr>
        <w:t>P</w:t>
      </w:r>
      <w:r w:rsidR="005103F2">
        <w:rPr>
          <w:sz w:val="18"/>
          <w:szCs w:val="18"/>
        </w:rPr>
        <w:t>ossible</w:t>
      </w:r>
      <w:r w:rsidRPr="00A87290">
        <w:rPr>
          <w:sz w:val="18"/>
          <w:szCs w:val="18"/>
        </w:rPr>
        <w:t xml:space="preserve"> risk values (risk probability x risk impact): </w:t>
      </w:r>
      <w:r w:rsidRPr="00A87290">
        <w:rPr>
          <w:rStyle w:val="Hipersaite"/>
          <w:sz w:val="18"/>
          <w:szCs w:val="18"/>
          <w:lang w:val="lv-LV"/>
        </w:rPr>
        <w:t xml:space="preserve">1x1=1; 2x1=2; 3x1=3; 1x2=2; 2x2=4; 3x2=6; 1x3=3; 2x3=6; 3x3=9. </w:t>
      </w:r>
      <w:r w:rsidR="00077B80" w:rsidRPr="00077B80">
        <w:rPr>
          <w:rStyle w:val="Hipersaite"/>
          <w:sz w:val="18"/>
          <w:szCs w:val="18"/>
          <w:lang w:val="lv-LV"/>
        </w:rPr>
        <w:t>A value of 3 is formed from 1x3 or 3x1, meaning either high probability or high impact.</w:t>
      </w:r>
    </w:p>
  </w:footnote>
  <w:footnote w:id="41">
    <w:p w14:paraId="59000335" w14:textId="00A05B67" w:rsidR="005103F2" w:rsidRPr="005103F2" w:rsidRDefault="005103F2" w:rsidP="008A39AE">
      <w:pPr>
        <w:pStyle w:val="Vresteksts"/>
        <w:jc w:val="both"/>
        <w:rPr>
          <w:lang w:val="lv-LV"/>
        </w:rPr>
      </w:pPr>
      <w:r>
        <w:rPr>
          <w:rStyle w:val="Vresatsauce"/>
        </w:rPr>
        <w:footnoteRef/>
      </w:r>
      <w:r>
        <w:t xml:space="preserve"> </w:t>
      </w:r>
      <w:r w:rsidRPr="00A87290">
        <w:rPr>
          <w:sz w:val="18"/>
          <w:szCs w:val="18"/>
        </w:rPr>
        <w:t>P</w:t>
      </w:r>
      <w:r>
        <w:rPr>
          <w:sz w:val="18"/>
          <w:szCs w:val="18"/>
        </w:rPr>
        <w:t>ossible</w:t>
      </w:r>
      <w:r w:rsidRPr="00A87290">
        <w:rPr>
          <w:sz w:val="18"/>
          <w:szCs w:val="18"/>
        </w:rPr>
        <w:t xml:space="preserve"> risk values (risk probability x risk impact): </w:t>
      </w:r>
      <w:r w:rsidRPr="00A87290">
        <w:rPr>
          <w:rStyle w:val="Hipersaite"/>
          <w:sz w:val="18"/>
          <w:szCs w:val="18"/>
          <w:lang w:val="lv-LV"/>
        </w:rPr>
        <w:t xml:space="preserve">1x1=1; 2x1=2; 3x1=3; 1x2=2; 2x2=4; 3x2=6; 1x3=3; 2x3=6; 3x3=9. </w:t>
      </w:r>
      <w:r w:rsidRPr="00077B80">
        <w:rPr>
          <w:rStyle w:val="Hipersaite"/>
          <w:sz w:val="18"/>
          <w:szCs w:val="18"/>
          <w:lang w:val="lv-LV"/>
        </w:rPr>
        <w:t>A value of 3 is formed from 1x3 or 3x1, meaning either high probability or high impact.</w:t>
      </w:r>
    </w:p>
  </w:footnote>
  <w:footnote w:id="42">
    <w:p w14:paraId="6A377FC1" w14:textId="0E09B542" w:rsidR="00626ADB" w:rsidRPr="00626ADB" w:rsidRDefault="00626ADB">
      <w:pPr>
        <w:pStyle w:val="Vresteksts"/>
        <w:rPr>
          <w:sz w:val="18"/>
          <w:szCs w:val="18"/>
          <w:lang w:val="lv-LV"/>
        </w:rPr>
      </w:pPr>
      <w:r>
        <w:rPr>
          <w:rStyle w:val="Vresatsauce"/>
        </w:rPr>
        <w:footnoteRef/>
      </w:r>
      <w:r>
        <w:t xml:space="preserve"> </w:t>
      </w:r>
      <w:r w:rsidRPr="00626ADB">
        <w:rPr>
          <w:sz w:val="18"/>
          <w:szCs w:val="18"/>
          <w:lang w:val="lv-LV"/>
        </w:rPr>
        <w:t xml:space="preserve">Available: </w:t>
      </w:r>
      <w:hyperlink r:id="rId8" w:history="1">
        <w:r w:rsidRPr="007B2B9A">
          <w:rPr>
            <w:rStyle w:val="Hipersaite"/>
            <w:sz w:val="18"/>
            <w:szCs w:val="18"/>
            <w:lang w:val="lv-LV"/>
          </w:rPr>
          <w:t>https://ppp.cfla.gov.lv/</w:t>
        </w:r>
      </w:hyperlink>
      <w:r w:rsidRPr="007B2B9A">
        <w:rPr>
          <w:rStyle w:val="Hipersaite"/>
          <w:sz w:val="18"/>
          <w:szCs w:val="18"/>
          <w:lang w:val="lv-LV"/>
        </w:rPr>
        <w:t xml:space="preserve"> (</w:t>
      </w:r>
      <w:r>
        <w:rPr>
          <w:rStyle w:val="Hipersaite"/>
          <w:sz w:val="18"/>
          <w:szCs w:val="18"/>
          <w:lang w:val="lv-LV"/>
        </w:rPr>
        <w:t>registration required</w:t>
      </w:r>
      <w:r w:rsidRPr="007B2B9A">
        <w:rPr>
          <w:rStyle w:val="Hipersaite"/>
          <w:sz w:val="18"/>
          <w:szCs w:val="18"/>
          <w:lang w:val="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F0F26" w14:paraId="4B45C34A" w14:textId="77777777" w:rsidTr="21673F52">
      <w:tc>
        <w:tcPr>
          <w:tcW w:w="3120" w:type="dxa"/>
        </w:tcPr>
        <w:p w14:paraId="309C0BB4" w14:textId="09C19D38" w:rsidR="00EF0F26" w:rsidRDefault="00EF0F26" w:rsidP="21673F52">
          <w:pPr>
            <w:pStyle w:val="Galvene"/>
            <w:ind w:left="-115"/>
          </w:pPr>
        </w:p>
      </w:tc>
      <w:tc>
        <w:tcPr>
          <w:tcW w:w="3120" w:type="dxa"/>
        </w:tcPr>
        <w:p w14:paraId="5CCD1181" w14:textId="25DA6E23" w:rsidR="00EF0F26" w:rsidRDefault="00EF0F26" w:rsidP="21673F52">
          <w:pPr>
            <w:pStyle w:val="Galvene"/>
            <w:jc w:val="center"/>
          </w:pPr>
        </w:p>
      </w:tc>
      <w:tc>
        <w:tcPr>
          <w:tcW w:w="3120" w:type="dxa"/>
        </w:tcPr>
        <w:p w14:paraId="788D8EC8" w14:textId="41A0279A" w:rsidR="00EF0F26" w:rsidRDefault="00EF0F26" w:rsidP="21673F52">
          <w:pPr>
            <w:pStyle w:val="Galvene"/>
            <w:ind w:right="-115"/>
            <w:jc w:val="right"/>
          </w:pPr>
        </w:p>
      </w:tc>
    </w:tr>
  </w:tbl>
  <w:p w14:paraId="3FCDEF9B" w14:textId="2BCD3BA5" w:rsidR="00EF0F26" w:rsidRDefault="00EF0F26">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D79C0" w14:textId="79022813" w:rsidR="00EF0F26" w:rsidRDefault="00EF0F26">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00EF0F26" w14:paraId="329E4230" w14:textId="77777777" w:rsidTr="21673F52">
      <w:tc>
        <w:tcPr>
          <w:tcW w:w="4320" w:type="dxa"/>
        </w:tcPr>
        <w:p w14:paraId="608138AB" w14:textId="2540ECEB" w:rsidR="00EF0F26" w:rsidRDefault="00EF0F26" w:rsidP="21673F52">
          <w:pPr>
            <w:pStyle w:val="Galvene"/>
            <w:ind w:left="-115"/>
          </w:pPr>
        </w:p>
      </w:tc>
      <w:tc>
        <w:tcPr>
          <w:tcW w:w="4320" w:type="dxa"/>
        </w:tcPr>
        <w:p w14:paraId="38A48A20" w14:textId="663F1EEE" w:rsidR="00EF0F26" w:rsidRDefault="00EF0F26" w:rsidP="21673F52">
          <w:pPr>
            <w:pStyle w:val="Galvene"/>
            <w:jc w:val="center"/>
          </w:pPr>
        </w:p>
      </w:tc>
      <w:tc>
        <w:tcPr>
          <w:tcW w:w="4320" w:type="dxa"/>
        </w:tcPr>
        <w:p w14:paraId="242D4705" w14:textId="5659FC26" w:rsidR="00EF0F26" w:rsidRDefault="00EF0F26" w:rsidP="21673F52">
          <w:pPr>
            <w:pStyle w:val="Galvene"/>
            <w:ind w:right="-115"/>
            <w:jc w:val="right"/>
          </w:pPr>
        </w:p>
      </w:tc>
    </w:tr>
  </w:tbl>
  <w:p w14:paraId="11A96889" w14:textId="62C86526" w:rsidR="00EF0F26" w:rsidRDefault="00EF0F26">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A01E5" w14:textId="7B76009B" w:rsidR="00EF0F26" w:rsidRDefault="00EF0F2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BE5"/>
    <w:multiLevelType w:val="multilevel"/>
    <w:tmpl w:val="C6624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9F4D68"/>
    <w:multiLevelType w:val="hybridMultilevel"/>
    <w:tmpl w:val="9C8ADD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C24B9"/>
    <w:multiLevelType w:val="hybridMultilevel"/>
    <w:tmpl w:val="F294BCB6"/>
    <w:lvl w:ilvl="0" w:tplc="166CABDC">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3" w15:restartNumberingAfterBreak="0">
    <w:nsid w:val="0722585A"/>
    <w:multiLevelType w:val="hybridMultilevel"/>
    <w:tmpl w:val="87FE7F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A7EF9"/>
    <w:multiLevelType w:val="hybridMultilevel"/>
    <w:tmpl w:val="B24C7AC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880C88"/>
    <w:multiLevelType w:val="hybridMultilevel"/>
    <w:tmpl w:val="7E48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9028B"/>
    <w:multiLevelType w:val="hybridMultilevel"/>
    <w:tmpl w:val="84B456F4"/>
    <w:lvl w:ilvl="0" w:tplc="413E3A10">
      <w:start w:val="1"/>
      <w:numFmt w:val="decimal"/>
      <w:lvlText w:val="%1."/>
      <w:lvlJc w:val="left"/>
      <w:pPr>
        <w:ind w:left="72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452867"/>
    <w:multiLevelType w:val="hybridMultilevel"/>
    <w:tmpl w:val="4E62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B0F673E6">
      <w:start w:val="242"/>
      <w:numFmt w:val="bullet"/>
      <w:lvlText w:val="−"/>
      <w:lvlJc w:val="left"/>
      <w:pPr>
        <w:ind w:left="2880" w:hanging="360"/>
      </w:pPr>
      <w:rPr>
        <w:rFonts w:ascii="Verdana" w:hAnsi="Verdan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053827"/>
    <w:multiLevelType w:val="hybridMultilevel"/>
    <w:tmpl w:val="E81E5F66"/>
    <w:lvl w:ilvl="0" w:tplc="57F23384">
      <w:start w:val="1"/>
      <w:numFmt w:val="lowerLetter"/>
      <w:lvlText w:val="(%1)"/>
      <w:lvlJc w:val="left"/>
      <w:pPr>
        <w:ind w:left="720" w:hanging="360"/>
      </w:pPr>
    </w:lvl>
    <w:lvl w:ilvl="1" w:tplc="99EEC0EE">
      <w:start w:val="1"/>
      <w:numFmt w:val="lowerLetter"/>
      <w:lvlText w:val="%2."/>
      <w:lvlJc w:val="left"/>
      <w:pPr>
        <w:ind w:left="1440" w:hanging="360"/>
      </w:pPr>
    </w:lvl>
    <w:lvl w:ilvl="2" w:tplc="04E64C26">
      <w:start w:val="1"/>
      <w:numFmt w:val="lowerRoman"/>
      <w:lvlText w:val="%3."/>
      <w:lvlJc w:val="right"/>
      <w:pPr>
        <w:ind w:left="2160" w:hanging="180"/>
      </w:pPr>
    </w:lvl>
    <w:lvl w:ilvl="3" w:tplc="B9883388">
      <w:start w:val="1"/>
      <w:numFmt w:val="decimal"/>
      <w:lvlText w:val="%4."/>
      <w:lvlJc w:val="left"/>
      <w:pPr>
        <w:ind w:left="2880" w:hanging="360"/>
      </w:pPr>
    </w:lvl>
    <w:lvl w:ilvl="4" w:tplc="63CC2712">
      <w:start w:val="1"/>
      <w:numFmt w:val="lowerLetter"/>
      <w:lvlText w:val="%5."/>
      <w:lvlJc w:val="left"/>
      <w:pPr>
        <w:ind w:left="3600" w:hanging="360"/>
      </w:pPr>
    </w:lvl>
    <w:lvl w:ilvl="5" w:tplc="641C161A">
      <w:start w:val="1"/>
      <w:numFmt w:val="lowerRoman"/>
      <w:lvlText w:val="%6."/>
      <w:lvlJc w:val="right"/>
      <w:pPr>
        <w:ind w:left="4320" w:hanging="180"/>
      </w:pPr>
    </w:lvl>
    <w:lvl w:ilvl="6" w:tplc="2A123D96">
      <w:start w:val="1"/>
      <w:numFmt w:val="decimal"/>
      <w:lvlText w:val="%7."/>
      <w:lvlJc w:val="left"/>
      <w:pPr>
        <w:ind w:left="5040" w:hanging="360"/>
      </w:pPr>
    </w:lvl>
    <w:lvl w:ilvl="7" w:tplc="19623EEA">
      <w:start w:val="1"/>
      <w:numFmt w:val="lowerLetter"/>
      <w:lvlText w:val="%8."/>
      <w:lvlJc w:val="left"/>
      <w:pPr>
        <w:ind w:left="5760" w:hanging="360"/>
      </w:pPr>
    </w:lvl>
    <w:lvl w:ilvl="8" w:tplc="294A750A">
      <w:start w:val="1"/>
      <w:numFmt w:val="lowerRoman"/>
      <w:lvlText w:val="%9."/>
      <w:lvlJc w:val="right"/>
      <w:pPr>
        <w:ind w:left="6480" w:hanging="180"/>
      </w:pPr>
    </w:lvl>
  </w:abstractNum>
  <w:abstractNum w:abstractNumId="9" w15:restartNumberingAfterBreak="0">
    <w:nsid w:val="14D56735"/>
    <w:multiLevelType w:val="hybridMultilevel"/>
    <w:tmpl w:val="6B9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A43AA"/>
    <w:multiLevelType w:val="hybridMultilevel"/>
    <w:tmpl w:val="3354AE12"/>
    <w:lvl w:ilvl="0" w:tplc="19B6C28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93638"/>
    <w:multiLevelType w:val="hybridMultilevel"/>
    <w:tmpl w:val="083E7F9E"/>
    <w:lvl w:ilvl="0" w:tplc="A4861A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37101"/>
    <w:multiLevelType w:val="hybridMultilevel"/>
    <w:tmpl w:val="F99EBF3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36DF5"/>
    <w:multiLevelType w:val="hybridMultilevel"/>
    <w:tmpl w:val="0186E5E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22FD2"/>
    <w:multiLevelType w:val="hybridMultilevel"/>
    <w:tmpl w:val="B3BA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156D62"/>
    <w:multiLevelType w:val="hybridMultilevel"/>
    <w:tmpl w:val="439052C6"/>
    <w:lvl w:ilvl="0" w:tplc="FFFFFFFF">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1F55140"/>
    <w:multiLevelType w:val="hybridMultilevel"/>
    <w:tmpl w:val="939E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E7636"/>
    <w:multiLevelType w:val="hybridMultilevel"/>
    <w:tmpl w:val="A036A7EC"/>
    <w:lvl w:ilvl="0" w:tplc="166CAB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718EA"/>
    <w:multiLevelType w:val="hybridMultilevel"/>
    <w:tmpl w:val="E9EA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32D10"/>
    <w:multiLevelType w:val="hybridMultilevel"/>
    <w:tmpl w:val="EC90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F5574"/>
    <w:multiLevelType w:val="hybridMultilevel"/>
    <w:tmpl w:val="1A929234"/>
    <w:lvl w:ilvl="0" w:tplc="52AC1AA6">
      <w:start w:val="1"/>
      <w:numFmt w:val="bullet"/>
      <w:lvlText w:val=""/>
      <w:lvlJc w:val="left"/>
      <w:pPr>
        <w:ind w:left="720" w:hanging="360"/>
      </w:pPr>
      <w:rPr>
        <w:rFonts w:ascii="Symbol" w:hAnsi="Symbol" w:hint="default"/>
      </w:rPr>
    </w:lvl>
    <w:lvl w:ilvl="1" w:tplc="B5A61B56">
      <w:start w:val="1"/>
      <w:numFmt w:val="bullet"/>
      <w:lvlText w:val="o"/>
      <w:lvlJc w:val="left"/>
      <w:pPr>
        <w:ind w:left="1440" w:hanging="360"/>
      </w:pPr>
      <w:rPr>
        <w:rFonts w:ascii="Courier New" w:hAnsi="Courier New" w:hint="default"/>
      </w:rPr>
    </w:lvl>
    <w:lvl w:ilvl="2" w:tplc="0C768F4C">
      <w:start w:val="1"/>
      <w:numFmt w:val="bullet"/>
      <w:lvlText w:val=""/>
      <w:lvlJc w:val="left"/>
      <w:pPr>
        <w:ind w:left="2160" w:hanging="360"/>
      </w:pPr>
      <w:rPr>
        <w:rFonts w:ascii="Wingdings" w:hAnsi="Wingdings" w:hint="default"/>
      </w:rPr>
    </w:lvl>
    <w:lvl w:ilvl="3" w:tplc="D58AC376">
      <w:start w:val="1"/>
      <w:numFmt w:val="bullet"/>
      <w:lvlText w:val=""/>
      <w:lvlJc w:val="left"/>
      <w:pPr>
        <w:ind w:left="2880" w:hanging="360"/>
      </w:pPr>
      <w:rPr>
        <w:rFonts w:ascii="Symbol" w:hAnsi="Symbol" w:hint="default"/>
      </w:rPr>
    </w:lvl>
    <w:lvl w:ilvl="4" w:tplc="15B8B1E2">
      <w:start w:val="1"/>
      <w:numFmt w:val="bullet"/>
      <w:lvlText w:val="o"/>
      <w:lvlJc w:val="left"/>
      <w:pPr>
        <w:ind w:left="3600" w:hanging="360"/>
      </w:pPr>
      <w:rPr>
        <w:rFonts w:ascii="Courier New" w:hAnsi="Courier New" w:hint="default"/>
      </w:rPr>
    </w:lvl>
    <w:lvl w:ilvl="5" w:tplc="D5106996">
      <w:start w:val="1"/>
      <w:numFmt w:val="bullet"/>
      <w:lvlText w:val=""/>
      <w:lvlJc w:val="left"/>
      <w:pPr>
        <w:ind w:left="4320" w:hanging="360"/>
      </w:pPr>
      <w:rPr>
        <w:rFonts w:ascii="Wingdings" w:hAnsi="Wingdings" w:hint="default"/>
      </w:rPr>
    </w:lvl>
    <w:lvl w:ilvl="6" w:tplc="2E668D02">
      <w:start w:val="1"/>
      <w:numFmt w:val="bullet"/>
      <w:lvlText w:val=""/>
      <w:lvlJc w:val="left"/>
      <w:pPr>
        <w:ind w:left="5040" w:hanging="360"/>
      </w:pPr>
      <w:rPr>
        <w:rFonts w:ascii="Symbol" w:hAnsi="Symbol" w:hint="default"/>
      </w:rPr>
    </w:lvl>
    <w:lvl w:ilvl="7" w:tplc="2EBA1EF8">
      <w:start w:val="1"/>
      <w:numFmt w:val="bullet"/>
      <w:lvlText w:val="o"/>
      <w:lvlJc w:val="left"/>
      <w:pPr>
        <w:ind w:left="5760" w:hanging="360"/>
      </w:pPr>
      <w:rPr>
        <w:rFonts w:ascii="Courier New" w:hAnsi="Courier New" w:hint="default"/>
      </w:rPr>
    </w:lvl>
    <w:lvl w:ilvl="8" w:tplc="6E8A152A">
      <w:start w:val="1"/>
      <w:numFmt w:val="bullet"/>
      <w:lvlText w:val=""/>
      <w:lvlJc w:val="left"/>
      <w:pPr>
        <w:ind w:left="6480" w:hanging="360"/>
      </w:pPr>
      <w:rPr>
        <w:rFonts w:ascii="Wingdings" w:hAnsi="Wingdings" w:hint="default"/>
      </w:rPr>
    </w:lvl>
  </w:abstractNum>
  <w:abstractNum w:abstractNumId="21" w15:restartNumberingAfterBreak="0">
    <w:nsid w:val="3A021598"/>
    <w:multiLevelType w:val="multilevel"/>
    <w:tmpl w:val="160080CA"/>
    <w:lvl w:ilvl="0">
      <w:start w:val="1"/>
      <w:numFmt w:val="decimal"/>
      <w:lvlText w:val="%1."/>
      <w:lvlJc w:val="left"/>
      <w:pPr>
        <w:ind w:left="360" w:hanging="360"/>
      </w:pPr>
      <w:rPr>
        <w:rFonts w:hint="default"/>
        <w:color w:val="638C1B" w:themeColor="accent1" w:themeShade="BF"/>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2B1ACE"/>
    <w:multiLevelType w:val="hybridMultilevel"/>
    <w:tmpl w:val="10561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D100AB"/>
    <w:multiLevelType w:val="hybridMultilevel"/>
    <w:tmpl w:val="9A260C6A"/>
    <w:lvl w:ilvl="0" w:tplc="166CAB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0E2DC1"/>
    <w:multiLevelType w:val="hybridMultilevel"/>
    <w:tmpl w:val="B3BA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E72751"/>
    <w:multiLevelType w:val="hybridMultilevel"/>
    <w:tmpl w:val="27CA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5306F7"/>
    <w:multiLevelType w:val="hybridMultilevel"/>
    <w:tmpl w:val="D70A4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E915BC"/>
    <w:multiLevelType w:val="hybridMultilevel"/>
    <w:tmpl w:val="0302D3B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8" w15:restartNumberingAfterBreak="0">
    <w:nsid w:val="425B5E45"/>
    <w:multiLevelType w:val="hybridMultilevel"/>
    <w:tmpl w:val="ED022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0901A8"/>
    <w:multiLevelType w:val="hybridMultilevel"/>
    <w:tmpl w:val="B3BA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D77C82"/>
    <w:multiLevelType w:val="hybridMultilevel"/>
    <w:tmpl w:val="B8367656"/>
    <w:lvl w:ilvl="0" w:tplc="33F8F6CA">
      <w:start w:val="1"/>
      <w:numFmt w:val="lowerLetter"/>
      <w:lvlText w:val="(%1)"/>
      <w:lvlJc w:val="left"/>
      <w:pPr>
        <w:ind w:left="720" w:hanging="360"/>
      </w:pPr>
    </w:lvl>
    <w:lvl w:ilvl="1" w:tplc="59161C94">
      <w:start w:val="1"/>
      <w:numFmt w:val="lowerLetter"/>
      <w:lvlText w:val="%2."/>
      <w:lvlJc w:val="left"/>
      <w:pPr>
        <w:ind w:left="1440" w:hanging="360"/>
      </w:pPr>
    </w:lvl>
    <w:lvl w:ilvl="2" w:tplc="A2868022">
      <w:start w:val="1"/>
      <w:numFmt w:val="lowerRoman"/>
      <w:lvlText w:val="%3."/>
      <w:lvlJc w:val="right"/>
      <w:pPr>
        <w:ind w:left="2160" w:hanging="180"/>
      </w:pPr>
    </w:lvl>
    <w:lvl w:ilvl="3" w:tplc="F544D53A">
      <w:start w:val="1"/>
      <w:numFmt w:val="decimal"/>
      <w:lvlText w:val="%4."/>
      <w:lvlJc w:val="left"/>
      <w:pPr>
        <w:ind w:left="2880" w:hanging="360"/>
      </w:pPr>
    </w:lvl>
    <w:lvl w:ilvl="4" w:tplc="D0D65DF8">
      <w:start w:val="1"/>
      <w:numFmt w:val="lowerLetter"/>
      <w:lvlText w:val="%5."/>
      <w:lvlJc w:val="left"/>
      <w:pPr>
        <w:ind w:left="3600" w:hanging="360"/>
      </w:pPr>
    </w:lvl>
    <w:lvl w:ilvl="5" w:tplc="63762BB6">
      <w:start w:val="1"/>
      <w:numFmt w:val="lowerRoman"/>
      <w:lvlText w:val="%6."/>
      <w:lvlJc w:val="right"/>
      <w:pPr>
        <w:ind w:left="4320" w:hanging="180"/>
      </w:pPr>
    </w:lvl>
    <w:lvl w:ilvl="6" w:tplc="6F4AE224">
      <w:start w:val="1"/>
      <w:numFmt w:val="decimal"/>
      <w:lvlText w:val="%7."/>
      <w:lvlJc w:val="left"/>
      <w:pPr>
        <w:ind w:left="5040" w:hanging="360"/>
      </w:pPr>
    </w:lvl>
    <w:lvl w:ilvl="7" w:tplc="10644BE4">
      <w:start w:val="1"/>
      <w:numFmt w:val="lowerLetter"/>
      <w:lvlText w:val="%8."/>
      <w:lvlJc w:val="left"/>
      <w:pPr>
        <w:ind w:left="5760" w:hanging="360"/>
      </w:pPr>
    </w:lvl>
    <w:lvl w:ilvl="8" w:tplc="FD2655C4">
      <w:start w:val="1"/>
      <w:numFmt w:val="lowerRoman"/>
      <w:lvlText w:val="%9."/>
      <w:lvlJc w:val="right"/>
      <w:pPr>
        <w:ind w:left="6480" w:hanging="180"/>
      </w:pPr>
    </w:lvl>
  </w:abstractNum>
  <w:abstractNum w:abstractNumId="31" w15:restartNumberingAfterBreak="0">
    <w:nsid w:val="47903388"/>
    <w:multiLevelType w:val="hybridMultilevel"/>
    <w:tmpl w:val="497C83D6"/>
    <w:lvl w:ilvl="0" w:tplc="166CAB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C76EB0"/>
    <w:multiLevelType w:val="hybridMultilevel"/>
    <w:tmpl w:val="3434FF2A"/>
    <w:lvl w:ilvl="0" w:tplc="FFFFFFFF">
      <w:start w:val="1"/>
      <w:numFmt w:val="bullet"/>
      <w:lvlText w:val=""/>
      <w:lvlJc w:val="left"/>
      <w:pPr>
        <w:ind w:left="720" w:hanging="360"/>
      </w:pPr>
      <w:rPr>
        <w:rFonts w:ascii="Symbol" w:hAnsi="Symbol" w:hint="default"/>
      </w:rPr>
    </w:lvl>
    <w:lvl w:ilvl="1" w:tplc="345CFCFA">
      <w:start w:val="1"/>
      <w:numFmt w:val="bullet"/>
      <w:lvlText w:val="o"/>
      <w:lvlJc w:val="left"/>
      <w:pPr>
        <w:ind w:left="1440" w:hanging="360"/>
      </w:pPr>
      <w:rPr>
        <w:rFonts w:ascii="Courier New" w:hAnsi="Courier New" w:hint="default"/>
      </w:rPr>
    </w:lvl>
    <w:lvl w:ilvl="2" w:tplc="C1D46416">
      <w:start w:val="1"/>
      <w:numFmt w:val="bullet"/>
      <w:lvlText w:val=""/>
      <w:lvlJc w:val="left"/>
      <w:pPr>
        <w:ind w:left="2160" w:hanging="360"/>
      </w:pPr>
      <w:rPr>
        <w:rFonts w:ascii="Wingdings" w:hAnsi="Wingdings" w:hint="default"/>
      </w:rPr>
    </w:lvl>
    <w:lvl w:ilvl="3" w:tplc="1DF82F94">
      <w:start w:val="1"/>
      <w:numFmt w:val="bullet"/>
      <w:lvlText w:val=""/>
      <w:lvlJc w:val="left"/>
      <w:pPr>
        <w:ind w:left="2880" w:hanging="360"/>
      </w:pPr>
      <w:rPr>
        <w:rFonts w:ascii="Symbol" w:hAnsi="Symbol" w:hint="default"/>
      </w:rPr>
    </w:lvl>
    <w:lvl w:ilvl="4" w:tplc="C36487F8">
      <w:start w:val="1"/>
      <w:numFmt w:val="bullet"/>
      <w:lvlText w:val="o"/>
      <w:lvlJc w:val="left"/>
      <w:pPr>
        <w:ind w:left="3600" w:hanging="360"/>
      </w:pPr>
      <w:rPr>
        <w:rFonts w:ascii="Courier New" w:hAnsi="Courier New" w:hint="default"/>
      </w:rPr>
    </w:lvl>
    <w:lvl w:ilvl="5" w:tplc="DF94B74E">
      <w:start w:val="1"/>
      <w:numFmt w:val="bullet"/>
      <w:lvlText w:val=""/>
      <w:lvlJc w:val="left"/>
      <w:pPr>
        <w:ind w:left="4320" w:hanging="360"/>
      </w:pPr>
      <w:rPr>
        <w:rFonts w:ascii="Wingdings" w:hAnsi="Wingdings" w:hint="default"/>
      </w:rPr>
    </w:lvl>
    <w:lvl w:ilvl="6" w:tplc="C354085C">
      <w:start w:val="1"/>
      <w:numFmt w:val="bullet"/>
      <w:lvlText w:val=""/>
      <w:lvlJc w:val="left"/>
      <w:pPr>
        <w:ind w:left="5040" w:hanging="360"/>
      </w:pPr>
      <w:rPr>
        <w:rFonts w:ascii="Symbol" w:hAnsi="Symbol" w:hint="default"/>
      </w:rPr>
    </w:lvl>
    <w:lvl w:ilvl="7" w:tplc="2AAC531E">
      <w:start w:val="1"/>
      <w:numFmt w:val="bullet"/>
      <w:lvlText w:val="o"/>
      <w:lvlJc w:val="left"/>
      <w:pPr>
        <w:ind w:left="5760" w:hanging="360"/>
      </w:pPr>
      <w:rPr>
        <w:rFonts w:ascii="Courier New" w:hAnsi="Courier New" w:hint="default"/>
      </w:rPr>
    </w:lvl>
    <w:lvl w:ilvl="8" w:tplc="39AE5B80">
      <w:start w:val="1"/>
      <w:numFmt w:val="bullet"/>
      <w:lvlText w:val=""/>
      <w:lvlJc w:val="left"/>
      <w:pPr>
        <w:ind w:left="6480" w:hanging="360"/>
      </w:pPr>
      <w:rPr>
        <w:rFonts w:ascii="Wingdings" w:hAnsi="Wingdings" w:hint="default"/>
      </w:rPr>
    </w:lvl>
  </w:abstractNum>
  <w:abstractNum w:abstractNumId="33" w15:restartNumberingAfterBreak="0">
    <w:nsid w:val="48AE0298"/>
    <w:multiLevelType w:val="hybridMultilevel"/>
    <w:tmpl w:val="7BC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ED4F9E"/>
    <w:multiLevelType w:val="hybridMultilevel"/>
    <w:tmpl w:val="0680B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893C33"/>
    <w:multiLevelType w:val="hybridMultilevel"/>
    <w:tmpl w:val="43043E34"/>
    <w:lvl w:ilvl="0" w:tplc="BE149E00">
      <w:start w:val="1"/>
      <w:numFmt w:val="bullet"/>
      <w:lvlText w:val=""/>
      <w:lvlJc w:val="left"/>
      <w:pPr>
        <w:ind w:left="720" w:hanging="360"/>
      </w:pPr>
      <w:rPr>
        <w:rFonts w:ascii="Symbol" w:hAnsi="Symbol" w:hint="default"/>
      </w:rPr>
    </w:lvl>
    <w:lvl w:ilvl="1" w:tplc="112C2464">
      <w:start w:val="1"/>
      <w:numFmt w:val="bullet"/>
      <w:lvlText w:val="o"/>
      <w:lvlJc w:val="left"/>
      <w:pPr>
        <w:ind w:left="1440" w:hanging="360"/>
      </w:pPr>
      <w:rPr>
        <w:rFonts w:ascii="Courier New" w:hAnsi="Courier New" w:hint="default"/>
      </w:rPr>
    </w:lvl>
    <w:lvl w:ilvl="2" w:tplc="6E3A4710">
      <w:start w:val="1"/>
      <w:numFmt w:val="bullet"/>
      <w:lvlText w:val=""/>
      <w:lvlJc w:val="left"/>
      <w:pPr>
        <w:ind w:left="2160" w:hanging="360"/>
      </w:pPr>
      <w:rPr>
        <w:rFonts w:ascii="Wingdings" w:hAnsi="Wingdings" w:hint="default"/>
      </w:rPr>
    </w:lvl>
    <w:lvl w:ilvl="3" w:tplc="97AC2DEC">
      <w:start w:val="1"/>
      <w:numFmt w:val="bullet"/>
      <w:lvlText w:val=""/>
      <w:lvlJc w:val="left"/>
      <w:pPr>
        <w:ind w:left="2880" w:hanging="360"/>
      </w:pPr>
      <w:rPr>
        <w:rFonts w:ascii="Symbol" w:hAnsi="Symbol" w:hint="default"/>
      </w:rPr>
    </w:lvl>
    <w:lvl w:ilvl="4" w:tplc="41E6A8A2">
      <w:start w:val="1"/>
      <w:numFmt w:val="bullet"/>
      <w:lvlText w:val="o"/>
      <w:lvlJc w:val="left"/>
      <w:pPr>
        <w:ind w:left="3600" w:hanging="360"/>
      </w:pPr>
      <w:rPr>
        <w:rFonts w:ascii="Courier New" w:hAnsi="Courier New" w:hint="default"/>
      </w:rPr>
    </w:lvl>
    <w:lvl w:ilvl="5" w:tplc="D0A6FF92">
      <w:start w:val="1"/>
      <w:numFmt w:val="bullet"/>
      <w:lvlText w:val=""/>
      <w:lvlJc w:val="left"/>
      <w:pPr>
        <w:ind w:left="4320" w:hanging="360"/>
      </w:pPr>
      <w:rPr>
        <w:rFonts w:ascii="Wingdings" w:hAnsi="Wingdings" w:hint="default"/>
      </w:rPr>
    </w:lvl>
    <w:lvl w:ilvl="6" w:tplc="1EE6BEBE">
      <w:start w:val="1"/>
      <w:numFmt w:val="bullet"/>
      <w:lvlText w:val=""/>
      <w:lvlJc w:val="left"/>
      <w:pPr>
        <w:ind w:left="5040" w:hanging="360"/>
      </w:pPr>
      <w:rPr>
        <w:rFonts w:ascii="Symbol" w:hAnsi="Symbol" w:hint="default"/>
      </w:rPr>
    </w:lvl>
    <w:lvl w:ilvl="7" w:tplc="0A188AB0">
      <w:start w:val="1"/>
      <w:numFmt w:val="bullet"/>
      <w:lvlText w:val="o"/>
      <w:lvlJc w:val="left"/>
      <w:pPr>
        <w:ind w:left="5760" w:hanging="360"/>
      </w:pPr>
      <w:rPr>
        <w:rFonts w:ascii="Courier New" w:hAnsi="Courier New" w:hint="default"/>
      </w:rPr>
    </w:lvl>
    <w:lvl w:ilvl="8" w:tplc="16762D40">
      <w:start w:val="1"/>
      <w:numFmt w:val="bullet"/>
      <w:lvlText w:val=""/>
      <w:lvlJc w:val="left"/>
      <w:pPr>
        <w:ind w:left="6480" w:hanging="360"/>
      </w:pPr>
      <w:rPr>
        <w:rFonts w:ascii="Wingdings" w:hAnsi="Wingdings" w:hint="default"/>
      </w:rPr>
    </w:lvl>
  </w:abstractNum>
  <w:abstractNum w:abstractNumId="36" w15:restartNumberingAfterBreak="0">
    <w:nsid w:val="534424D7"/>
    <w:multiLevelType w:val="hybridMultilevel"/>
    <w:tmpl w:val="B3BA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7D2AA6"/>
    <w:multiLevelType w:val="hybridMultilevel"/>
    <w:tmpl w:val="B3BA57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CE1935"/>
    <w:multiLevelType w:val="multilevel"/>
    <w:tmpl w:val="9A0654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9" w15:restartNumberingAfterBreak="0">
    <w:nsid w:val="59B30135"/>
    <w:multiLevelType w:val="hybridMultilevel"/>
    <w:tmpl w:val="B3BA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A94090"/>
    <w:multiLevelType w:val="hybridMultilevel"/>
    <w:tmpl w:val="0C64BAB2"/>
    <w:lvl w:ilvl="0" w:tplc="E208F92C">
      <w:start w:val="1"/>
      <w:numFmt w:val="lowerLetter"/>
      <w:lvlText w:val="(%1)"/>
      <w:lvlJc w:val="left"/>
      <w:pPr>
        <w:ind w:left="720" w:hanging="360"/>
      </w:pPr>
    </w:lvl>
    <w:lvl w:ilvl="1" w:tplc="9DEC1120">
      <w:start w:val="1"/>
      <w:numFmt w:val="lowerLetter"/>
      <w:lvlText w:val="%2."/>
      <w:lvlJc w:val="left"/>
      <w:pPr>
        <w:ind w:left="1440" w:hanging="360"/>
      </w:pPr>
    </w:lvl>
    <w:lvl w:ilvl="2" w:tplc="498CE1A0">
      <w:start w:val="1"/>
      <w:numFmt w:val="lowerRoman"/>
      <w:lvlText w:val="%3."/>
      <w:lvlJc w:val="right"/>
      <w:pPr>
        <w:ind w:left="2160" w:hanging="180"/>
      </w:pPr>
    </w:lvl>
    <w:lvl w:ilvl="3" w:tplc="33501618">
      <w:start w:val="1"/>
      <w:numFmt w:val="decimal"/>
      <w:lvlText w:val="%4."/>
      <w:lvlJc w:val="left"/>
      <w:pPr>
        <w:ind w:left="2880" w:hanging="360"/>
      </w:pPr>
    </w:lvl>
    <w:lvl w:ilvl="4" w:tplc="1AC099CC">
      <w:start w:val="1"/>
      <w:numFmt w:val="lowerLetter"/>
      <w:lvlText w:val="%5."/>
      <w:lvlJc w:val="left"/>
      <w:pPr>
        <w:ind w:left="3600" w:hanging="360"/>
      </w:pPr>
    </w:lvl>
    <w:lvl w:ilvl="5" w:tplc="A5C646A0">
      <w:start w:val="1"/>
      <w:numFmt w:val="lowerRoman"/>
      <w:lvlText w:val="%6."/>
      <w:lvlJc w:val="right"/>
      <w:pPr>
        <w:ind w:left="4320" w:hanging="180"/>
      </w:pPr>
    </w:lvl>
    <w:lvl w:ilvl="6" w:tplc="DEE46D12">
      <w:start w:val="1"/>
      <w:numFmt w:val="decimal"/>
      <w:lvlText w:val="%7."/>
      <w:lvlJc w:val="left"/>
      <w:pPr>
        <w:ind w:left="5040" w:hanging="360"/>
      </w:pPr>
    </w:lvl>
    <w:lvl w:ilvl="7" w:tplc="C4E88974">
      <w:start w:val="1"/>
      <w:numFmt w:val="lowerLetter"/>
      <w:lvlText w:val="%8."/>
      <w:lvlJc w:val="left"/>
      <w:pPr>
        <w:ind w:left="5760" w:hanging="360"/>
      </w:pPr>
    </w:lvl>
    <w:lvl w:ilvl="8" w:tplc="A9883D46">
      <w:start w:val="1"/>
      <w:numFmt w:val="lowerRoman"/>
      <w:lvlText w:val="%9."/>
      <w:lvlJc w:val="right"/>
      <w:pPr>
        <w:ind w:left="6480" w:hanging="180"/>
      </w:pPr>
    </w:lvl>
  </w:abstractNum>
  <w:abstractNum w:abstractNumId="41" w15:restartNumberingAfterBreak="0">
    <w:nsid w:val="5E25794C"/>
    <w:multiLevelType w:val="hybridMultilevel"/>
    <w:tmpl w:val="8F38FA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8441D2"/>
    <w:multiLevelType w:val="hybridMultilevel"/>
    <w:tmpl w:val="BACEFB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 w15:restartNumberingAfterBreak="0">
    <w:nsid w:val="5F532D5A"/>
    <w:multiLevelType w:val="hybridMultilevel"/>
    <w:tmpl w:val="13AAE5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F7849BF"/>
    <w:multiLevelType w:val="multilevel"/>
    <w:tmpl w:val="E41A4A04"/>
    <w:lvl w:ilvl="0">
      <w:start w:val="1"/>
      <w:numFmt w:val="bullet"/>
      <w:lvlText w:val=""/>
      <w:lvlJc w:val="left"/>
      <w:pPr>
        <w:ind w:left="720" w:hanging="360"/>
      </w:pPr>
      <w:rPr>
        <w:rFonts w:ascii="Symbol" w:hAnsi="Symbol" w:hint="default"/>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5" w15:restartNumberingAfterBreak="0">
    <w:nsid w:val="5FB268FD"/>
    <w:multiLevelType w:val="hybridMultilevel"/>
    <w:tmpl w:val="121C0144"/>
    <w:lvl w:ilvl="0" w:tplc="0BD0784A">
      <w:start w:val="1"/>
      <w:numFmt w:val="lowerLetter"/>
      <w:lvlText w:val="(%1)"/>
      <w:lvlJc w:val="left"/>
      <w:pPr>
        <w:ind w:left="720" w:hanging="360"/>
      </w:pPr>
    </w:lvl>
    <w:lvl w:ilvl="1" w:tplc="1B444B0A">
      <w:start w:val="1"/>
      <w:numFmt w:val="lowerLetter"/>
      <w:lvlText w:val="%2."/>
      <w:lvlJc w:val="left"/>
      <w:pPr>
        <w:ind w:left="1440" w:hanging="360"/>
      </w:pPr>
    </w:lvl>
    <w:lvl w:ilvl="2" w:tplc="3BE41D2C">
      <w:start w:val="1"/>
      <w:numFmt w:val="lowerRoman"/>
      <w:lvlText w:val="%3."/>
      <w:lvlJc w:val="right"/>
      <w:pPr>
        <w:ind w:left="2160" w:hanging="180"/>
      </w:pPr>
    </w:lvl>
    <w:lvl w:ilvl="3" w:tplc="749C0A04">
      <w:start w:val="1"/>
      <w:numFmt w:val="decimal"/>
      <w:lvlText w:val="%4."/>
      <w:lvlJc w:val="left"/>
      <w:pPr>
        <w:ind w:left="2880" w:hanging="360"/>
      </w:pPr>
    </w:lvl>
    <w:lvl w:ilvl="4" w:tplc="B80C27AE">
      <w:start w:val="1"/>
      <w:numFmt w:val="lowerLetter"/>
      <w:lvlText w:val="%5."/>
      <w:lvlJc w:val="left"/>
      <w:pPr>
        <w:ind w:left="3600" w:hanging="360"/>
      </w:pPr>
    </w:lvl>
    <w:lvl w:ilvl="5" w:tplc="A1F4AB2E">
      <w:start w:val="1"/>
      <w:numFmt w:val="lowerRoman"/>
      <w:lvlText w:val="%6."/>
      <w:lvlJc w:val="right"/>
      <w:pPr>
        <w:ind w:left="4320" w:hanging="180"/>
      </w:pPr>
    </w:lvl>
    <w:lvl w:ilvl="6" w:tplc="91C0DF0E">
      <w:start w:val="1"/>
      <w:numFmt w:val="decimal"/>
      <w:lvlText w:val="%7."/>
      <w:lvlJc w:val="left"/>
      <w:pPr>
        <w:ind w:left="5040" w:hanging="360"/>
      </w:pPr>
    </w:lvl>
    <w:lvl w:ilvl="7" w:tplc="C2968130">
      <w:start w:val="1"/>
      <w:numFmt w:val="lowerLetter"/>
      <w:lvlText w:val="%8."/>
      <w:lvlJc w:val="left"/>
      <w:pPr>
        <w:ind w:left="5760" w:hanging="360"/>
      </w:pPr>
    </w:lvl>
    <w:lvl w:ilvl="8" w:tplc="AF9EB1B8">
      <w:start w:val="1"/>
      <w:numFmt w:val="lowerRoman"/>
      <w:lvlText w:val="%9."/>
      <w:lvlJc w:val="right"/>
      <w:pPr>
        <w:ind w:left="6480" w:hanging="180"/>
      </w:pPr>
    </w:lvl>
  </w:abstractNum>
  <w:abstractNum w:abstractNumId="46" w15:restartNumberingAfterBreak="0">
    <w:nsid w:val="608514CE"/>
    <w:multiLevelType w:val="hybridMultilevel"/>
    <w:tmpl w:val="353ED3DC"/>
    <w:lvl w:ilvl="0" w:tplc="3580F4A0">
      <w:start w:val="2"/>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1095234"/>
    <w:multiLevelType w:val="hybridMultilevel"/>
    <w:tmpl w:val="A768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F83C4F"/>
    <w:multiLevelType w:val="hybridMultilevel"/>
    <w:tmpl w:val="C3922BB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21336F5"/>
    <w:multiLevelType w:val="hybridMultilevel"/>
    <w:tmpl w:val="D2E67692"/>
    <w:lvl w:ilvl="0" w:tplc="166CAB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7B61FA"/>
    <w:multiLevelType w:val="hybridMultilevel"/>
    <w:tmpl w:val="216C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CC218A"/>
    <w:multiLevelType w:val="hybridMultilevel"/>
    <w:tmpl w:val="BABC712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DFEE604C">
      <w:start w:val="1"/>
      <w:numFmt w:val="bullet"/>
      <w:lvlText w:val=""/>
      <w:lvlJc w:val="left"/>
      <w:pPr>
        <w:ind w:left="2880" w:hanging="360"/>
      </w:pPr>
      <w:rPr>
        <w:rFonts w:ascii="Symbol" w:hAnsi="Symbol" w:hint="default"/>
      </w:rPr>
    </w:lvl>
    <w:lvl w:ilvl="4" w:tplc="A684A182">
      <w:start w:val="1"/>
      <w:numFmt w:val="bullet"/>
      <w:lvlText w:val="o"/>
      <w:lvlJc w:val="left"/>
      <w:pPr>
        <w:ind w:left="3600" w:hanging="360"/>
      </w:pPr>
      <w:rPr>
        <w:rFonts w:ascii="Courier New" w:hAnsi="Courier New" w:hint="default"/>
      </w:rPr>
    </w:lvl>
    <w:lvl w:ilvl="5" w:tplc="967472F8">
      <w:start w:val="1"/>
      <w:numFmt w:val="bullet"/>
      <w:lvlText w:val=""/>
      <w:lvlJc w:val="left"/>
      <w:pPr>
        <w:ind w:left="4320" w:hanging="360"/>
      </w:pPr>
      <w:rPr>
        <w:rFonts w:ascii="Wingdings" w:hAnsi="Wingdings" w:hint="default"/>
      </w:rPr>
    </w:lvl>
    <w:lvl w:ilvl="6" w:tplc="ED94F7DE">
      <w:start w:val="1"/>
      <w:numFmt w:val="bullet"/>
      <w:lvlText w:val=""/>
      <w:lvlJc w:val="left"/>
      <w:pPr>
        <w:ind w:left="5040" w:hanging="360"/>
      </w:pPr>
      <w:rPr>
        <w:rFonts w:ascii="Symbol" w:hAnsi="Symbol" w:hint="default"/>
      </w:rPr>
    </w:lvl>
    <w:lvl w:ilvl="7" w:tplc="ADA899BC">
      <w:start w:val="1"/>
      <w:numFmt w:val="bullet"/>
      <w:lvlText w:val="o"/>
      <w:lvlJc w:val="left"/>
      <w:pPr>
        <w:ind w:left="5760" w:hanging="360"/>
      </w:pPr>
      <w:rPr>
        <w:rFonts w:ascii="Courier New" w:hAnsi="Courier New" w:hint="default"/>
      </w:rPr>
    </w:lvl>
    <w:lvl w:ilvl="8" w:tplc="6534FE26">
      <w:start w:val="1"/>
      <w:numFmt w:val="bullet"/>
      <w:lvlText w:val=""/>
      <w:lvlJc w:val="left"/>
      <w:pPr>
        <w:ind w:left="6480" w:hanging="360"/>
      </w:pPr>
      <w:rPr>
        <w:rFonts w:ascii="Wingdings" w:hAnsi="Wingdings" w:hint="default"/>
      </w:rPr>
    </w:lvl>
  </w:abstractNum>
  <w:abstractNum w:abstractNumId="52" w15:restartNumberingAfterBreak="0">
    <w:nsid w:val="66D6779F"/>
    <w:multiLevelType w:val="hybridMultilevel"/>
    <w:tmpl w:val="E5964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187D0C"/>
    <w:multiLevelType w:val="hybridMultilevel"/>
    <w:tmpl w:val="ED6A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8A5B3E"/>
    <w:multiLevelType w:val="hybridMultilevel"/>
    <w:tmpl w:val="B3BA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652893"/>
    <w:multiLevelType w:val="hybridMultilevel"/>
    <w:tmpl w:val="9704E76A"/>
    <w:lvl w:ilvl="0" w:tplc="6CD0E03A">
      <w:start w:val="1"/>
      <w:numFmt w:val="bullet"/>
      <w:lvlText w:val=""/>
      <w:lvlJc w:val="left"/>
      <w:pPr>
        <w:ind w:left="720" w:hanging="360"/>
      </w:pPr>
      <w:rPr>
        <w:rFonts w:ascii="Symbol" w:hAnsi="Symbol" w:hint="default"/>
      </w:rPr>
    </w:lvl>
    <w:lvl w:ilvl="1" w:tplc="9C8ADA0E">
      <w:start w:val="1"/>
      <w:numFmt w:val="bullet"/>
      <w:lvlText w:val="o"/>
      <w:lvlJc w:val="left"/>
      <w:pPr>
        <w:ind w:left="1440" w:hanging="360"/>
      </w:pPr>
      <w:rPr>
        <w:rFonts w:ascii="Courier New" w:hAnsi="Courier New" w:hint="default"/>
      </w:rPr>
    </w:lvl>
    <w:lvl w:ilvl="2" w:tplc="EAC42202">
      <w:start w:val="1"/>
      <w:numFmt w:val="bullet"/>
      <w:lvlText w:val=""/>
      <w:lvlJc w:val="left"/>
      <w:pPr>
        <w:ind w:left="2160" w:hanging="360"/>
      </w:pPr>
      <w:rPr>
        <w:rFonts w:ascii="Wingdings" w:hAnsi="Wingdings" w:hint="default"/>
      </w:rPr>
    </w:lvl>
    <w:lvl w:ilvl="3" w:tplc="04882A20">
      <w:start w:val="1"/>
      <w:numFmt w:val="bullet"/>
      <w:lvlText w:val=""/>
      <w:lvlJc w:val="left"/>
      <w:pPr>
        <w:ind w:left="2880" w:hanging="360"/>
      </w:pPr>
      <w:rPr>
        <w:rFonts w:ascii="Symbol" w:hAnsi="Symbol" w:hint="default"/>
      </w:rPr>
    </w:lvl>
    <w:lvl w:ilvl="4" w:tplc="89FC09F6">
      <w:start w:val="1"/>
      <w:numFmt w:val="bullet"/>
      <w:lvlText w:val="o"/>
      <w:lvlJc w:val="left"/>
      <w:pPr>
        <w:ind w:left="3600" w:hanging="360"/>
      </w:pPr>
      <w:rPr>
        <w:rFonts w:ascii="Courier New" w:hAnsi="Courier New" w:hint="default"/>
      </w:rPr>
    </w:lvl>
    <w:lvl w:ilvl="5" w:tplc="75D27130">
      <w:start w:val="1"/>
      <w:numFmt w:val="bullet"/>
      <w:lvlText w:val=""/>
      <w:lvlJc w:val="left"/>
      <w:pPr>
        <w:ind w:left="4320" w:hanging="360"/>
      </w:pPr>
      <w:rPr>
        <w:rFonts w:ascii="Wingdings" w:hAnsi="Wingdings" w:hint="default"/>
      </w:rPr>
    </w:lvl>
    <w:lvl w:ilvl="6" w:tplc="A9B89446">
      <w:start w:val="1"/>
      <w:numFmt w:val="bullet"/>
      <w:lvlText w:val=""/>
      <w:lvlJc w:val="left"/>
      <w:pPr>
        <w:ind w:left="5040" w:hanging="360"/>
      </w:pPr>
      <w:rPr>
        <w:rFonts w:ascii="Symbol" w:hAnsi="Symbol" w:hint="default"/>
      </w:rPr>
    </w:lvl>
    <w:lvl w:ilvl="7" w:tplc="DE0039C6">
      <w:start w:val="1"/>
      <w:numFmt w:val="bullet"/>
      <w:lvlText w:val="o"/>
      <w:lvlJc w:val="left"/>
      <w:pPr>
        <w:ind w:left="5760" w:hanging="360"/>
      </w:pPr>
      <w:rPr>
        <w:rFonts w:ascii="Courier New" w:hAnsi="Courier New" w:hint="default"/>
      </w:rPr>
    </w:lvl>
    <w:lvl w:ilvl="8" w:tplc="E1E803B6">
      <w:start w:val="1"/>
      <w:numFmt w:val="bullet"/>
      <w:lvlText w:val=""/>
      <w:lvlJc w:val="left"/>
      <w:pPr>
        <w:ind w:left="6480" w:hanging="360"/>
      </w:pPr>
      <w:rPr>
        <w:rFonts w:ascii="Wingdings" w:hAnsi="Wingdings" w:hint="default"/>
      </w:rPr>
    </w:lvl>
  </w:abstractNum>
  <w:abstractNum w:abstractNumId="56" w15:restartNumberingAfterBreak="0">
    <w:nsid w:val="6D6A43ED"/>
    <w:multiLevelType w:val="multilevel"/>
    <w:tmpl w:val="E41A4A04"/>
    <w:lvl w:ilvl="0">
      <w:start w:val="1"/>
      <w:numFmt w:val="bullet"/>
      <w:lvlText w:val=""/>
      <w:lvlJc w:val="left"/>
      <w:pPr>
        <w:ind w:left="720" w:hanging="360"/>
      </w:pPr>
      <w:rPr>
        <w:rFonts w:ascii="Symbol" w:hAnsi="Symbol" w:hint="default"/>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57" w15:restartNumberingAfterBreak="0">
    <w:nsid w:val="6DBB5D1D"/>
    <w:multiLevelType w:val="hybridMultilevel"/>
    <w:tmpl w:val="B3BA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2B183F"/>
    <w:multiLevelType w:val="hybridMultilevel"/>
    <w:tmpl w:val="DFF8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F43AD4"/>
    <w:multiLevelType w:val="hybridMultilevel"/>
    <w:tmpl w:val="A66056B4"/>
    <w:lvl w:ilvl="0" w:tplc="04260017">
      <w:start w:val="3"/>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7E277347"/>
    <w:multiLevelType w:val="hybridMultilevel"/>
    <w:tmpl w:val="FEE6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D87053"/>
    <w:multiLevelType w:val="hybridMultilevel"/>
    <w:tmpl w:val="CE064356"/>
    <w:lvl w:ilvl="0" w:tplc="FFFFFFFF">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032994422">
    <w:abstractNumId w:val="20"/>
  </w:num>
  <w:num w:numId="2" w16cid:durableId="927420844">
    <w:abstractNumId w:val="30"/>
  </w:num>
  <w:num w:numId="3" w16cid:durableId="623268929">
    <w:abstractNumId w:val="25"/>
  </w:num>
  <w:num w:numId="4" w16cid:durableId="2094081771">
    <w:abstractNumId w:val="5"/>
  </w:num>
  <w:num w:numId="5" w16cid:durableId="1104762430">
    <w:abstractNumId w:val="12"/>
  </w:num>
  <w:num w:numId="6" w16cid:durableId="991788366">
    <w:abstractNumId w:val="47"/>
  </w:num>
  <w:num w:numId="7" w16cid:durableId="2115174528">
    <w:abstractNumId w:val="24"/>
  </w:num>
  <w:num w:numId="8" w16cid:durableId="1847094023">
    <w:abstractNumId w:val="37"/>
  </w:num>
  <w:num w:numId="9" w16cid:durableId="1163473865">
    <w:abstractNumId w:val="52"/>
  </w:num>
  <w:num w:numId="10" w16cid:durableId="1004361555">
    <w:abstractNumId w:val="6"/>
  </w:num>
  <w:num w:numId="11" w16cid:durableId="237979692">
    <w:abstractNumId w:val="29"/>
  </w:num>
  <w:num w:numId="12" w16cid:durableId="1806389353">
    <w:abstractNumId w:val="39"/>
  </w:num>
  <w:num w:numId="13" w16cid:durableId="580799353">
    <w:abstractNumId w:val="42"/>
  </w:num>
  <w:num w:numId="14" w16cid:durableId="1809126813">
    <w:abstractNumId w:val="33"/>
  </w:num>
  <w:num w:numId="15" w16cid:durableId="949971404">
    <w:abstractNumId w:val="14"/>
  </w:num>
  <w:num w:numId="16" w16cid:durableId="514660636">
    <w:abstractNumId w:val="21"/>
  </w:num>
  <w:num w:numId="17" w16cid:durableId="43792519">
    <w:abstractNumId w:val="50"/>
  </w:num>
  <w:num w:numId="18" w16cid:durableId="1082989586">
    <w:abstractNumId w:val="41"/>
  </w:num>
  <w:num w:numId="19" w16cid:durableId="786117789">
    <w:abstractNumId w:val="60"/>
  </w:num>
  <w:num w:numId="20" w16cid:durableId="529807139">
    <w:abstractNumId w:val="54"/>
  </w:num>
  <w:num w:numId="21" w16cid:durableId="822159332">
    <w:abstractNumId w:val="9"/>
  </w:num>
  <w:num w:numId="22" w16cid:durableId="720445979">
    <w:abstractNumId w:val="34"/>
  </w:num>
  <w:num w:numId="23" w16cid:durableId="1364019961">
    <w:abstractNumId w:val="43"/>
  </w:num>
  <w:num w:numId="24" w16cid:durableId="485124833">
    <w:abstractNumId w:val="11"/>
  </w:num>
  <w:num w:numId="25" w16cid:durableId="793403895">
    <w:abstractNumId w:val="2"/>
  </w:num>
  <w:num w:numId="26" w16cid:durableId="1267734976">
    <w:abstractNumId w:val="23"/>
  </w:num>
  <w:num w:numId="27" w16cid:durableId="1561936535">
    <w:abstractNumId w:val="49"/>
  </w:num>
  <w:num w:numId="28" w16cid:durableId="669647789">
    <w:abstractNumId w:val="17"/>
  </w:num>
  <w:num w:numId="29" w16cid:durableId="1885095400">
    <w:abstractNumId w:val="31"/>
  </w:num>
  <w:num w:numId="30" w16cid:durableId="1450006192">
    <w:abstractNumId w:val="51"/>
  </w:num>
  <w:num w:numId="31" w16cid:durableId="1495998075">
    <w:abstractNumId w:val="55"/>
  </w:num>
  <w:num w:numId="32" w16cid:durableId="922184336">
    <w:abstractNumId w:val="35"/>
  </w:num>
  <w:num w:numId="33" w16cid:durableId="748380465">
    <w:abstractNumId w:val="32"/>
  </w:num>
  <w:num w:numId="34" w16cid:durableId="787433385">
    <w:abstractNumId w:val="40"/>
  </w:num>
  <w:num w:numId="35" w16cid:durableId="203249247">
    <w:abstractNumId w:val="16"/>
  </w:num>
  <w:num w:numId="36" w16cid:durableId="2095739423">
    <w:abstractNumId w:val="18"/>
  </w:num>
  <w:num w:numId="37" w16cid:durableId="1509173808">
    <w:abstractNumId w:val="7"/>
  </w:num>
  <w:num w:numId="38" w16cid:durableId="1148791533">
    <w:abstractNumId w:val="57"/>
  </w:num>
  <w:num w:numId="39" w16cid:durableId="1291593355">
    <w:abstractNumId w:val="13"/>
  </w:num>
  <w:num w:numId="40" w16cid:durableId="113795399">
    <w:abstractNumId w:val="26"/>
  </w:num>
  <w:num w:numId="41" w16cid:durableId="851727551">
    <w:abstractNumId w:val="19"/>
  </w:num>
  <w:num w:numId="42" w16cid:durableId="1018967023">
    <w:abstractNumId w:val="46"/>
  </w:num>
  <w:num w:numId="43" w16cid:durableId="693966398">
    <w:abstractNumId w:val="4"/>
  </w:num>
  <w:num w:numId="44" w16cid:durableId="868839105">
    <w:abstractNumId w:val="59"/>
  </w:num>
  <w:num w:numId="45" w16cid:durableId="958998431">
    <w:abstractNumId w:val="48"/>
  </w:num>
  <w:num w:numId="46" w16cid:durableId="1006516100">
    <w:abstractNumId w:val="58"/>
  </w:num>
  <w:num w:numId="47" w16cid:durableId="662006154">
    <w:abstractNumId w:val="56"/>
  </w:num>
  <w:num w:numId="48" w16cid:durableId="1993561587">
    <w:abstractNumId w:val="1"/>
  </w:num>
  <w:num w:numId="49" w16cid:durableId="2053260445">
    <w:abstractNumId w:val="3"/>
  </w:num>
  <w:num w:numId="50" w16cid:durableId="1839611219">
    <w:abstractNumId w:val="44"/>
  </w:num>
  <w:num w:numId="51" w16cid:durableId="1634094934">
    <w:abstractNumId w:val="45"/>
  </w:num>
  <w:num w:numId="52" w16cid:durableId="461001031">
    <w:abstractNumId w:val="8"/>
  </w:num>
  <w:num w:numId="53" w16cid:durableId="440344370">
    <w:abstractNumId w:val="36"/>
  </w:num>
  <w:num w:numId="54" w16cid:durableId="1651517136">
    <w:abstractNumId w:val="28"/>
  </w:num>
  <w:num w:numId="55" w16cid:durableId="1760129536">
    <w:abstractNumId w:val="15"/>
  </w:num>
  <w:num w:numId="56" w16cid:durableId="414521993">
    <w:abstractNumId w:val="61"/>
  </w:num>
  <w:num w:numId="57" w16cid:durableId="1026951549">
    <w:abstractNumId w:val="27"/>
  </w:num>
  <w:num w:numId="58" w16cid:durableId="1697080402">
    <w:abstractNumId w:val="0"/>
  </w:num>
  <w:num w:numId="59" w16cid:durableId="1942183049">
    <w:abstractNumId w:val="22"/>
  </w:num>
  <w:num w:numId="60" w16cid:durableId="181167103">
    <w:abstractNumId w:val="53"/>
  </w:num>
  <w:num w:numId="61" w16cid:durableId="1905024096">
    <w:abstractNumId w:val="38"/>
  </w:num>
  <w:num w:numId="62" w16cid:durableId="698816196">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B0C"/>
    <w:rsid w:val="00001463"/>
    <w:rsid w:val="000018AE"/>
    <w:rsid w:val="00001AF3"/>
    <w:rsid w:val="00002054"/>
    <w:rsid w:val="00003973"/>
    <w:rsid w:val="00003B82"/>
    <w:rsid w:val="00004097"/>
    <w:rsid w:val="00004167"/>
    <w:rsid w:val="000056AB"/>
    <w:rsid w:val="00007248"/>
    <w:rsid w:val="00010B4A"/>
    <w:rsid w:val="00011F70"/>
    <w:rsid w:val="0001208C"/>
    <w:rsid w:val="000131DE"/>
    <w:rsid w:val="00013586"/>
    <w:rsid w:val="00013B77"/>
    <w:rsid w:val="00014240"/>
    <w:rsid w:val="00016D65"/>
    <w:rsid w:val="00020BF0"/>
    <w:rsid w:val="00020EC9"/>
    <w:rsid w:val="00024CC2"/>
    <w:rsid w:val="000261BE"/>
    <w:rsid w:val="00027CF3"/>
    <w:rsid w:val="00030AF7"/>
    <w:rsid w:val="00031659"/>
    <w:rsid w:val="000348A8"/>
    <w:rsid w:val="0003514E"/>
    <w:rsid w:val="0003582E"/>
    <w:rsid w:val="00035BD4"/>
    <w:rsid w:val="00035E6C"/>
    <w:rsid w:val="0003632E"/>
    <w:rsid w:val="0003636F"/>
    <w:rsid w:val="0004449E"/>
    <w:rsid w:val="0004484C"/>
    <w:rsid w:val="00045D27"/>
    <w:rsid w:val="000467F2"/>
    <w:rsid w:val="00046C50"/>
    <w:rsid w:val="000478D2"/>
    <w:rsid w:val="00050222"/>
    <w:rsid w:val="00053842"/>
    <w:rsid w:val="00053D3A"/>
    <w:rsid w:val="00053F01"/>
    <w:rsid w:val="00053FF1"/>
    <w:rsid w:val="00055874"/>
    <w:rsid w:val="00057377"/>
    <w:rsid w:val="00057802"/>
    <w:rsid w:val="00057E11"/>
    <w:rsid w:val="00060074"/>
    <w:rsid w:val="00060D56"/>
    <w:rsid w:val="00060F85"/>
    <w:rsid w:val="0006124B"/>
    <w:rsid w:val="00061571"/>
    <w:rsid w:val="000621EB"/>
    <w:rsid w:val="00062CAC"/>
    <w:rsid w:val="00063483"/>
    <w:rsid w:val="00063FA3"/>
    <w:rsid w:val="00065610"/>
    <w:rsid w:val="00066479"/>
    <w:rsid w:val="00066C5A"/>
    <w:rsid w:val="00066F61"/>
    <w:rsid w:val="0006773A"/>
    <w:rsid w:val="00067F62"/>
    <w:rsid w:val="00070134"/>
    <w:rsid w:val="000704F5"/>
    <w:rsid w:val="00070F4D"/>
    <w:rsid w:val="000725E4"/>
    <w:rsid w:val="00074E12"/>
    <w:rsid w:val="00076800"/>
    <w:rsid w:val="000768AB"/>
    <w:rsid w:val="00076B39"/>
    <w:rsid w:val="00076EDE"/>
    <w:rsid w:val="00077B80"/>
    <w:rsid w:val="00080441"/>
    <w:rsid w:val="000809E2"/>
    <w:rsid w:val="00081B47"/>
    <w:rsid w:val="000835A1"/>
    <w:rsid w:val="00083B42"/>
    <w:rsid w:val="000848C3"/>
    <w:rsid w:val="00084C4D"/>
    <w:rsid w:val="000856E1"/>
    <w:rsid w:val="000874A5"/>
    <w:rsid w:val="000875D5"/>
    <w:rsid w:val="00090B89"/>
    <w:rsid w:val="000913EB"/>
    <w:rsid w:val="00092028"/>
    <w:rsid w:val="0009315F"/>
    <w:rsid w:val="0009375D"/>
    <w:rsid w:val="00093FDF"/>
    <w:rsid w:val="00096C94"/>
    <w:rsid w:val="000A097A"/>
    <w:rsid w:val="000A0FE5"/>
    <w:rsid w:val="000A1C5B"/>
    <w:rsid w:val="000A29C0"/>
    <w:rsid w:val="000A3EEA"/>
    <w:rsid w:val="000A47BD"/>
    <w:rsid w:val="000A4E73"/>
    <w:rsid w:val="000A68FE"/>
    <w:rsid w:val="000A6CA6"/>
    <w:rsid w:val="000A6E52"/>
    <w:rsid w:val="000B0E2D"/>
    <w:rsid w:val="000B2FBC"/>
    <w:rsid w:val="000B366C"/>
    <w:rsid w:val="000B368F"/>
    <w:rsid w:val="000B6CD1"/>
    <w:rsid w:val="000B78C8"/>
    <w:rsid w:val="000B78EC"/>
    <w:rsid w:val="000C0065"/>
    <w:rsid w:val="000C075F"/>
    <w:rsid w:val="000C0798"/>
    <w:rsid w:val="000C11F9"/>
    <w:rsid w:val="000C21B2"/>
    <w:rsid w:val="000C2CA5"/>
    <w:rsid w:val="000C340C"/>
    <w:rsid w:val="000C5CFF"/>
    <w:rsid w:val="000C6779"/>
    <w:rsid w:val="000C702F"/>
    <w:rsid w:val="000D03E0"/>
    <w:rsid w:val="000D0BAD"/>
    <w:rsid w:val="000D1D34"/>
    <w:rsid w:val="000D26FB"/>
    <w:rsid w:val="000D2972"/>
    <w:rsid w:val="000D2BB9"/>
    <w:rsid w:val="000D49FF"/>
    <w:rsid w:val="000D62EF"/>
    <w:rsid w:val="000D6D28"/>
    <w:rsid w:val="000D751A"/>
    <w:rsid w:val="000D7553"/>
    <w:rsid w:val="000D79F0"/>
    <w:rsid w:val="000D7C17"/>
    <w:rsid w:val="000E1707"/>
    <w:rsid w:val="000E1DEE"/>
    <w:rsid w:val="000E2B96"/>
    <w:rsid w:val="000E301B"/>
    <w:rsid w:val="000E370F"/>
    <w:rsid w:val="000E3D9F"/>
    <w:rsid w:val="000E493D"/>
    <w:rsid w:val="000E59D5"/>
    <w:rsid w:val="000E5D15"/>
    <w:rsid w:val="000E604F"/>
    <w:rsid w:val="000E6FFD"/>
    <w:rsid w:val="000E7AD4"/>
    <w:rsid w:val="000F02BF"/>
    <w:rsid w:val="000F0B6F"/>
    <w:rsid w:val="000F1075"/>
    <w:rsid w:val="000F2056"/>
    <w:rsid w:val="000F2815"/>
    <w:rsid w:val="000F3B10"/>
    <w:rsid w:val="000F488D"/>
    <w:rsid w:val="000F55FD"/>
    <w:rsid w:val="000F5818"/>
    <w:rsid w:val="000F781D"/>
    <w:rsid w:val="001017F9"/>
    <w:rsid w:val="001021B9"/>
    <w:rsid w:val="00102330"/>
    <w:rsid w:val="0010269C"/>
    <w:rsid w:val="00103218"/>
    <w:rsid w:val="001032D5"/>
    <w:rsid w:val="001032E3"/>
    <w:rsid w:val="00103B83"/>
    <w:rsid w:val="00105B61"/>
    <w:rsid w:val="00106266"/>
    <w:rsid w:val="0010680D"/>
    <w:rsid w:val="00106D35"/>
    <w:rsid w:val="00106DC3"/>
    <w:rsid w:val="001075A2"/>
    <w:rsid w:val="00110F01"/>
    <w:rsid w:val="00111563"/>
    <w:rsid w:val="00111F15"/>
    <w:rsid w:val="0011253C"/>
    <w:rsid w:val="0011260C"/>
    <w:rsid w:val="0011394B"/>
    <w:rsid w:val="00114035"/>
    <w:rsid w:val="0011539C"/>
    <w:rsid w:val="001172B0"/>
    <w:rsid w:val="001177BA"/>
    <w:rsid w:val="00121044"/>
    <w:rsid w:val="00121954"/>
    <w:rsid w:val="0012241A"/>
    <w:rsid w:val="001228E9"/>
    <w:rsid w:val="001238D5"/>
    <w:rsid w:val="00123A6D"/>
    <w:rsid w:val="00123AD1"/>
    <w:rsid w:val="00124028"/>
    <w:rsid w:val="00124852"/>
    <w:rsid w:val="00125274"/>
    <w:rsid w:val="00125775"/>
    <w:rsid w:val="00125F11"/>
    <w:rsid w:val="00125FD7"/>
    <w:rsid w:val="00126735"/>
    <w:rsid w:val="00127390"/>
    <w:rsid w:val="0013030A"/>
    <w:rsid w:val="00131351"/>
    <w:rsid w:val="0013146A"/>
    <w:rsid w:val="00132153"/>
    <w:rsid w:val="00134256"/>
    <w:rsid w:val="00135212"/>
    <w:rsid w:val="001361CC"/>
    <w:rsid w:val="00137A7B"/>
    <w:rsid w:val="00137F83"/>
    <w:rsid w:val="00140520"/>
    <w:rsid w:val="0014511F"/>
    <w:rsid w:val="00145AE4"/>
    <w:rsid w:val="001476CA"/>
    <w:rsid w:val="00150BBF"/>
    <w:rsid w:val="001522E7"/>
    <w:rsid w:val="00153D1D"/>
    <w:rsid w:val="0015552F"/>
    <w:rsid w:val="0015600C"/>
    <w:rsid w:val="001563D5"/>
    <w:rsid w:val="0015747A"/>
    <w:rsid w:val="00163AFA"/>
    <w:rsid w:val="001652AE"/>
    <w:rsid w:val="001662CE"/>
    <w:rsid w:val="00171550"/>
    <w:rsid w:val="0017199A"/>
    <w:rsid w:val="00172A7C"/>
    <w:rsid w:val="00173961"/>
    <w:rsid w:val="00173AF2"/>
    <w:rsid w:val="00174091"/>
    <w:rsid w:val="00175936"/>
    <w:rsid w:val="001764DD"/>
    <w:rsid w:val="00176A26"/>
    <w:rsid w:val="001770E1"/>
    <w:rsid w:val="001777CF"/>
    <w:rsid w:val="00177EE2"/>
    <w:rsid w:val="0018121C"/>
    <w:rsid w:val="001825A4"/>
    <w:rsid w:val="00182676"/>
    <w:rsid w:val="001840D0"/>
    <w:rsid w:val="001848E0"/>
    <w:rsid w:val="001856B5"/>
    <w:rsid w:val="00185B4B"/>
    <w:rsid w:val="00186050"/>
    <w:rsid w:val="0018659E"/>
    <w:rsid w:val="001874BE"/>
    <w:rsid w:val="0018765C"/>
    <w:rsid w:val="00191026"/>
    <w:rsid w:val="00191315"/>
    <w:rsid w:val="00192158"/>
    <w:rsid w:val="001923EC"/>
    <w:rsid w:val="00192F92"/>
    <w:rsid w:val="001946EF"/>
    <w:rsid w:val="001957F8"/>
    <w:rsid w:val="00195B5F"/>
    <w:rsid w:val="001960B3"/>
    <w:rsid w:val="00196DDF"/>
    <w:rsid w:val="001973F1"/>
    <w:rsid w:val="00197CB0"/>
    <w:rsid w:val="001A00A2"/>
    <w:rsid w:val="001A00AC"/>
    <w:rsid w:val="001A1343"/>
    <w:rsid w:val="001A1A2C"/>
    <w:rsid w:val="001A20E1"/>
    <w:rsid w:val="001A6D4F"/>
    <w:rsid w:val="001B0929"/>
    <w:rsid w:val="001B0A1E"/>
    <w:rsid w:val="001B3B24"/>
    <w:rsid w:val="001B3EC6"/>
    <w:rsid w:val="001B49CB"/>
    <w:rsid w:val="001B6FA7"/>
    <w:rsid w:val="001C0B5B"/>
    <w:rsid w:val="001C33AB"/>
    <w:rsid w:val="001C34BF"/>
    <w:rsid w:val="001C383D"/>
    <w:rsid w:val="001C507D"/>
    <w:rsid w:val="001C542E"/>
    <w:rsid w:val="001C590A"/>
    <w:rsid w:val="001C727F"/>
    <w:rsid w:val="001D04A4"/>
    <w:rsid w:val="001D134F"/>
    <w:rsid w:val="001D14AB"/>
    <w:rsid w:val="001D21A5"/>
    <w:rsid w:val="001D2579"/>
    <w:rsid w:val="001D2F37"/>
    <w:rsid w:val="001D348A"/>
    <w:rsid w:val="001D4065"/>
    <w:rsid w:val="001D419B"/>
    <w:rsid w:val="001D4D09"/>
    <w:rsid w:val="001D7481"/>
    <w:rsid w:val="001E15D4"/>
    <w:rsid w:val="001E3396"/>
    <w:rsid w:val="001E50C6"/>
    <w:rsid w:val="001E514E"/>
    <w:rsid w:val="001E5688"/>
    <w:rsid w:val="001E7BBC"/>
    <w:rsid w:val="001E7CFD"/>
    <w:rsid w:val="001F1927"/>
    <w:rsid w:val="001F1AD2"/>
    <w:rsid w:val="001F1D04"/>
    <w:rsid w:val="001F1D76"/>
    <w:rsid w:val="001F58AD"/>
    <w:rsid w:val="001F67D0"/>
    <w:rsid w:val="001F6F7F"/>
    <w:rsid w:val="001F795E"/>
    <w:rsid w:val="00200B0D"/>
    <w:rsid w:val="002010AE"/>
    <w:rsid w:val="00202362"/>
    <w:rsid w:val="00206458"/>
    <w:rsid w:val="002066F1"/>
    <w:rsid w:val="00207CF4"/>
    <w:rsid w:val="0021079E"/>
    <w:rsid w:val="00210B14"/>
    <w:rsid w:val="00210E4B"/>
    <w:rsid w:val="00212AC0"/>
    <w:rsid w:val="00212FDF"/>
    <w:rsid w:val="0021364C"/>
    <w:rsid w:val="002155A9"/>
    <w:rsid w:val="0021573A"/>
    <w:rsid w:val="0021607E"/>
    <w:rsid w:val="00216F07"/>
    <w:rsid w:val="002171BD"/>
    <w:rsid w:val="0021732D"/>
    <w:rsid w:val="00220105"/>
    <w:rsid w:val="00220389"/>
    <w:rsid w:val="00220CE5"/>
    <w:rsid w:val="00221397"/>
    <w:rsid w:val="002215CB"/>
    <w:rsid w:val="0022181C"/>
    <w:rsid w:val="00221B04"/>
    <w:rsid w:val="00221F02"/>
    <w:rsid w:val="00224290"/>
    <w:rsid w:val="002242DD"/>
    <w:rsid w:val="002246BC"/>
    <w:rsid w:val="00224952"/>
    <w:rsid w:val="002259F3"/>
    <w:rsid w:val="00225E34"/>
    <w:rsid w:val="00225FAE"/>
    <w:rsid w:val="00226011"/>
    <w:rsid w:val="00226721"/>
    <w:rsid w:val="0022678D"/>
    <w:rsid w:val="00226B59"/>
    <w:rsid w:val="002273B4"/>
    <w:rsid w:val="002277E0"/>
    <w:rsid w:val="00227AA3"/>
    <w:rsid w:val="002301DA"/>
    <w:rsid w:val="0023084D"/>
    <w:rsid w:val="0023144C"/>
    <w:rsid w:val="00232189"/>
    <w:rsid w:val="0023314E"/>
    <w:rsid w:val="002346ED"/>
    <w:rsid w:val="002354E4"/>
    <w:rsid w:val="00235B65"/>
    <w:rsid w:val="00235EC2"/>
    <w:rsid w:val="00236AB1"/>
    <w:rsid w:val="00237D12"/>
    <w:rsid w:val="00240496"/>
    <w:rsid w:val="00240891"/>
    <w:rsid w:val="002419FA"/>
    <w:rsid w:val="00241F02"/>
    <w:rsid w:val="0024207C"/>
    <w:rsid w:val="00242870"/>
    <w:rsid w:val="00243EC1"/>
    <w:rsid w:val="00244282"/>
    <w:rsid w:val="002452BD"/>
    <w:rsid w:val="0024622B"/>
    <w:rsid w:val="0024667D"/>
    <w:rsid w:val="002472FC"/>
    <w:rsid w:val="00250809"/>
    <w:rsid w:val="00251605"/>
    <w:rsid w:val="002518EE"/>
    <w:rsid w:val="00251B39"/>
    <w:rsid w:val="002520E0"/>
    <w:rsid w:val="00252146"/>
    <w:rsid w:val="002521F0"/>
    <w:rsid w:val="00252C98"/>
    <w:rsid w:val="00252D78"/>
    <w:rsid w:val="00253780"/>
    <w:rsid w:val="002542BA"/>
    <w:rsid w:val="00255A22"/>
    <w:rsid w:val="00255A3E"/>
    <w:rsid w:val="00256ED0"/>
    <w:rsid w:val="0025725F"/>
    <w:rsid w:val="00263DB7"/>
    <w:rsid w:val="00263EB4"/>
    <w:rsid w:val="00264DDD"/>
    <w:rsid w:val="00264E89"/>
    <w:rsid w:val="00265DE4"/>
    <w:rsid w:val="00265F51"/>
    <w:rsid w:val="00267145"/>
    <w:rsid w:val="002706F3"/>
    <w:rsid w:val="00272C93"/>
    <w:rsid w:val="00273278"/>
    <w:rsid w:val="00273A5E"/>
    <w:rsid w:val="002743B7"/>
    <w:rsid w:val="00274442"/>
    <w:rsid w:val="002745AC"/>
    <w:rsid w:val="00274B71"/>
    <w:rsid w:val="00275AF8"/>
    <w:rsid w:val="00277D68"/>
    <w:rsid w:val="00280525"/>
    <w:rsid w:val="00281230"/>
    <w:rsid w:val="002813F1"/>
    <w:rsid w:val="00282BEC"/>
    <w:rsid w:val="00282E8D"/>
    <w:rsid w:val="002847BF"/>
    <w:rsid w:val="0028484D"/>
    <w:rsid w:val="002855A7"/>
    <w:rsid w:val="0028761F"/>
    <w:rsid w:val="00290B69"/>
    <w:rsid w:val="0029152F"/>
    <w:rsid w:val="00292B2F"/>
    <w:rsid w:val="002931AF"/>
    <w:rsid w:val="00293AD6"/>
    <w:rsid w:val="00294160"/>
    <w:rsid w:val="002960A1"/>
    <w:rsid w:val="002A0930"/>
    <w:rsid w:val="002A0F85"/>
    <w:rsid w:val="002A0FCA"/>
    <w:rsid w:val="002A1128"/>
    <w:rsid w:val="002A1678"/>
    <w:rsid w:val="002A223A"/>
    <w:rsid w:val="002A4D51"/>
    <w:rsid w:val="002A6CEF"/>
    <w:rsid w:val="002A7085"/>
    <w:rsid w:val="002B315C"/>
    <w:rsid w:val="002B75EC"/>
    <w:rsid w:val="002B7FF6"/>
    <w:rsid w:val="002C02A3"/>
    <w:rsid w:val="002C0AE4"/>
    <w:rsid w:val="002C112E"/>
    <w:rsid w:val="002C1427"/>
    <w:rsid w:val="002C2694"/>
    <w:rsid w:val="002C2B54"/>
    <w:rsid w:val="002C3261"/>
    <w:rsid w:val="002C3601"/>
    <w:rsid w:val="002C451E"/>
    <w:rsid w:val="002C7816"/>
    <w:rsid w:val="002D04DD"/>
    <w:rsid w:val="002D0BB4"/>
    <w:rsid w:val="002D1474"/>
    <w:rsid w:val="002D26C3"/>
    <w:rsid w:val="002D3890"/>
    <w:rsid w:val="002D3DD9"/>
    <w:rsid w:val="002D3F79"/>
    <w:rsid w:val="002D3FEE"/>
    <w:rsid w:val="002D4066"/>
    <w:rsid w:val="002D5894"/>
    <w:rsid w:val="002D59F3"/>
    <w:rsid w:val="002D5B75"/>
    <w:rsid w:val="002D617B"/>
    <w:rsid w:val="002D6CA3"/>
    <w:rsid w:val="002D74D3"/>
    <w:rsid w:val="002D7F8D"/>
    <w:rsid w:val="002E08E5"/>
    <w:rsid w:val="002E15A1"/>
    <w:rsid w:val="002E1F5E"/>
    <w:rsid w:val="002E4906"/>
    <w:rsid w:val="002E4CC4"/>
    <w:rsid w:val="002E4D34"/>
    <w:rsid w:val="002E51F8"/>
    <w:rsid w:val="002E5630"/>
    <w:rsid w:val="002E6087"/>
    <w:rsid w:val="002E7402"/>
    <w:rsid w:val="002E7AAE"/>
    <w:rsid w:val="002E7F1B"/>
    <w:rsid w:val="002F29FF"/>
    <w:rsid w:val="002F2B7F"/>
    <w:rsid w:val="002F32AA"/>
    <w:rsid w:val="002F49F4"/>
    <w:rsid w:val="002F4BAA"/>
    <w:rsid w:val="002F54CC"/>
    <w:rsid w:val="002F58F2"/>
    <w:rsid w:val="002F5D28"/>
    <w:rsid w:val="00301C9C"/>
    <w:rsid w:val="00303F4D"/>
    <w:rsid w:val="003067B9"/>
    <w:rsid w:val="00307BFA"/>
    <w:rsid w:val="00310AAA"/>
    <w:rsid w:val="00311816"/>
    <w:rsid w:val="00311DCE"/>
    <w:rsid w:val="00311F7B"/>
    <w:rsid w:val="003125F4"/>
    <w:rsid w:val="0031374A"/>
    <w:rsid w:val="00313A24"/>
    <w:rsid w:val="00313CB1"/>
    <w:rsid w:val="0031433A"/>
    <w:rsid w:val="00314B6C"/>
    <w:rsid w:val="003154F1"/>
    <w:rsid w:val="00315851"/>
    <w:rsid w:val="0031591D"/>
    <w:rsid w:val="00315B06"/>
    <w:rsid w:val="00317C2C"/>
    <w:rsid w:val="00320475"/>
    <w:rsid w:val="0032155A"/>
    <w:rsid w:val="0032165C"/>
    <w:rsid w:val="00324203"/>
    <w:rsid w:val="00324912"/>
    <w:rsid w:val="003254D7"/>
    <w:rsid w:val="00325EC9"/>
    <w:rsid w:val="0032643B"/>
    <w:rsid w:val="00330706"/>
    <w:rsid w:val="00330E5B"/>
    <w:rsid w:val="0033159E"/>
    <w:rsid w:val="00332ACA"/>
    <w:rsid w:val="00332DAA"/>
    <w:rsid w:val="00333008"/>
    <w:rsid w:val="003338FE"/>
    <w:rsid w:val="00333B58"/>
    <w:rsid w:val="00334C82"/>
    <w:rsid w:val="0033516B"/>
    <w:rsid w:val="00335244"/>
    <w:rsid w:val="00336D18"/>
    <w:rsid w:val="00340138"/>
    <w:rsid w:val="00340D28"/>
    <w:rsid w:val="00341EF2"/>
    <w:rsid w:val="003428F1"/>
    <w:rsid w:val="003445A2"/>
    <w:rsid w:val="00344BDA"/>
    <w:rsid w:val="00345464"/>
    <w:rsid w:val="00346310"/>
    <w:rsid w:val="003463EB"/>
    <w:rsid w:val="0034651D"/>
    <w:rsid w:val="00347945"/>
    <w:rsid w:val="0034797C"/>
    <w:rsid w:val="003512D3"/>
    <w:rsid w:val="0035193E"/>
    <w:rsid w:val="00352B89"/>
    <w:rsid w:val="00352E90"/>
    <w:rsid w:val="00353064"/>
    <w:rsid w:val="003539EA"/>
    <w:rsid w:val="00353D60"/>
    <w:rsid w:val="003549EE"/>
    <w:rsid w:val="00354FB9"/>
    <w:rsid w:val="00356269"/>
    <w:rsid w:val="00356954"/>
    <w:rsid w:val="00360571"/>
    <w:rsid w:val="00361F22"/>
    <w:rsid w:val="0036282E"/>
    <w:rsid w:val="003634FB"/>
    <w:rsid w:val="00363D3C"/>
    <w:rsid w:val="003660C2"/>
    <w:rsid w:val="00366349"/>
    <w:rsid w:val="00366BF4"/>
    <w:rsid w:val="003673BF"/>
    <w:rsid w:val="00367419"/>
    <w:rsid w:val="0037138B"/>
    <w:rsid w:val="00371A50"/>
    <w:rsid w:val="00373115"/>
    <w:rsid w:val="0037315C"/>
    <w:rsid w:val="003731EB"/>
    <w:rsid w:val="00373285"/>
    <w:rsid w:val="00373790"/>
    <w:rsid w:val="003737DE"/>
    <w:rsid w:val="00373EDD"/>
    <w:rsid w:val="00375C56"/>
    <w:rsid w:val="003766E6"/>
    <w:rsid w:val="00376B11"/>
    <w:rsid w:val="00376E5A"/>
    <w:rsid w:val="0037711F"/>
    <w:rsid w:val="0037733F"/>
    <w:rsid w:val="0037774C"/>
    <w:rsid w:val="00381917"/>
    <w:rsid w:val="00382259"/>
    <w:rsid w:val="0038311E"/>
    <w:rsid w:val="00383922"/>
    <w:rsid w:val="00384100"/>
    <w:rsid w:val="003845E4"/>
    <w:rsid w:val="003849F7"/>
    <w:rsid w:val="00386B04"/>
    <w:rsid w:val="00387456"/>
    <w:rsid w:val="0038792C"/>
    <w:rsid w:val="00387BFE"/>
    <w:rsid w:val="00387DD2"/>
    <w:rsid w:val="00390391"/>
    <w:rsid w:val="00390AEF"/>
    <w:rsid w:val="00391115"/>
    <w:rsid w:val="0039162C"/>
    <w:rsid w:val="00391CCD"/>
    <w:rsid w:val="0039409B"/>
    <w:rsid w:val="00394125"/>
    <w:rsid w:val="00395710"/>
    <w:rsid w:val="00395812"/>
    <w:rsid w:val="003A0A09"/>
    <w:rsid w:val="003A5B09"/>
    <w:rsid w:val="003A6612"/>
    <w:rsid w:val="003A7861"/>
    <w:rsid w:val="003A7AA1"/>
    <w:rsid w:val="003B09ED"/>
    <w:rsid w:val="003B11AE"/>
    <w:rsid w:val="003B2D82"/>
    <w:rsid w:val="003B2E6B"/>
    <w:rsid w:val="003B3AF1"/>
    <w:rsid w:val="003B3D6F"/>
    <w:rsid w:val="003B4B45"/>
    <w:rsid w:val="003B5D09"/>
    <w:rsid w:val="003B7294"/>
    <w:rsid w:val="003C02B5"/>
    <w:rsid w:val="003C1995"/>
    <w:rsid w:val="003C247C"/>
    <w:rsid w:val="003C2C5A"/>
    <w:rsid w:val="003C355D"/>
    <w:rsid w:val="003C418E"/>
    <w:rsid w:val="003C524F"/>
    <w:rsid w:val="003C6607"/>
    <w:rsid w:val="003C754F"/>
    <w:rsid w:val="003C7BB6"/>
    <w:rsid w:val="003D1B25"/>
    <w:rsid w:val="003D1FFE"/>
    <w:rsid w:val="003D25B2"/>
    <w:rsid w:val="003D2918"/>
    <w:rsid w:val="003D3284"/>
    <w:rsid w:val="003D3EA4"/>
    <w:rsid w:val="003D484E"/>
    <w:rsid w:val="003D5173"/>
    <w:rsid w:val="003E03BD"/>
    <w:rsid w:val="003E22B8"/>
    <w:rsid w:val="003E3681"/>
    <w:rsid w:val="003E44D1"/>
    <w:rsid w:val="003F02CB"/>
    <w:rsid w:val="003F1CA8"/>
    <w:rsid w:val="003F250E"/>
    <w:rsid w:val="003F71E7"/>
    <w:rsid w:val="00401D5C"/>
    <w:rsid w:val="004025FE"/>
    <w:rsid w:val="00403124"/>
    <w:rsid w:val="0040438D"/>
    <w:rsid w:val="00406D28"/>
    <w:rsid w:val="00407AF2"/>
    <w:rsid w:val="00407E12"/>
    <w:rsid w:val="00410D8E"/>
    <w:rsid w:val="00411421"/>
    <w:rsid w:val="00415DA2"/>
    <w:rsid w:val="00416713"/>
    <w:rsid w:val="0041712A"/>
    <w:rsid w:val="004177F4"/>
    <w:rsid w:val="00417A57"/>
    <w:rsid w:val="00420F0B"/>
    <w:rsid w:val="004226C1"/>
    <w:rsid w:val="00422F0F"/>
    <w:rsid w:val="004233AA"/>
    <w:rsid w:val="0042560F"/>
    <w:rsid w:val="004256AA"/>
    <w:rsid w:val="00425A31"/>
    <w:rsid w:val="0042616B"/>
    <w:rsid w:val="004267B0"/>
    <w:rsid w:val="0042728D"/>
    <w:rsid w:val="00433461"/>
    <w:rsid w:val="0043417E"/>
    <w:rsid w:val="004341D7"/>
    <w:rsid w:val="004346E1"/>
    <w:rsid w:val="00434C67"/>
    <w:rsid w:val="00435370"/>
    <w:rsid w:val="0043551C"/>
    <w:rsid w:val="00435A6B"/>
    <w:rsid w:val="00436F2E"/>
    <w:rsid w:val="00437FAA"/>
    <w:rsid w:val="00440743"/>
    <w:rsid w:val="004427B2"/>
    <w:rsid w:val="00442AE4"/>
    <w:rsid w:val="0044348B"/>
    <w:rsid w:val="00443582"/>
    <w:rsid w:val="004436DC"/>
    <w:rsid w:val="004438A4"/>
    <w:rsid w:val="00444AC4"/>
    <w:rsid w:val="0044509A"/>
    <w:rsid w:val="00445938"/>
    <w:rsid w:val="00445A65"/>
    <w:rsid w:val="00445D21"/>
    <w:rsid w:val="004469C9"/>
    <w:rsid w:val="00447980"/>
    <w:rsid w:val="00451976"/>
    <w:rsid w:val="00451CC8"/>
    <w:rsid w:val="00453E09"/>
    <w:rsid w:val="00456BC8"/>
    <w:rsid w:val="00461BA1"/>
    <w:rsid w:val="00463ACF"/>
    <w:rsid w:val="004640D7"/>
    <w:rsid w:val="00464D32"/>
    <w:rsid w:val="0046574C"/>
    <w:rsid w:val="00465AF7"/>
    <w:rsid w:val="0046655F"/>
    <w:rsid w:val="00466928"/>
    <w:rsid w:val="00466B35"/>
    <w:rsid w:val="004706D6"/>
    <w:rsid w:val="00470854"/>
    <w:rsid w:val="00471587"/>
    <w:rsid w:val="004721D3"/>
    <w:rsid w:val="00472422"/>
    <w:rsid w:val="004728C8"/>
    <w:rsid w:val="00472C1B"/>
    <w:rsid w:val="00473716"/>
    <w:rsid w:val="004754E9"/>
    <w:rsid w:val="00475F97"/>
    <w:rsid w:val="00476E22"/>
    <w:rsid w:val="00477B6E"/>
    <w:rsid w:val="00477C49"/>
    <w:rsid w:val="00480B66"/>
    <w:rsid w:val="004815EE"/>
    <w:rsid w:val="00482209"/>
    <w:rsid w:val="00482626"/>
    <w:rsid w:val="00482E04"/>
    <w:rsid w:val="00483FE5"/>
    <w:rsid w:val="0048480E"/>
    <w:rsid w:val="00485554"/>
    <w:rsid w:val="00485D2E"/>
    <w:rsid w:val="0048711E"/>
    <w:rsid w:val="004876DB"/>
    <w:rsid w:val="00487931"/>
    <w:rsid w:val="004879E9"/>
    <w:rsid w:val="00490A71"/>
    <w:rsid w:val="0049170C"/>
    <w:rsid w:val="004937DF"/>
    <w:rsid w:val="00493814"/>
    <w:rsid w:val="00493EAB"/>
    <w:rsid w:val="00495F1B"/>
    <w:rsid w:val="00496CFE"/>
    <w:rsid w:val="00497D23"/>
    <w:rsid w:val="00497F94"/>
    <w:rsid w:val="00497FEC"/>
    <w:rsid w:val="004A0667"/>
    <w:rsid w:val="004A06EB"/>
    <w:rsid w:val="004A06FB"/>
    <w:rsid w:val="004A0F1F"/>
    <w:rsid w:val="004A1FC2"/>
    <w:rsid w:val="004A2636"/>
    <w:rsid w:val="004A4FE4"/>
    <w:rsid w:val="004A60F7"/>
    <w:rsid w:val="004A63A3"/>
    <w:rsid w:val="004A6BA5"/>
    <w:rsid w:val="004A7B20"/>
    <w:rsid w:val="004B113A"/>
    <w:rsid w:val="004B2433"/>
    <w:rsid w:val="004B2DB9"/>
    <w:rsid w:val="004B31FA"/>
    <w:rsid w:val="004B3516"/>
    <w:rsid w:val="004B3CD2"/>
    <w:rsid w:val="004B42DF"/>
    <w:rsid w:val="004B457D"/>
    <w:rsid w:val="004B4846"/>
    <w:rsid w:val="004B4F11"/>
    <w:rsid w:val="004B508F"/>
    <w:rsid w:val="004B5426"/>
    <w:rsid w:val="004B5D76"/>
    <w:rsid w:val="004B673B"/>
    <w:rsid w:val="004B6AC3"/>
    <w:rsid w:val="004B6CE8"/>
    <w:rsid w:val="004B7F60"/>
    <w:rsid w:val="004C0D98"/>
    <w:rsid w:val="004C264B"/>
    <w:rsid w:val="004C484A"/>
    <w:rsid w:val="004C58B6"/>
    <w:rsid w:val="004C675C"/>
    <w:rsid w:val="004C6AB3"/>
    <w:rsid w:val="004C6E84"/>
    <w:rsid w:val="004C7C40"/>
    <w:rsid w:val="004D2458"/>
    <w:rsid w:val="004D2DB0"/>
    <w:rsid w:val="004D362A"/>
    <w:rsid w:val="004D42F2"/>
    <w:rsid w:val="004D5FAA"/>
    <w:rsid w:val="004D66A7"/>
    <w:rsid w:val="004D6906"/>
    <w:rsid w:val="004D7C9F"/>
    <w:rsid w:val="004E071B"/>
    <w:rsid w:val="004E3280"/>
    <w:rsid w:val="004E6D1A"/>
    <w:rsid w:val="004E6E1A"/>
    <w:rsid w:val="004E7AE3"/>
    <w:rsid w:val="004F12D7"/>
    <w:rsid w:val="004F212F"/>
    <w:rsid w:val="004F24CB"/>
    <w:rsid w:val="004F2721"/>
    <w:rsid w:val="004F4A3E"/>
    <w:rsid w:val="004F55A0"/>
    <w:rsid w:val="004F5A39"/>
    <w:rsid w:val="004F6EFD"/>
    <w:rsid w:val="004F7034"/>
    <w:rsid w:val="004F73F2"/>
    <w:rsid w:val="004F77C0"/>
    <w:rsid w:val="00500E6B"/>
    <w:rsid w:val="00501B5E"/>
    <w:rsid w:val="00502081"/>
    <w:rsid w:val="00502C1A"/>
    <w:rsid w:val="00505A22"/>
    <w:rsid w:val="00506BC2"/>
    <w:rsid w:val="00507645"/>
    <w:rsid w:val="00510134"/>
    <w:rsid w:val="005103F2"/>
    <w:rsid w:val="005106F1"/>
    <w:rsid w:val="00514379"/>
    <w:rsid w:val="00514F85"/>
    <w:rsid w:val="00515CBF"/>
    <w:rsid w:val="005170B9"/>
    <w:rsid w:val="00517D07"/>
    <w:rsid w:val="00520445"/>
    <w:rsid w:val="00520B30"/>
    <w:rsid w:val="00520C1A"/>
    <w:rsid w:val="00522CFE"/>
    <w:rsid w:val="0052461C"/>
    <w:rsid w:val="00524FF1"/>
    <w:rsid w:val="005255B1"/>
    <w:rsid w:val="00526ACA"/>
    <w:rsid w:val="005271F1"/>
    <w:rsid w:val="0053054C"/>
    <w:rsid w:val="00530564"/>
    <w:rsid w:val="005307CA"/>
    <w:rsid w:val="00530D16"/>
    <w:rsid w:val="0053123D"/>
    <w:rsid w:val="00531DC5"/>
    <w:rsid w:val="00532D3C"/>
    <w:rsid w:val="00532FCF"/>
    <w:rsid w:val="00533D4B"/>
    <w:rsid w:val="00534B47"/>
    <w:rsid w:val="00535559"/>
    <w:rsid w:val="00535ED7"/>
    <w:rsid w:val="00537F72"/>
    <w:rsid w:val="00542C66"/>
    <w:rsid w:val="00544FA5"/>
    <w:rsid w:val="005453EE"/>
    <w:rsid w:val="005459B8"/>
    <w:rsid w:val="00547651"/>
    <w:rsid w:val="00550418"/>
    <w:rsid w:val="00550536"/>
    <w:rsid w:val="005515B8"/>
    <w:rsid w:val="005524D5"/>
    <w:rsid w:val="0055310D"/>
    <w:rsid w:val="00554001"/>
    <w:rsid w:val="00554C8C"/>
    <w:rsid w:val="0055502D"/>
    <w:rsid w:val="00555E02"/>
    <w:rsid w:val="00556DC9"/>
    <w:rsid w:val="00556F0F"/>
    <w:rsid w:val="00557BEB"/>
    <w:rsid w:val="00560231"/>
    <w:rsid w:val="00560AFC"/>
    <w:rsid w:val="00562437"/>
    <w:rsid w:val="00562B8A"/>
    <w:rsid w:val="0056381E"/>
    <w:rsid w:val="00563E02"/>
    <w:rsid w:val="0056451B"/>
    <w:rsid w:val="00564DAD"/>
    <w:rsid w:val="005658A3"/>
    <w:rsid w:val="0056594C"/>
    <w:rsid w:val="00565F7C"/>
    <w:rsid w:val="00566689"/>
    <w:rsid w:val="0057163E"/>
    <w:rsid w:val="005727BB"/>
    <w:rsid w:val="00572B90"/>
    <w:rsid w:val="00573583"/>
    <w:rsid w:val="00575231"/>
    <w:rsid w:val="00575DE1"/>
    <w:rsid w:val="00575FBE"/>
    <w:rsid w:val="0057659B"/>
    <w:rsid w:val="005775FF"/>
    <w:rsid w:val="0058247C"/>
    <w:rsid w:val="00582E95"/>
    <w:rsid w:val="00584235"/>
    <w:rsid w:val="005845DC"/>
    <w:rsid w:val="005858BC"/>
    <w:rsid w:val="00586859"/>
    <w:rsid w:val="00586D3A"/>
    <w:rsid w:val="0059096F"/>
    <w:rsid w:val="00590B27"/>
    <w:rsid w:val="005920E7"/>
    <w:rsid w:val="0059214C"/>
    <w:rsid w:val="005922DD"/>
    <w:rsid w:val="00592D86"/>
    <w:rsid w:val="00593E52"/>
    <w:rsid w:val="00595958"/>
    <w:rsid w:val="005961AC"/>
    <w:rsid w:val="005968B3"/>
    <w:rsid w:val="00596B22"/>
    <w:rsid w:val="00597BC8"/>
    <w:rsid w:val="005A120B"/>
    <w:rsid w:val="005A22E3"/>
    <w:rsid w:val="005A28AF"/>
    <w:rsid w:val="005A343E"/>
    <w:rsid w:val="005A357A"/>
    <w:rsid w:val="005A4684"/>
    <w:rsid w:val="005A5D5A"/>
    <w:rsid w:val="005A6979"/>
    <w:rsid w:val="005A7F67"/>
    <w:rsid w:val="005B0241"/>
    <w:rsid w:val="005B0A1F"/>
    <w:rsid w:val="005B1E9C"/>
    <w:rsid w:val="005B4EEC"/>
    <w:rsid w:val="005B586E"/>
    <w:rsid w:val="005B69A3"/>
    <w:rsid w:val="005C1C30"/>
    <w:rsid w:val="005C2146"/>
    <w:rsid w:val="005C2288"/>
    <w:rsid w:val="005C4899"/>
    <w:rsid w:val="005C5305"/>
    <w:rsid w:val="005C790E"/>
    <w:rsid w:val="005C7AE2"/>
    <w:rsid w:val="005D007F"/>
    <w:rsid w:val="005D0D19"/>
    <w:rsid w:val="005D0DA6"/>
    <w:rsid w:val="005D2212"/>
    <w:rsid w:val="005D3F46"/>
    <w:rsid w:val="005D499F"/>
    <w:rsid w:val="005D4E44"/>
    <w:rsid w:val="005D4F83"/>
    <w:rsid w:val="005D62C1"/>
    <w:rsid w:val="005D636A"/>
    <w:rsid w:val="005D67DB"/>
    <w:rsid w:val="005D7EB7"/>
    <w:rsid w:val="005E125F"/>
    <w:rsid w:val="005E22CC"/>
    <w:rsid w:val="005E266B"/>
    <w:rsid w:val="005E2F4F"/>
    <w:rsid w:val="005E5B6C"/>
    <w:rsid w:val="005E5E5A"/>
    <w:rsid w:val="005E6D9A"/>
    <w:rsid w:val="005F1C7D"/>
    <w:rsid w:val="005F38CF"/>
    <w:rsid w:val="005F53DD"/>
    <w:rsid w:val="005F7433"/>
    <w:rsid w:val="005F7C14"/>
    <w:rsid w:val="00600A2A"/>
    <w:rsid w:val="00600A82"/>
    <w:rsid w:val="006020DE"/>
    <w:rsid w:val="006027C0"/>
    <w:rsid w:val="00603646"/>
    <w:rsid w:val="00604B47"/>
    <w:rsid w:val="0060626A"/>
    <w:rsid w:val="00606BB8"/>
    <w:rsid w:val="00612537"/>
    <w:rsid w:val="006127C0"/>
    <w:rsid w:val="00613EC7"/>
    <w:rsid w:val="00614882"/>
    <w:rsid w:val="006168E7"/>
    <w:rsid w:val="00616E5C"/>
    <w:rsid w:val="00617F28"/>
    <w:rsid w:val="006200C7"/>
    <w:rsid w:val="006203D1"/>
    <w:rsid w:val="00621EC2"/>
    <w:rsid w:val="00622820"/>
    <w:rsid w:val="00622CDD"/>
    <w:rsid w:val="00624362"/>
    <w:rsid w:val="006250A7"/>
    <w:rsid w:val="00625E51"/>
    <w:rsid w:val="006269FB"/>
    <w:rsid w:val="00626ADB"/>
    <w:rsid w:val="00626BFA"/>
    <w:rsid w:val="00630267"/>
    <w:rsid w:val="006306CE"/>
    <w:rsid w:val="0063144A"/>
    <w:rsid w:val="006328C9"/>
    <w:rsid w:val="00633DD8"/>
    <w:rsid w:val="00637036"/>
    <w:rsid w:val="0063731A"/>
    <w:rsid w:val="00637AE4"/>
    <w:rsid w:val="006402E5"/>
    <w:rsid w:val="00640F03"/>
    <w:rsid w:val="006424C0"/>
    <w:rsid w:val="00643875"/>
    <w:rsid w:val="006445B1"/>
    <w:rsid w:val="00645164"/>
    <w:rsid w:val="00646F92"/>
    <w:rsid w:val="00647388"/>
    <w:rsid w:val="00647BFC"/>
    <w:rsid w:val="006506FB"/>
    <w:rsid w:val="006507BF"/>
    <w:rsid w:val="006509A8"/>
    <w:rsid w:val="00650EBD"/>
    <w:rsid w:val="00651E28"/>
    <w:rsid w:val="0065246F"/>
    <w:rsid w:val="00653E3C"/>
    <w:rsid w:val="00654B1D"/>
    <w:rsid w:val="00654F33"/>
    <w:rsid w:val="006553F2"/>
    <w:rsid w:val="006571A1"/>
    <w:rsid w:val="006572CA"/>
    <w:rsid w:val="00657318"/>
    <w:rsid w:val="00657FE0"/>
    <w:rsid w:val="00660772"/>
    <w:rsid w:val="006617DC"/>
    <w:rsid w:val="006625E6"/>
    <w:rsid w:val="00663CA2"/>
    <w:rsid w:val="0066577E"/>
    <w:rsid w:val="006660EB"/>
    <w:rsid w:val="00666523"/>
    <w:rsid w:val="00666700"/>
    <w:rsid w:val="00667C99"/>
    <w:rsid w:val="00670FAE"/>
    <w:rsid w:val="00671409"/>
    <w:rsid w:val="006718FC"/>
    <w:rsid w:val="00672DC5"/>
    <w:rsid w:val="0067414F"/>
    <w:rsid w:val="00675FE5"/>
    <w:rsid w:val="006769F6"/>
    <w:rsid w:val="00677C13"/>
    <w:rsid w:val="0068299E"/>
    <w:rsid w:val="00683AA1"/>
    <w:rsid w:val="00683D67"/>
    <w:rsid w:val="00686366"/>
    <w:rsid w:val="00687992"/>
    <w:rsid w:val="006911EC"/>
    <w:rsid w:val="0069126C"/>
    <w:rsid w:val="006914A1"/>
    <w:rsid w:val="00693114"/>
    <w:rsid w:val="006A070B"/>
    <w:rsid w:val="006A1BA9"/>
    <w:rsid w:val="006A1E0F"/>
    <w:rsid w:val="006A478F"/>
    <w:rsid w:val="006A47F5"/>
    <w:rsid w:val="006A4CC8"/>
    <w:rsid w:val="006A5232"/>
    <w:rsid w:val="006A57C6"/>
    <w:rsid w:val="006A6489"/>
    <w:rsid w:val="006A6712"/>
    <w:rsid w:val="006A6738"/>
    <w:rsid w:val="006A6D3B"/>
    <w:rsid w:val="006A716D"/>
    <w:rsid w:val="006A7C17"/>
    <w:rsid w:val="006B1E57"/>
    <w:rsid w:val="006B2B3A"/>
    <w:rsid w:val="006B30CB"/>
    <w:rsid w:val="006B380B"/>
    <w:rsid w:val="006B4171"/>
    <w:rsid w:val="006B4ABF"/>
    <w:rsid w:val="006B4D8C"/>
    <w:rsid w:val="006B4FBE"/>
    <w:rsid w:val="006B5231"/>
    <w:rsid w:val="006B5A24"/>
    <w:rsid w:val="006B5B82"/>
    <w:rsid w:val="006B7F26"/>
    <w:rsid w:val="006C07EE"/>
    <w:rsid w:val="006C0AC7"/>
    <w:rsid w:val="006C1E88"/>
    <w:rsid w:val="006C273F"/>
    <w:rsid w:val="006C3189"/>
    <w:rsid w:val="006C3649"/>
    <w:rsid w:val="006C3EC8"/>
    <w:rsid w:val="006C530B"/>
    <w:rsid w:val="006D0337"/>
    <w:rsid w:val="006D0E49"/>
    <w:rsid w:val="006D37FC"/>
    <w:rsid w:val="006D47E4"/>
    <w:rsid w:val="006D54D3"/>
    <w:rsid w:val="006D5DD2"/>
    <w:rsid w:val="006D5E60"/>
    <w:rsid w:val="006D6ED5"/>
    <w:rsid w:val="006E0130"/>
    <w:rsid w:val="006E0583"/>
    <w:rsid w:val="006E10C4"/>
    <w:rsid w:val="006E15BB"/>
    <w:rsid w:val="006E1927"/>
    <w:rsid w:val="006E40CA"/>
    <w:rsid w:val="006E41B5"/>
    <w:rsid w:val="006E4311"/>
    <w:rsid w:val="006F1437"/>
    <w:rsid w:val="006F34AC"/>
    <w:rsid w:val="006F3F1F"/>
    <w:rsid w:val="006F54E3"/>
    <w:rsid w:val="006F74C8"/>
    <w:rsid w:val="007006CB"/>
    <w:rsid w:val="0070111F"/>
    <w:rsid w:val="00705440"/>
    <w:rsid w:val="00707302"/>
    <w:rsid w:val="00707672"/>
    <w:rsid w:val="00710267"/>
    <w:rsid w:val="0071058A"/>
    <w:rsid w:val="00711162"/>
    <w:rsid w:val="0071150A"/>
    <w:rsid w:val="00711D27"/>
    <w:rsid w:val="007134BA"/>
    <w:rsid w:val="0071375F"/>
    <w:rsid w:val="00713EAD"/>
    <w:rsid w:val="00713FA2"/>
    <w:rsid w:val="00713FB6"/>
    <w:rsid w:val="007141A1"/>
    <w:rsid w:val="007145E5"/>
    <w:rsid w:val="0071487D"/>
    <w:rsid w:val="00714F21"/>
    <w:rsid w:val="007151EB"/>
    <w:rsid w:val="0071529F"/>
    <w:rsid w:val="007156F1"/>
    <w:rsid w:val="0071591D"/>
    <w:rsid w:val="007164D0"/>
    <w:rsid w:val="00716759"/>
    <w:rsid w:val="00716909"/>
    <w:rsid w:val="00716C10"/>
    <w:rsid w:val="00716CA6"/>
    <w:rsid w:val="007176F5"/>
    <w:rsid w:val="00717D37"/>
    <w:rsid w:val="00720455"/>
    <w:rsid w:val="007205F5"/>
    <w:rsid w:val="007217EE"/>
    <w:rsid w:val="00723BA0"/>
    <w:rsid w:val="007246A7"/>
    <w:rsid w:val="0072532C"/>
    <w:rsid w:val="00726729"/>
    <w:rsid w:val="007267FB"/>
    <w:rsid w:val="00726E5F"/>
    <w:rsid w:val="007323FB"/>
    <w:rsid w:val="00732AA6"/>
    <w:rsid w:val="00732C79"/>
    <w:rsid w:val="00733FD1"/>
    <w:rsid w:val="00736147"/>
    <w:rsid w:val="00737832"/>
    <w:rsid w:val="00737A83"/>
    <w:rsid w:val="00741297"/>
    <w:rsid w:val="00741DFD"/>
    <w:rsid w:val="00743608"/>
    <w:rsid w:val="00743CCD"/>
    <w:rsid w:val="00746F6D"/>
    <w:rsid w:val="00747BC2"/>
    <w:rsid w:val="00747C8B"/>
    <w:rsid w:val="00751613"/>
    <w:rsid w:val="00751732"/>
    <w:rsid w:val="007542A5"/>
    <w:rsid w:val="00754D88"/>
    <w:rsid w:val="00755E85"/>
    <w:rsid w:val="00756F1A"/>
    <w:rsid w:val="00757224"/>
    <w:rsid w:val="007617B1"/>
    <w:rsid w:val="00762806"/>
    <w:rsid w:val="00762A56"/>
    <w:rsid w:val="00762D61"/>
    <w:rsid w:val="007644EE"/>
    <w:rsid w:val="007647BE"/>
    <w:rsid w:val="00764CDC"/>
    <w:rsid w:val="00765E74"/>
    <w:rsid w:val="00766718"/>
    <w:rsid w:val="00766BA7"/>
    <w:rsid w:val="00766C10"/>
    <w:rsid w:val="007705D3"/>
    <w:rsid w:val="00770858"/>
    <w:rsid w:val="00770F1F"/>
    <w:rsid w:val="0077102B"/>
    <w:rsid w:val="00771E63"/>
    <w:rsid w:val="00771F69"/>
    <w:rsid w:val="0077244F"/>
    <w:rsid w:val="00772B60"/>
    <w:rsid w:val="0077352B"/>
    <w:rsid w:val="0077430B"/>
    <w:rsid w:val="00777AC0"/>
    <w:rsid w:val="007801FA"/>
    <w:rsid w:val="007806E4"/>
    <w:rsid w:val="00780862"/>
    <w:rsid w:val="00782574"/>
    <w:rsid w:val="007828EB"/>
    <w:rsid w:val="00782EBE"/>
    <w:rsid w:val="00783781"/>
    <w:rsid w:val="00784229"/>
    <w:rsid w:val="00786073"/>
    <w:rsid w:val="007861E5"/>
    <w:rsid w:val="007863EE"/>
    <w:rsid w:val="00787118"/>
    <w:rsid w:val="007907B9"/>
    <w:rsid w:val="00791CD2"/>
    <w:rsid w:val="0079235F"/>
    <w:rsid w:val="007934A6"/>
    <w:rsid w:val="00795681"/>
    <w:rsid w:val="007961E5"/>
    <w:rsid w:val="00797B1D"/>
    <w:rsid w:val="007A1C6A"/>
    <w:rsid w:val="007A38F1"/>
    <w:rsid w:val="007A4829"/>
    <w:rsid w:val="007A4FD2"/>
    <w:rsid w:val="007A56D3"/>
    <w:rsid w:val="007A5824"/>
    <w:rsid w:val="007A5D57"/>
    <w:rsid w:val="007A5D7C"/>
    <w:rsid w:val="007A6290"/>
    <w:rsid w:val="007A6D9A"/>
    <w:rsid w:val="007B18C9"/>
    <w:rsid w:val="007B4CF8"/>
    <w:rsid w:val="007C1A91"/>
    <w:rsid w:val="007C247E"/>
    <w:rsid w:val="007C39DE"/>
    <w:rsid w:val="007C449F"/>
    <w:rsid w:val="007C5386"/>
    <w:rsid w:val="007C5509"/>
    <w:rsid w:val="007C5767"/>
    <w:rsid w:val="007C5F8F"/>
    <w:rsid w:val="007C73D9"/>
    <w:rsid w:val="007C7927"/>
    <w:rsid w:val="007C7981"/>
    <w:rsid w:val="007D0352"/>
    <w:rsid w:val="007D0CF3"/>
    <w:rsid w:val="007D0D82"/>
    <w:rsid w:val="007D1740"/>
    <w:rsid w:val="007D2212"/>
    <w:rsid w:val="007D27A8"/>
    <w:rsid w:val="007D34DD"/>
    <w:rsid w:val="007D3785"/>
    <w:rsid w:val="007D4B51"/>
    <w:rsid w:val="007D4CF8"/>
    <w:rsid w:val="007D56D3"/>
    <w:rsid w:val="007D5F1F"/>
    <w:rsid w:val="007D6681"/>
    <w:rsid w:val="007D6983"/>
    <w:rsid w:val="007D7FDC"/>
    <w:rsid w:val="007E04B4"/>
    <w:rsid w:val="007E1CE0"/>
    <w:rsid w:val="007E2316"/>
    <w:rsid w:val="007E3D58"/>
    <w:rsid w:val="007E4235"/>
    <w:rsid w:val="007E4C14"/>
    <w:rsid w:val="007E4D3C"/>
    <w:rsid w:val="007E67C8"/>
    <w:rsid w:val="007E7497"/>
    <w:rsid w:val="007E7DFB"/>
    <w:rsid w:val="007F01CE"/>
    <w:rsid w:val="007F0DC2"/>
    <w:rsid w:val="007F12A2"/>
    <w:rsid w:val="007F143E"/>
    <w:rsid w:val="007F235F"/>
    <w:rsid w:val="007F2756"/>
    <w:rsid w:val="007F2A86"/>
    <w:rsid w:val="007F2F09"/>
    <w:rsid w:val="007F3FE1"/>
    <w:rsid w:val="007F74ED"/>
    <w:rsid w:val="007F7B01"/>
    <w:rsid w:val="007F7F3A"/>
    <w:rsid w:val="00800596"/>
    <w:rsid w:val="00802A66"/>
    <w:rsid w:val="00803726"/>
    <w:rsid w:val="00805EA5"/>
    <w:rsid w:val="00805EEF"/>
    <w:rsid w:val="00805FD3"/>
    <w:rsid w:val="00806135"/>
    <w:rsid w:val="00806576"/>
    <w:rsid w:val="008123E0"/>
    <w:rsid w:val="008148CD"/>
    <w:rsid w:val="008150AB"/>
    <w:rsid w:val="008156AC"/>
    <w:rsid w:val="00820214"/>
    <w:rsid w:val="00820A83"/>
    <w:rsid w:val="00820AEC"/>
    <w:rsid w:val="00822BF8"/>
    <w:rsid w:val="00822F52"/>
    <w:rsid w:val="00825668"/>
    <w:rsid w:val="008274BD"/>
    <w:rsid w:val="00827A34"/>
    <w:rsid w:val="00830EED"/>
    <w:rsid w:val="0083112A"/>
    <w:rsid w:val="008313BF"/>
    <w:rsid w:val="00831B3C"/>
    <w:rsid w:val="00831B9A"/>
    <w:rsid w:val="0083232C"/>
    <w:rsid w:val="00833E33"/>
    <w:rsid w:val="008341B2"/>
    <w:rsid w:val="0083462A"/>
    <w:rsid w:val="00834992"/>
    <w:rsid w:val="00837EB8"/>
    <w:rsid w:val="008407EB"/>
    <w:rsid w:val="00841FF0"/>
    <w:rsid w:val="00842083"/>
    <w:rsid w:val="00843014"/>
    <w:rsid w:val="00845921"/>
    <w:rsid w:val="00845B3C"/>
    <w:rsid w:val="00846379"/>
    <w:rsid w:val="008475EE"/>
    <w:rsid w:val="008521FD"/>
    <w:rsid w:val="00852BC3"/>
    <w:rsid w:val="00852D13"/>
    <w:rsid w:val="008544BC"/>
    <w:rsid w:val="00855C59"/>
    <w:rsid w:val="00855D50"/>
    <w:rsid w:val="00857115"/>
    <w:rsid w:val="00857B93"/>
    <w:rsid w:val="008612B7"/>
    <w:rsid w:val="008614E5"/>
    <w:rsid w:val="00863C04"/>
    <w:rsid w:val="00865163"/>
    <w:rsid w:val="00865A12"/>
    <w:rsid w:val="00871193"/>
    <w:rsid w:val="008712F7"/>
    <w:rsid w:val="00871CFF"/>
    <w:rsid w:val="0087352B"/>
    <w:rsid w:val="008774E5"/>
    <w:rsid w:val="008803A7"/>
    <w:rsid w:val="008805C8"/>
    <w:rsid w:val="0088356C"/>
    <w:rsid w:val="00883630"/>
    <w:rsid w:val="008838EE"/>
    <w:rsid w:val="008844C8"/>
    <w:rsid w:val="00884F3E"/>
    <w:rsid w:val="00885C41"/>
    <w:rsid w:val="00885ED7"/>
    <w:rsid w:val="00887356"/>
    <w:rsid w:val="00887628"/>
    <w:rsid w:val="008911F0"/>
    <w:rsid w:val="008916EA"/>
    <w:rsid w:val="00892C9A"/>
    <w:rsid w:val="00892E3E"/>
    <w:rsid w:val="008932D4"/>
    <w:rsid w:val="00893E1D"/>
    <w:rsid w:val="00893ECE"/>
    <w:rsid w:val="00895184"/>
    <w:rsid w:val="00895EAC"/>
    <w:rsid w:val="00895FD7"/>
    <w:rsid w:val="00897553"/>
    <w:rsid w:val="00897F2F"/>
    <w:rsid w:val="008A2567"/>
    <w:rsid w:val="008A2621"/>
    <w:rsid w:val="008A2704"/>
    <w:rsid w:val="008A39AE"/>
    <w:rsid w:val="008A4DC5"/>
    <w:rsid w:val="008A54BC"/>
    <w:rsid w:val="008A5834"/>
    <w:rsid w:val="008A627A"/>
    <w:rsid w:val="008A7FBB"/>
    <w:rsid w:val="008B00E9"/>
    <w:rsid w:val="008B013B"/>
    <w:rsid w:val="008B1F66"/>
    <w:rsid w:val="008B2226"/>
    <w:rsid w:val="008B3486"/>
    <w:rsid w:val="008B4CD8"/>
    <w:rsid w:val="008B6449"/>
    <w:rsid w:val="008B64A8"/>
    <w:rsid w:val="008B65AF"/>
    <w:rsid w:val="008B6750"/>
    <w:rsid w:val="008BB93E"/>
    <w:rsid w:val="008C0E4A"/>
    <w:rsid w:val="008C125D"/>
    <w:rsid w:val="008C2534"/>
    <w:rsid w:val="008C26A7"/>
    <w:rsid w:val="008C2BCA"/>
    <w:rsid w:val="008C3EB5"/>
    <w:rsid w:val="008C41FB"/>
    <w:rsid w:val="008C47EE"/>
    <w:rsid w:val="008C51D1"/>
    <w:rsid w:val="008C5DC0"/>
    <w:rsid w:val="008C6AF7"/>
    <w:rsid w:val="008C6D03"/>
    <w:rsid w:val="008C7E81"/>
    <w:rsid w:val="008D0518"/>
    <w:rsid w:val="008D06B8"/>
    <w:rsid w:val="008D11A7"/>
    <w:rsid w:val="008D2275"/>
    <w:rsid w:val="008D2604"/>
    <w:rsid w:val="008D3DB9"/>
    <w:rsid w:val="008D4A66"/>
    <w:rsid w:val="008E03A1"/>
    <w:rsid w:val="008E05D7"/>
    <w:rsid w:val="008E1562"/>
    <w:rsid w:val="008E15E7"/>
    <w:rsid w:val="008E18BF"/>
    <w:rsid w:val="008E1A3D"/>
    <w:rsid w:val="008E1E65"/>
    <w:rsid w:val="008E2B15"/>
    <w:rsid w:val="008E3421"/>
    <w:rsid w:val="008E4261"/>
    <w:rsid w:val="008E5FD2"/>
    <w:rsid w:val="008E617D"/>
    <w:rsid w:val="008E699F"/>
    <w:rsid w:val="008E6F5E"/>
    <w:rsid w:val="008E7CBD"/>
    <w:rsid w:val="008F1255"/>
    <w:rsid w:val="008F3483"/>
    <w:rsid w:val="008F3B8D"/>
    <w:rsid w:val="008F40B1"/>
    <w:rsid w:val="008F4593"/>
    <w:rsid w:val="008F4ABA"/>
    <w:rsid w:val="008F5971"/>
    <w:rsid w:val="008F6B03"/>
    <w:rsid w:val="008F7A94"/>
    <w:rsid w:val="009000A3"/>
    <w:rsid w:val="00901140"/>
    <w:rsid w:val="00901766"/>
    <w:rsid w:val="00901864"/>
    <w:rsid w:val="0090242F"/>
    <w:rsid w:val="00903337"/>
    <w:rsid w:val="009034B5"/>
    <w:rsid w:val="00903BB9"/>
    <w:rsid w:val="009046FC"/>
    <w:rsid w:val="0090564F"/>
    <w:rsid w:val="00906108"/>
    <w:rsid w:val="00907700"/>
    <w:rsid w:val="00907E53"/>
    <w:rsid w:val="00910ADF"/>
    <w:rsid w:val="00910CA4"/>
    <w:rsid w:val="00910F3B"/>
    <w:rsid w:val="00913C9D"/>
    <w:rsid w:val="00915841"/>
    <w:rsid w:val="009177FA"/>
    <w:rsid w:val="00917B83"/>
    <w:rsid w:val="00921A21"/>
    <w:rsid w:val="009229AD"/>
    <w:rsid w:val="0092368B"/>
    <w:rsid w:val="00923BA5"/>
    <w:rsid w:val="00924251"/>
    <w:rsid w:val="0092443C"/>
    <w:rsid w:val="00924B60"/>
    <w:rsid w:val="00925103"/>
    <w:rsid w:val="00925EB6"/>
    <w:rsid w:val="0092646B"/>
    <w:rsid w:val="00927631"/>
    <w:rsid w:val="009279D4"/>
    <w:rsid w:val="00931072"/>
    <w:rsid w:val="009327DA"/>
    <w:rsid w:val="009333A3"/>
    <w:rsid w:val="009342E5"/>
    <w:rsid w:val="009345CD"/>
    <w:rsid w:val="009347FE"/>
    <w:rsid w:val="009374FB"/>
    <w:rsid w:val="009378BD"/>
    <w:rsid w:val="009431C6"/>
    <w:rsid w:val="00943764"/>
    <w:rsid w:val="00943FAF"/>
    <w:rsid w:val="00944F1B"/>
    <w:rsid w:val="00950025"/>
    <w:rsid w:val="00950954"/>
    <w:rsid w:val="00952282"/>
    <w:rsid w:val="00953892"/>
    <w:rsid w:val="00953D52"/>
    <w:rsid w:val="00954449"/>
    <w:rsid w:val="009544FD"/>
    <w:rsid w:val="00954515"/>
    <w:rsid w:val="00954532"/>
    <w:rsid w:val="00954601"/>
    <w:rsid w:val="0095579E"/>
    <w:rsid w:val="00956011"/>
    <w:rsid w:val="0095677C"/>
    <w:rsid w:val="00956D95"/>
    <w:rsid w:val="009579AE"/>
    <w:rsid w:val="00960871"/>
    <w:rsid w:val="009616FD"/>
    <w:rsid w:val="00962735"/>
    <w:rsid w:val="009630A6"/>
    <w:rsid w:val="00963DA8"/>
    <w:rsid w:val="00963F5F"/>
    <w:rsid w:val="00964261"/>
    <w:rsid w:val="00964CB5"/>
    <w:rsid w:val="00965917"/>
    <w:rsid w:val="0096621F"/>
    <w:rsid w:val="00966CF7"/>
    <w:rsid w:val="009676FA"/>
    <w:rsid w:val="009709D8"/>
    <w:rsid w:val="00972C85"/>
    <w:rsid w:val="0097455E"/>
    <w:rsid w:val="00974DBB"/>
    <w:rsid w:val="00976344"/>
    <w:rsid w:val="00977E06"/>
    <w:rsid w:val="00977FE4"/>
    <w:rsid w:val="0098002F"/>
    <w:rsid w:val="00980E55"/>
    <w:rsid w:val="00981BD7"/>
    <w:rsid w:val="0098219F"/>
    <w:rsid w:val="009826BE"/>
    <w:rsid w:val="00983F20"/>
    <w:rsid w:val="009850EE"/>
    <w:rsid w:val="00985539"/>
    <w:rsid w:val="00985997"/>
    <w:rsid w:val="00985A72"/>
    <w:rsid w:val="00986996"/>
    <w:rsid w:val="009870DA"/>
    <w:rsid w:val="0099221B"/>
    <w:rsid w:val="009924E8"/>
    <w:rsid w:val="00992F95"/>
    <w:rsid w:val="00993818"/>
    <w:rsid w:val="00996419"/>
    <w:rsid w:val="009971A3"/>
    <w:rsid w:val="00997939"/>
    <w:rsid w:val="00997DE8"/>
    <w:rsid w:val="009A04CD"/>
    <w:rsid w:val="009A0CF9"/>
    <w:rsid w:val="009A13AB"/>
    <w:rsid w:val="009A208F"/>
    <w:rsid w:val="009A2683"/>
    <w:rsid w:val="009A2D1F"/>
    <w:rsid w:val="009A37D4"/>
    <w:rsid w:val="009A3957"/>
    <w:rsid w:val="009A749C"/>
    <w:rsid w:val="009A78FE"/>
    <w:rsid w:val="009B08A2"/>
    <w:rsid w:val="009B0F39"/>
    <w:rsid w:val="009B136B"/>
    <w:rsid w:val="009B239D"/>
    <w:rsid w:val="009B56D2"/>
    <w:rsid w:val="009B5A9A"/>
    <w:rsid w:val="009B69CA"/>
    <w:rsid w:val="009B72F5"/>
    <w:rsid w:val="009B7478"/>
    <w:rsid w:val="009C1600"/>
    <w:rsid w:val="009C18D9"/>
    <w:rsid w:val="009C1C1E"/>
    <w:rsid w:val="009C20D7"/>
    <w:rsid w:val="009C25DE"/>
    <w:rsid w:val="009C280C"/>
    <w:rsid w:val="009C3E92"/>
    <w:rsid w:val="009C5EFA"/>
    <w:rsid w:val="009D1EFB"/>
    <w:rsid w:val="009D26E6"/>
    <w:rsid w:val="009D363C"/>
    <w:rsid w:val="009D3EAE"/>
    <w:rsid w:val="009D64F8"/>
    <w:rsid w:val="009D70F6"/>
    <w:rsid w:val="009D7128"/>
    <w:rsid w:val="009D71D1"/>
    <w:rsid w:val="009D7522"/>
    <w:rsid w:val="009E01B7"/>
    <w:rsid w:val="009E18F7"/>
    <w:rsid w:val="009E26C1"/>
    <w:rsid w:val="009E2AE9"/>
    <w:rsid w:val="009E3E09"/>
    <w:rsid w:val="009E45AC"/>
    <w:rsid w:val="009E4A10"/>
    <w:rsid w:val="009E541C"/>
    <w:rsid w:val="009E60C9"/>
    <w:rsid w:val="009E75DC"/>
    <w:rsid w:val="009E7A52"/>
    <w:rsid w:val="009E7D8C"/>
    <w:rsid w:val="009F12AD"/>
    <w:rsid w:val="009F16CF"/>
    <w:rsid w:val="009F2AAA"/>
    <w:rsid w:val="009F35A9"/>
    <w:rsid w:val="009F548E"/>
    <w:rsid w:val="009F577B"/>
    <w:rsid w:val="009F653E"/>
    <w:rsid w:val="00A00F52"/>
    <w:rsid w:val="00A01EC4"/>
    <w:rsid w:val="00A02FD3"/>
    <w:rsid w:val="00A030C6"/>
    <w:rsid w:val="00A03799"/>
    <w:rsid w:val="00A051B2"/>
    <w:rsid w:val="00A05CDA"/>
    <w:rsid w:val="00A0620A"/>
    <w:rsid w:val="00A0641E"/>
    <w:rsid w:val="00A06569"/>
    <w:rsid w:val="00A06578"/>
    <w:rsid w:val="00A07551"/>
    <w:rsid w:val="00A10048"/>
    <w:rsid w:val="00A1149F"/>
    <w:rsid w:val="00A11693"/>
    <w:rsid w:val="00A14498"/>
    <w:rsid w:val="00A14586"/>
    <w:rsid w:val="00A1517F"/>
    <w:rsid w:val="00A15954"/>
    <w:rsid w:val="00A178F7"/>
    <w:rsid w:val="00A17D71"/>
    <w:rsid w:val="00A17ECF"/>
    <w:rsid w:val="00A2285D"/>
    <w:rsid w:val="00A22D21"/>
    <w:rsid w:val="00A22FF2"/>
    <w:rsid w:val="00A23331"/>
    <w:rsid w:val="00A246AC"/>
    <w:rsid w:val="00A25AEF"/>
    <w:rsid w:val="00A3012E"/>
    <w:rsid w:val="00A30396"/>
    <w:rsid w:val="00A30A7A"/>
    <w:rsid w:val="00A31575"/>
    <w:rsid w:val="00A318AB"/>
    <w:rsid w:val="00A32932"/>
    <w:rsid w:val="00A338AD"/>
    <w:rsid w:val="00A35317"/>
    <w:rsid w:val="00A356E1"/>
    <w:rsid w:val="00A36378"/>
    <w:rsid w:val="00A36780"/>
    <w:rsid w:val="00A36930"/>
    <w:rsid w:val="00A3736A"/>
    <w:rsid w:val="00A37C0A"/>
    <w:rsid w:val="00A4024A"/>
    <w:rsid w:val="00A40664"/>
    <w:rsid w:val="00A40D11"/>
    <w:rsid w:val="00A41713"/>
    <w:rsid w:val="00A41FD3"/>
    <w:rsid w:val="00A5070F"/>
    <w:rsid w:val="00A50B4A"/>
    <w:rsid w:val="00A50DAF"/>
    <w:rsid w:val="00A50F95"/>
    <w:rsid w:val="00A5130C"/>
    <w:rsid w:val="00A51A50"/>
    <w:rsid w:val="00A51BAB"/>
    <w:rsid w:val="00A51DA5"/>
    <w:rsid w:val="00A51F8D"/>
    <w:rsid w:val="00A53B32"/>
    <w:rsid w:val="00A53D72"/>
    <w:rsid w:val="00A5485B"/>
    <w:rsid w:val="00A56361"/>
    <w:rsid w:val="00A566FC"/>
    <w:rsid w:val="00A5719C"/>
    <w:rsid w:val="00A57435"/>
    <w:rsid w:val="00A61381"/>
    <w:rsid w:val="00A61802"/>
    <w:rsid w:val="00A64547"/>
    <w:rsid w:val="00A64BC8"/>
    <w:rsid w:val="00A6552A"/>
    <w:rsid w:val="00A663CE"/>
    <w:rsid w:val="00A6657C"/>
    <w:rsid w:val="00A71AB4"/>
    <w:rsid w:val="00A72966"/>
    <w:rsid w:val="00A73EE0"/>
    <w:rsid w:val="00A747F2"/>
    <w:rsid w:val="00A74C99"/>
    <w:rsid w:val="00A74F20"/>
    <w:rsid w:val="00A76217"/>
    <w:rsid w:val="00A7756D"/>
    <w:rsid w:val="00A807C3"/>
    <w:rsid w:val="00A80C38"/>
    <w:rsid w:val="00A810A3"/>
    <w:rsid w:val="00A8225E"/>
    <w:rsid w:val="00A833D8"/>
    <w:rsid w:val="00A83BC3"/>
    <w:rsid w:val="00A83CB6"/>
    <w:rsid w:val="00A84247"/>
    <w:rsid w:val="00A84409"/>
    <w:rsid w:val="00A84764"/>
    <w:rsid w:val="00A84CB1"/>
    <w:rsid w:val="00A85729"/>
    <w:rsid w:val="00A861BC"/>
    <w:rsid w:val="00A87290"/>
    <w:rsid w:val="00A87719"/>
    <w:rsid w:val="00A8787F"/>
    <w:rsid w:val="00A87D2A"/>
    <w:rsid w:val="00A90041"/>
    <w:rsid w:val="00A90D58"/>
    <w:rsid w:val="00A91EEA"/>
    <w:rsid w:val="00A923E1"/>
    <w:rsid w:val="00A92E49"/>
    <w:rsid w:val="00A9319C"/>
    <w:rsid w:val="00A936EE"/>
    <w:rsid w:val="00A93C20"/>
    <w:rsid w:val="00A93DD7"/>
    <w:rsid w:val="00A954E2"/>
    <w:rsid w:val="00A95B7C"/>
    <w:rsid w:val="00A9691A"/>
    <w:rsid w:val="00A96E83"/>
    <w:rsid w:val="00AA0204"/>
    <w:rsid w:val="00AA4E19"/>
    <w:rsid w:val="00AA5228"/>
    <w:rsid w:val="00AB0EF0"/>
    <w:rsid w:val="00AB1186"/>
    <w:rsid w:val="00AB14C5"/>
    <w:rsid w:val="00AB4EF8"/>
    <w:rsid w:val="00AB5436"/>
    <w:rsid w:val="00AB71F1"/>
    <w:rsid w:val="00AB7241"/>
    <w:rsid w:val="00AC05E8"/>
    <w:rsid w:val="00AC10C0"/>
    <w:rsid w:val="00AC1F29"/>
    <w:rsid w:val="00AC1F76"/>
    <w:rsid w:val="00AC3C31"/>
    <w:rsid w:val="00AC45DD"/>
    <w:rsid w:val="00AC4625"/>
    <w:rsid w:val="00AC4BCF"/>
    <w:rsid w:val="00AC67D8"/>
    <w:rsid w:val="00AC756F"/>
    <w:rsid w:val="00AD03D7"/>
    <w:rsid w:val="00AD239D"/>
    <w:rsid w:val="00AD3B50"/>
    <w:rsid w:val="00AD3B72"/>
    <w:rsid w:val="00AD4A18"/>
    <w:rsid w:val="00AD51BC"/>
    <w:rsid w:val="00AD5BD0"/>
    <w:rsid w:val="00AD5E2C"/>
    <w:rsid w:val="00AD66B8"/>
    <w:rsid w:val="00AD70E3"/>
    <w:rsid w:val="00AD7821"/>
    <w:rsid w:val="00AD7F67"/>
    <w:rsid w:val="00AE032B"/>
    <w:rsid w:val="00AE0943"/>
    <w:rsid w:val="00AE094F"/>
    <w:rsid w:val="00AE40B8"/>
    <w:rsid w:val="00AE414C"/>
    <w:rsid w:val="00AE569C"/>
    <w:rsid w:val="00AE6507"/>
    <w:rsid w:val="00AE6A43"/>
    <w:rsid w:val="00AE70D3"/>
    <w:rsid w:val="00AE71D5"/>
    <w:rsid w:val="00AE7A61"/>
    <w:rsid w:val="00AE7DEF"/>
    <w:rsid w:val="00AF0DD1"/>
    <w:rsid w:val="00AF235F"/>
    <w:rsid w:val="00AF300A"/>
    <w:rsid w:val="00AF3FF3"/>
    <w:rsid w:val="00AF4817"/>
    <w:rsid w:val="00AF4F66"/>
    <w:rsid w:val="00AF57B8"/>
    <w:rsid w:val="00AF6060"/>
    <w:rsid w:val="00AF62D0"/>
    <w:rsid w:val="00B00AF8"/>
    <w:rsid w:val="00B013D8"/>
    <w:rsid w:val="00B03D40"/>
    <w:rsid w:val="00B04AA4"/>
    <w:rsid w:val="00B103B0"/>
    <w:rsid w:val="00B10E65"/>
    <w:rsid w:val="00B10F7F"/>
    <w:rsid w:val="00B11329"/>
    <w:rsid w:val="00B114A1"/>
    <w:rsid w:val="00B12608"/>
    <w:rsid w:val="00B1356D"/>
    <w:rsid w:val="00B13E8C"/>
    <w:rsid w:val="00B14EF8"/>
    <w:rsid w:val="00B15D0E"/>
    <w:rsid w:val="00B169AF"/>
    <w:rsid w:val="00B169B1"/>
    <w:rsid w:val="00B171D5"/>
    <w:rsid w:val="00B17D76"/>
    <w:rsid w:val="00B23F9F"/>
    <w:rsid w:val="00B2404C"/>
    <w:rsid w:val="00B25B39"/>
    <w:rsid w:val="00B25BC3"/>
    <w:rsid w:val="00B25DAB"/>
    <w:rsid w:val="00B27CE9"/>
    <w:rsid w:val="00B31B06"/>
    <w:rsid w:val="00B32228"/>
    <w:rsid w:val="00B325B8"/>
    <w:rsid w:val="00B33008"/>
    <w:rsid w:val="00B3402A"/>
    <w:rsid w:val="00B36307"/>
    <w:rsid w:val="00B36BA9"/>
    <w:rsid w:val="00B37121"/>
    <w:rsid w:val="00B37640"/>
    <w:rsid w:val="00B40816"/>
    <w:rsid w:val="00B4197D"/>
    <w:rsid w:val="00B42040"/>
    <w:rsid w:val="00B4211E"/>
    <w:rsid w:val="00B42E48"/>
    <w:rsid w:val="00B431B1"/>
    <w:rsid w:val="00B439CC"/>
    <w:rsid w:val="00B44FCB"/>
    <w:rsid w:val="00B4531F"/>
    <w:rsid w:val="00B46095"/>
    <w:rsid w:val="00B46DBB"/>
    <w:rsid w:val="00B47DEB"/>
    <w:rsid w:val="00B560D1"/>
    <w:rsid w:val="00B56997"/>
    <w:rsid w:val="00B56BD8"/>
    <w:rsid w:val="00B5711E"/>
    <w:rsid w:val="00B59690"/>
    <w:rsid w:val="00B601A5"/>
    <w:rsid w:val="00B60C40"/>
    <w:rsid w:val="00B626BE"/>
    <w:rsid w:val="00B62A5E"/>
    <w:rsid w:val="00B6400A"/>
    <w:rsid w:val="00B6602B"/>
    <w:rsid w:val="00B676DE"/>
    <w:rsid w:val="00B73D9E"/>
    <w:rsid w:val="00B74EB3"/>
    <w:rsid w:val="00B75A8B"/>
    <w:rsid w:val="00B7610D"/>
    <w:rsid w:val="00B77885"/>
    <w:rsid w:val="00B80183"/>
    <w:rsid w:val="00B80243"/>
    <w:rsid w:val="00B813B7"/>
    <w:rsid w:val="00B81ACE"/>
    <w:rsid w:val="00B81D22"/>
    <w:rsid w:val="00B85545"/>
    <w:rsid w:val="00B85979"/>
    <w:rsid w:val="00B877EB"/>
    <w:rsid w:val="00B9089C"/>
    <w:rsid w:val="00B90F12"/>
    <w:rsid w:val="00B91FEC"/>
    <w:rsid w:val="00B95ABA"/>
    <w:rsid w:val="00B95DE9"/>
    <w:rsid w:val="00BA014E"/>
    <w:rsid w:val="00BA026A"/>
    <w:rsid w:val="00BA3A59"/>
    <w:rsid w:val="00BA564C"/>
    <w:rsid w:val="00BA59E3"/>
    <w:rsid w:val="00BA66C4"/>
    <w:rsid w:val="00BA6C89"/>
    <w:rsid w:val="00BB3B4E"/>
    <w:rsid w:val="00BB4BA0"/>
    <w:rsid w:val="00BB513A"/>
    <w:rsid w:val="00BB5440"/>
    <w:rsid w:val="00BB5E1C"/>
    <w:rsid w:val="00BB6008"/>
    <w:rsid w:val="00BB6B74"/>
    <w:rsid w:val="00BB7B65"/>
    <w:rsid w:val="00BB7FF4"/>
    <w:rsid w:val="00BC0E18"/>
    <w:rsid w:val="00BC144E"/>
    <w:rsid w:val="00BC1D69"/>
    <w:rsid w:val="00BC25CF"/>
    <w:rsid w:val="00BC348C"/>
    <w:rsid w:val="00BC3CEC"/>
    <w:rsid w:val="00BC40DE"/>
    <w:rsid w:val="00BC41D1"/>
    <w:rsid w:val="00BC45D2"/>
    <w:rsid w:val="00BC5417"/>
    <w:rsid w:val="00BC6540"/>
    <w:rsid w:val="00BC6711"/>
    <w:rsid w:val="00BC7640"/>
    <w:rsid w:val="00BC79B2"/>
    <w:rsid w:val="00BC7B9F"/>
    <w:rsid w:val="00BD0236"/>
    <w:rsid w:val="00BD1CDF"/>
    <w:rsid w:val="00BD26EF"/>
    <w:rsid w:val="00BD3D61"/>
    <w:rsid w:val="00BD5849"/>
    <w:rsid w:val="00BD6778"/>
    <w:rsid w:val="00BD6C97"/>
    <w:rsid w:val="00BD7460"/>
    <w:rsid w:val="00BD75F9"/>
    <w:rsid w:val="00BD7783"/>
    <w:rsid w:val="00BE076F"/>
    <w:rsid w:val="00BE0FD3"/>
    <w:rsid w:val="00BE1903"/>
    <w:rsid w:val="00BE285C"/>
    <w:rsid w:val="00BE3477"/>
    <w:rsid w:val="00BE41FF"/>
    <w:rsid w:val="00BE4DBB"/>
    <w:rsid w:val="00BE5A44"/>
    <w:rsid w:val="00BE7865"/>
    <w:rsid w:val="00BF2F8A"/>
    <w:rsid w:val="00BF344A"/>
    <w:rsid w:val="00BF34F6"/>
    <w:rsid w:val="00BF37B8"/>
    <w:rsid w:val="00BF7653"/>
    <w:rsid w:val="00C037A8"/>
    <w:rsid w:val="00C05017"/>
    <w:rsid w:val="00C0565B"/>
    <w:rsid w:val="00C1002D"/>
    <w:rsid w:val="00C113E8"/>
    <w:rsid w:val="00C12286"/>
    <w:rsid w:val="00C13099"/>
    <w:rsid w:val="00C131CD"/>
    <w:rsid w:val="00C14EFB"/>
    <w:rsid w:val="00C166E5"/>
    <w:rsid w:val="00C17031"/>
    <w:rsid w:val="00C21716"/>
    <w:rsid w:val="00C221E3"/>
    <w:rsid w:val="00C22546"/>
    <w:rsid w:val="00C24170"/>
    <w:rsid w:val="00C2478D"/>
    <w:rsid w:val="00C25BA4"/>
    <w:rsid w:val="00C272D3"/>
    <w:rsid w:val="00C30D53"/>
    <w:rsid w:val="00C31226"/>
    <w:rsid w:val="00C319B5"/>
    <w:rsid w:val="00C31DB2"/>
    <w:rsid w:val="00C31EEB"/>
    <w:rsid w:val="00C326EB"/>
    <w:rsid w:val="00C33555"/>
    <w:rsid w:val="00C339A5"/>
    <w:rsid w:val="00C361AE"/>
    <w:rsid w:val="00C363F5"/>
    <w:rsid w:val="00C37BA1"/>
    <w:rsid w:val="00C406EB"/>
    <w:rsid w:val="00C4360A"/>
    <w:rsid w:val="00C43727"/>
    <w:rsid w:val="00C43AFE"/>
    <w:rsid w:val="00C43B6E"/>
    <w:rsid w:val="00C44BC6"/>
    <w:rsid w:val="00C44F6D"/>
    <w:rsid w:val="00C455D9"/>
    <w:rsid w:val="00C47466"/>
    <w:rsid w:val="00C50550"/>
    <w:rsid w:val="00C506AF"/>
    <w:rsid w:val="00C5307B"/>
    <w:rsid w:val="00C544A5"/>
    <w:rsid w:val="00C555E6"/>
    <w:rsid w:val="00C55CF4"/>
    <w:rsid w:val="00C55D21"/>
    <w:rsid w:val="00C57771"/>
    <w:rsid w:val="00C60473"/>
    <w:rsid w:val="00C61DEC"/>
    <w:rsid w:val="00C62FF9"/>
    <w:rsid w:val="00C6321E"/>
    <w:rsid w:val="00C632EC"/>
    <w:rsid w:val="00C633AA"/>
    <w:rsid w:val="00C64052"/>
    <w:rsid w:val="00C64C6D"/>
    <w:rsid w:val="00C6581A"/>
    <w:rsid w:val="00C669AC"/>
    <w:rsid w:val="00C67305"/>
    <w:rsid w:val="00C673EF"/>
    <w:rsid w:val="00C67986"/>
    <w:rsid w:val="00C70572"/>
    <w:rsid w:val="00C71B35"/>
    <w:rsid w:val="00C72353"/>
    <w:rsid w:val="00C72377"/>
    <w:rsid w:val="00C72C48"/>
    <w:rsid w:val="00C73239"/>
    <w:rsid w:val="00C73671"/>
    <w:rsid w:val="00C73D83"/>
    <w:rsid w:val="00C760AF"/>
    <w:rsid w:val="00C76F8A"/>
    <w:rsid w:val="00C77613"/>
    <w:rsid w:val="00C8116D"/>
    <w:rsid w:val="00C811AD"/>
    <w:rsid w:val="00C81459"/>
    <w:rsid w:val="00C8214F"/>
    <w:rsid w:val="00C82AA4"/>
    <w:rsid w:val="00C840E6"/>
    <w:rsid w:val="00C844CF"/>
    <w:rsid w:val="00C85442"/>
    <w:rsid w:val="00C85495"/>
    <w:rsid w:val="00C87AD1"/>
    <w:rsid w:val="00C91D8C"/>
    <w:rsid w:val="00C91F20"/>
    <w:rsid w:val="00C93318"/>
    <w:rsid w:val="00C93AF9"/>
    <w:rsid w:val="00C94FD1"/>
    <w:rsid w:val="00C95618"/>
    <w:rsid w:val="00C97ACD"/>
    <w:rsid w:val="00CA030E"/>
    <w:rsid w:val="00CA0BB6"/>
    <w:rsid w:val="00CA1BF2"/>
    <w:rsid w:val="00CA2DC5"/>
    <w:rsid w:val="00CA3332"/>
    <w:rsid w:val="00CA3435"/>
    <w:rsid w:val="00CA4A74"/>
    <w:rsid w:val="00CA58FA"/>
    <w:rsid w:val="00CA639A"/>
    <w:rsid w:val="00CA6980"/>
    <w:rsid w:val="00CA6A89"/>
    <w:rsid w:val="00CA6C96"/>
    <w:rsid w:val="00CA716B"/>
    <w:rsid w:val="00CB06B1"/>
    <w:rsid w:val="00CB171C"/>
    <w:rsid w:val="00CB22CF"/>
    <w:rsid w:val="00CB2577"/>
    <w:rsid w:val="00CB289A"/>
    <w:rsid w:val="00CB33D4"/>
    <w:rsid w:val="00CB33EB"/>
    <w:rsid w:val="00CB3C08"/>
    <w:rsid w:val="00CB44DA"/>
    <w:rsid w:val="00CB4BF2"/>
    <w:rsid w:val="00CB56B2"/>
    <w:rsid w:val="00CB5B0C"/>
    <w:rsid w:val="00CB6008"/>
    <w:rsid w:val="00CB710D"/>
    <w:rsid w:val="00CC0002"/>
    <w:rsid w:val="00CC0CB8"/>
    <w:rsid w:val="00CC125A"/>
    <w:rsid w:val="00CC2024"/>
    <w:rsid w:val="00CC2390"/>
    <w:rsid w:val="00CC2A91"/>
    <w:rsid w:val="00CC2F5D"/>
    <w:rsid w:val="00CC5341"/>
    <w:rsid w:val="00CC5345"/>
    <w:rsid w:val="00CC5FDA"/>
    <w:rsid w:val="00CC7B72"/>
    <w:rsid w:val="00CC7CF8"/>
    <w:rsid w:val="00CD0579"/>
    <w:rsid w:val="00CD3F4D"/>
    <w:rsid w:val="00CD4B2B"/>
    <w:rsid w:val="00CD50F7"/>
    <w:rsid w:val="00CD5E15"/>
    <w:rsid w:val="00CD6178"/>
    <w:rsid w:val="00CD66F1"/>
    <w:rsid w:val="00CD68ED"/>
    <w:rsid w:val="00CD6D53"/>
    <w:rsid w:val="00CE2102"/>
    <w:rsid w:val="00CE310C"/>
    <w:rsid w:val="00CE38DC"/>
    <w:rsid w:val="00CE5843"/>
    <w:rsid w:val="00CF0894"/>
    <w:rsid w:val="00CF194D"/>
    <w:rsid w:val="00CF38B4"/>
    <w:rsid w:val="00CF411D"/>
    <w:rsid w:val="00CF4E99"/>
    <w:rsid w:val="00CF4F6B"/>
    <w:rsid w:val="00CF538E"/>
    <w:rsid w:val="00CF56A6"/>
    <w:rsid w:val="00CF6A0B"/>
    <w:rsid w:val="00CF766E"/>
    <w:rsid w:val="00D004BF"/>
    <w:rsid w:val="00D02D88"/>
    <w:rsid w:val="00D03159"/>
    <w:rsid w:val="00D03528"/>
    <w:rsid w:val="00D04F61"/>
    <w:rsid w:val="00D05159"/>
    <w:rsid w:val="00D05D89"/>
    <w:rsid w:val="00D07F54"/>
    <w:rsid w:val="00D1176D"/>
    <w:rsid w:val="00D14042"/>
    <w:rsid w:val="00D14937"/>
    <w:rsid w:val="00D1555E"/>
    <w:rsid w:val="00D167AE"/>
    <w:rsid w:val="00D169AF"/>
    <w:rsid w:val="00D17302"/>
    <w:rsid w:val="00D17F1F"/>
    <w:rsid w:val="00D20122"/>
    <w:rsid w:val="00D20C33"/>
    <w:rsid w:val="00D2150A"/>
    <w:rsid w:val="00D21B1C"/>
    <w:rsid w:val="00D21FE9"/>
    <w:rsid w:val="00D229D1"/>
    <w:rsid w:val="00D22BF9"/>
    <w:rsid w:val="00D25860"/>
    <w:rsid w:val="00D26B54"/>
    <w:rsid w:val="00D26D57"/>
    <w:rsid w:val="00D27455"/>
    <w:rsid w:val="00D27D50"/>
    <w:rsid w:val="00D3047E"/>
    <w:rsid w:val="00D31EE0"/>
    <w:rsid w:val="00D32C47"/>
    <w:rsid w:val="00D3355A"/>
    <w:rsid w:val="00D34224"/>
    <w:rsid w:val="00D36C9B"/>
    <w:rsid w:val="00D36E0A"/>
    <w:rsid w:val="00D37F4B"/>
    <w:rsid w:val="00D37F9F"/>
    <w:rsid w:val="00D4039D"/>
    <w:rsid w:val="00D42DB1"/>
    <w:rsid w:val="00D432AE"/>
    <w:rsid w:val="00D43B9A"/>
    <w:rsid w:val="00D43D87"/>
    <w:rsid w:val="00D440EA"/>
    <w:rsid w:val="00D44809"/>
    <w:rsid w:val="00D44B4A"/>
    <w:rsid w:val="00D47B2A"/>
    <w:rsid w:val="00D50239"/>
    <w:rsid w:val="00D506B3"/>
    <w:rsid w:val="00D50DEF"/>
    <w:rsid w:val="00D5198A"/>
    <w:rsid w:val="00D519F9"/>
    <w:rsid w:val="00D51C44"/>
    <w:rsid w:val="00D52A77"/>
    <w:rsid w:val="00D52C10"/>
    <w:rsid w:val="00D53390"/>
    <w:rsid w:val="00D53B2C"/>
    <w:rsid w:val="00D5761A"/>
    <w:rsid w:val="00D5784D"/>
    <w:rsid w:val="00D57BBF"/>
    <w:rsid w:val="00D57CA0"/>
    <w:rsid w:val="00D60274"/>
    <w:rsid w:val="00D60B6E"/>
    <w:rsid w:val="00D612AC"/>
    <w:rsid w:val="00D6358F"/>
    <w:rsid w:val="00D63C2C"/>
    <w:rsid w:val="00D64275"/>
    <w:rsid w:val="00D643B9"/>
    <w:rsid w:val="00D6542C"/>
    <w:rsid w:val="00D66BE4"/>
    <w:rsid w:val="00D66D6E"/>
    <w:rsid w:val="00D701FE"/>
    <w:rsid w:val="00D704FA"/>
    <w:rsid w:val="00D716BD"/>
    <w:rsid w:val="00D72698"/>
    <w:rsid w:val="00D72A2B"/>
    <w:rsid w:val="00D73574"/>
    <w:rsid w:val="00D74FB4"/>
    <w:rsid w:val="00D7673C"/>
    <w:rsid w:val="00D76C3C"/>
    <w:rsid w:val="00D7711C"/>
    <w:rsid w:val="00D771D8"/>
    <w:rsid w:val="00D810B1"/>
    <w:rsid w:val="00D8275E"/>
    <w:rsid w:val="00D82C1C"/>
    <w:rsid w:val="00D82D8E"/>
    <w:rsid w:val="00D83539"/>
    <w:rsid w:val="00D83BF1"/>
    <w:rsid w:val="00D84B3A"/>
    <w:rsid w:val="00D84C3F"/>
    <w:rsid w:val="00D85327"/>
    <w:rsid w:val="00D87DAD"/>
    <w:rsid w:val="00D92651"/>
    <w:rsid w:val="00D9637C"/>
    <w:rsid w:val="00D96D0C"/>
    <w:rsid w:val="00D97248"/>
    <w:rsid w:val="00DA03D8"/>
    <w:rsid w:val="00DA0478"/>
    <w:rsid w:val="00DA281C"/>
    <w:rsid w:val="00DA3116"/>
    <w:rsid w:val="00DA354E"/>
    <w:rsid w:val="00DA3638"/>
    <w:rsid w:val="00DA4275"/>
    <w:rsid w:val="00DA6255"/>
    <w:rsid w:val="00DA6579"/>
    <w:rsid w:val="00DA75EC"/>
    <w:rsid w:val="00DB0744"/>
    <w:rsid w:val="00DB14E0"/>
    <w:rsid w:val="00DB1D59"/>
    <w:rsid w:val="00DB227A"/>
    <w:rsid w:val="00DB2BD0"/>
    <w:rsid w:val="00DB6E4E"/>
    <w:rsid w:val="00DB7D90"/>
    <w:rsid w:val="00DC0AC9"/>
    <w:rsid w:val="00DC14F0"/>
    <w:rsid w:val="00DC19F3"/>
    <w:rsid w:val="00DC318B"/>
    <w:rsid w:val="00DC34F8"/>
    <w:rsid w:val="00DC523D"/>
    <w:rsid w:val="00DC5771"/>
    <w:rsid w:val="00DC5ACC"/>
    <w:rsid w:val="00DC74E6"/>
    <w:rsid w:val="00DC7C38"/>
    <w:rsid w:val="00DD0199"/>
    <w:rsid w:val="00DD01D6"/>
    <w:rsid w:val="00DD0AA3"/>
    <w:rsid w:val="00DD0EC5"/>
    <w:rsid w:val="00DD1371"/>
    <w:rsid w:val="00DD1C0C"/>
    <w:rsid w:val="00DD1F79"/>
    <w:rsid w:val="00DD2831"/>
    <w:rsid w:val="00DD2833"/>
    <w:rsid w:val="00DD4217"/>
    <w:rsid w:val="00DD4926"/>
    <w:rsid w:val="00DD6CBD"/>
    <w:rsid w:val="00DD7542"/>
    <w:rsid w:val="00DE0CED"/>
    <w:rsid w:val="00DE23AF"/>
    <w:rsid w:val="00DE2DA0"/>
    <w:rsid w:val="00DE34E5"/>
    <w:rsid w:val="00DE44E9"/>
    <w:rsid w:val="00DE46D0"/>
    <w:rsid w:val="00DE5662"/>
    <w:rsid w:val="00DF055A"/>
    <w:rsid w:val="00DF079D"/>
    <w:rsid w:val="00DF0C74"/>
    <w:rsid w:val="00DF2028"/>
    <w:rsid w:val="00DF2C6F"/>
    <w:rsid w:val="00DF4175"/>
    <w:rsid w:val="00DF7888"/>
    <w:rsid w:val="00E01E41"/>
    <w:rsid w:val="00E01F68"/>
    <w:rsid w:val="00E020BF"/>
    <w:rsid w:val="00E02417"/>
    <w:rsid w:val="00E03703"/>
    <w:rsid w:val="00E03F7E"/>
    <w:rsid w:val="00E044CE"/>
    <w:rsid w:val="00E05205"/>
    <w:rsid w:val="00E05AAC"/>
    <w:rsid w:val="00E05FD2"/>
    <w:rsid w:val="00E06913"/>
    <w:rsid w:val="00E072DE"/>
    <w:rsid w:val="00E10E5C"/>
    <w:rsid w:val="00E11584"/>
    <w:rsid w:val="00E11B79"/>
    <w:rsid w:val="00E13F0A"/>
    <w:rsid w:val="00E16F0D"/>
    <w:rsid w:val="00E177ED"/>
    <w:rsid w:val="00E17EDB"/>
    <w:rsid w:val="00E20942"/>
    <w:rsid w:val="00E22078"/>
    <w:rsid w:val="00E22226"/>
    <w:rsid w:val="00E22841"/>
    <w:rsid w:val="00E22E8B"/>
    <w:rsid w:val="00E2300B"/>
    <w:rsid w:val="00E25C26"/>
    <w:rsid w:val="00E262B1"/>
    <w:rsid w:val="00E26409"/>
    <w:rsid w:val="00E264EB"/>
    <w:rsid w:val="00E2727B"/>
    <w:rsid w:val="00E274FC"/>
    <w:rsid w:val="00E3042D"/>
    <w:rsid w:val="00E309B9"/>
    <w:rsid w:val="00E33263"/>
    <w:rsid w:val="00E33439"/>
    <w:rsid w:val="00E337FB"/>
    <w:rsid w:val="00E34E9A"/>
    <w:rsid w:val="00E35F6B"/>
    <w:rsid w:val="00E37112"/>
    <w:rsid w:val="00E37A02"/>
    <w:rsid w:val="00E40078"/>
    <w:rsid w:val="00E4029D"/>
    <w:rsid w:val="00E405AA"/>
    <w:rsid w:val="00E4072C"/>
    <w:rsid w:val="00E41592"/>
    <w:rsid w:val="00E42ABF"/>
    <w:rsid w:val="00E42FD2"/>
    <w:rsid w:val="00E43F56"/>
    <w:rsid w:val="00E444DF"/>
    <w:rsid w:val="00E44CF1"/>
    <w:rsid w:val="00E4543D"/>
    <w:rsid w:val="00E45A61"/>
    <w:rsid w:val="00E46C38"/>
    <w:rsid w:val="00E508A1"/>
    <w:rsid w:val="00E50985"/>
    <w:rsid w:val="00E51328"/>
    <w:rsid w:val="00E52638"/>
    <w:rsid w:val="00E57954"/>
    <w:rsid w:val="00E60B9C"/>
    <w:rsid w:val="00E618D2"/>
    <w:rsid w:val="00E64756"/>
    <w:rsid w:val="00E647CA"/>
    <w:rsid w:val="00E651D1"/>
    <w:rsid w:val="00E65519"/>
    <w:rsid w:val="00E65A34"/>
    <w:rsid w:val="00E66A0B"/>
    <w:rsid w:val="00E66B4B"/>
    <w:rsid w:val="00E66EC7"/>
    <w:rsid w:val="00E66FAA"/>
    <w:rsid w:val="00E670EF"/>
    <w:rsid w:val="00E67222"/>
    <w:rsid w:val="00E7048E"/>
    <w:rsid w:val="00E70829"/>
    <w:rsid w:val="00E710EE"/>
    <w:rsid w:val="00E71678"/>
    <w:rsid w:val="00E725AA"/>
    <w:rsid w:val="00E734A8"/>
    <w:rsid w:val="00E7350A"/>
    <w:rsid w:val="00E74115"/>
    <w:rsid w:val="00E743DD"/>
    <w:rsid w:val="00E74A2C"/>
    <w:rsid w:val="00E74C8C"/>
    <w:rsid w:val="00E75209"/>
    <w:rsid w:val="00E76550"/>
    <w:rsid w:val="00E76B91"/>
    <w:rsid w:val="00E76D92"/>
    <w:rsid w:val="00E8088C"/>
    <w:rsid w:val="00E815EA"/>
    <w:rsid w:val="00E81D63"/>
    <w:rsid w:val="00E83447"/>
    <w:rsid w:val="00E83BE6"/>
    <w:rsid w:val="00E879E8"/>
    <w:rsid w:val="00E907F7"/>
    <w:rsid w:val="00E914BF"/>
    <w:rsid w:val="00E92925"/>
    <w:rsid w:val="00E943EE"/>
    <w:rsid w:val="00E9499F"/>
    <w:rsid w:val="00E96004"/>
    <w:rsid w:val="00E975EC"/>
    <w:rsid w:val="00E97724"/>
    <w:rsid w:val="00EA0A0E"/>
    <w:rsid w:val="00EA0E8F"/>
    <w:rsid w:val="00EA1451"/>
    <w:rsid w:val="00EA2A6D"/>
    <w:rsid w:val="00EA3D21"/>
    <w:rsid w:val="00EA3EFF"/>
    <w:rsid w:val="00EA572B"/>
    <w:rsid w:val="00EA6059"/>
    <w:rsid w:val="00EA73BA"/>
    <w:rsid w:val="00EA7B4D"/>
    <w:rsid w:val="00EB2325"/>
    <w:rsid w:val="00EB2A85"/>
    <w:rsid w:val="00EB2D67"/>
    <w:rsid w:val="00EB5544"/>
    <w:rsid w:val="00EB64C0"/>
    <w:rsid w:val="00EC4640"/>
    <w:rsid w:val="00EC4A75"/>
    <w:rsid w:val="00EC4AB5"/>
    <w:rsid w:val="00EC4DA6"/>
    <w:rsid w:val="00EC54C7"/>
    <w:rsid w:val="00EC672D"/>
    <w:rsid w:val="00ED0DA1"/>
    <w:rsid w:val="00ED0F23"/>
    <w:rsid w:val="00ED396B"/>
    <w:rsid w:val="00ED3B96"/>
    <w:rsid w:val="00ED406F"/>
    <w:rsid w:val="00ED4951"/>
    <w:rsid w:val="00ED4ED4"/>
    <w:rsid w:val="00ED78E5"/>
    <w:rsid w:val="00ED7D3F"/>
    <w:rsid w:val="00EE3662"/>
    <w:rsid w:val="00EE39F7"/>
    <w:rsid w:val="00EE3A30"/>
    <w:rsid w:val="00EE499E"/>
    <w:rsid w:val="00EE5011"/>
    <w:rsid w:val="00EE6326"/>
    <w:rsid w:val="00EE78C2"/>
    <w:rsid w:val="00EE7B27"/>
    <w:rsid w:val="00EE7F3E"/>
    <w:rsid w:val="00EF0170"/>
    <w:rsid w:val="00EF05B2"/>
    <w:rsid w:val="00EF0CD9"/>
    <w:rsid w:val="00EF0F26"/>
    <w:rsid w:val="00EF1C43"/>
    <w:rsid w:val="00EF2F59"/>
    <w:rsid w:val="00EF3769"/>
    <w:rsid w:val="00EF3D87"/>
    <w:rsid w:val="00EF4BF2"/>
    <w:rsid w:val="00EF5AD7"/>
    <w:rsid w:val="00F007B7"/>
    <w:rsid w:val="00F01CE8"/>
    <w:rsid w:val="00F0287A"/>
    <w:rsid w:val="00F02CA5"/>
    <w:rsid w:val="00F0311F"/>
    <w:rsid w:val="00F03B27"/>
    <w:rsid w:val="00F03DA1"/>
    <w:rsid w:val="00F03E4C"/>
    <w:rsid w:val="00F0402E"/>
    <w:rsid w:val="00F04138"/>
    <w:rsid w:val="00F041CB"/>
    <w:rsid w:val="00F05408"/>
    <w:rsid w:val="00F057DB"/>
    <w:rsid w:val="00F0633A"/>
    <w:rsid w:val="00F0668B"/>
    <w:rsid w:val="00F0722C"/>
    <w:rsid w:val="00F0741A"/>
    <w:rsid w:val="00F07E31"/>
    <w:rsid w:val="00F07EC4"/>
    <w:rsid w:val="00F110A5"/>
    <w:rsid w:val="00F11355"/>
    <w:rsid w:val="00F14277"/>
    <w:rsid w:val="00F16733"/>
    <w:rsid w:val="00F179CD"/>
    <w:rsid w:val="00F200F4"/>
    <w:rsid w:val="00F20337"/>
    <w:rsid w:val="00F21ADF"/>
    <w:rsid w:val="00F21C67"/>
    <w:rsid w:val="00F21CDA"/>
    <w:rsid w:val="00F22BDC"/>
    <w:rsid w:val="00F2308A"/>
    <w:rsid w:val="00F236D1"/>
    <w:rsid w:val="00F23CB7"/>
    <w:rsid w:val="00F244FA"/>
    <w:rsid w:val="00F26BBA"/>
    <w:rsid w:val="00F26F8F"/>
    <w:rsid w:val="00F271F2"/>
    <w:rsid w:val="00F31E7A"/>
    <w:rsid w:val="00F34607"/>
    <w:rsid w:val="00F36CB7"/>
    <w:rsid w:val="00F36E9E"/>
    <w:rsid w:val="00F377E5"/>
    <w:rsid w:val="00F37B85"/>
    <w:rsid w:val="00F411B7"/>
    <w:rsid w:val="00F42271"/>
    <w:rsid w:val="00F42A3A"/>
    <w:rsid w:val="00F437E1"/>
    <w:rsid w:val="00F447A0"/>
    <w:rsid w:val="00F448A3"/>
    <w:rsid w:val="00F456DF"/>
    <w:rsid w:val="00F464A1"/>
    <w:rsid w:val="00F46965"/>
    <w:rsid w:val="00F46A2B"/>
    <w:rsid w:val="00F47D89"/>
    <w:rsid w:val="00F504DD"/>
    <w:rsid w:val="00F510E6"/>
    <w:rsid w:val="00F511EA"/>
    <w:rsid w:val="00F51FFC"/>
    <w:rsid w:val="00F53321"/>
    <w:rsid w:val="00F54760"/>
    <w:rsid w:val="00F553B0"/>
    <w:rsid w:val="00F57FDC"/>
    <w:rsid w:val="00F60FA1"/>
    <w:rsid w:val="00F61C80"/>
    <w:rsid w:val="00F61F1D"/>
    <w:rsid w:val="00F622F3"/>
    <w:rsid w:val="00F62B99"/>
    <w:rsid w:val="00F62F85"/>
    <w:rsid w:val="00F646B9"/>
    <w:rsid w:val="00F656A2"/>
    <w:rsid w:val="00F6616E"/>
    <w:rsid w:val="00F66D8A"/>
    <w:rsid w:val="00F70914"/>
    <w:rsid w:val="00F709B7"/>
    <w:rsid w:val="00F75298"/>
    <w:rsid w:val="00F8011E"/>
    <w:rsid w:val="00F807F5"/>
    <w:rsid w:val="00F80982"/>
    <w:rsid w:val="00F80F68"/>
    <w:rsid w:val="00F81B21"/>
    <w:rsid w:val="00F82B3E"/>
    <w:rsid w:val="00F835A3"/>
    <w:rsid w:val="00F841A9"/>
    <w:rsid w:val="00F858B3"/>
    <w:rsid w:val="00F863A0"/>
    <w:rsid w:val="00F86485"/>
    <w:rsid w:val="00F900A1"/>
    <w:rsid w:val="00F91EB2"/>
    <w:rsid w:val="00F9261C"/>
    <w:rsid w:val="00F92880"/>
    <w:rsid w:val="00F932BB"/>
    <w:rsid w:val="00F94864"/>
    <w:rsid w:val="00F95954"/>
    <w:rsid w:val="00F95A07"/>
    <w:rsid w:val="00F9622E"/>
    <w:rsid w:val="00FA00BD"/>
    <w:rsid w:val="00FA22F7"/>
    <w:rsid w:val="00FA3916"/>
    <w:rsid w:val="00FA3A1A"/>
    <w:rsid w:val="00FA3A92"/>
    <w:rsid w:val="00FA52BD"/>
    <w:rsid w:val="00FA55EA"/>
    <w:rsid w:val="00FA5A14"/>
    <w:rsid w:val="00FA7FE1"/>
    <w:rsid w:val="00FB097D"/>
    <w:rsid w:val="00FB0A3B"/>
    <w:rsid w:val="00FB2675"/>
    <w:rsid w:val="00FB2750"/>
    <w:rsid w:val="00FB3227"/>
    <w:rsid w:val="00FB3EC6"/>
    <w:rsid w:val="00FB483F"/>
    <w:rsid w:val="00FB6CFB"/>
    <w:rsid w:val="00FB752E"/>
    <w:rsid w:val="00FB759A"/>
    <w:rsid w:val="00FC186E"/>
    <w:rsid w:val="00FC3838"/>
    <w:rsid w:val="00FC3D81"/>
    <w:rsid w:val="00FC4677"/>
    <w:rsid w:val="00FC52D0"/>
    <w:rsid w:val="00FC56C6"/>
    <w:rsid w:val="00FC5992"/>
    <w:rsid w:val="00FC5F15"/>
    <w:rsid w:val="00FC6E2F"/>
    <w:rsid w:val="00FC738B"/>
    <w:rsid w:val="00FC7A16"/>
    <w:rsid w:val="00FD04D7"/>
    <w:rsid w:val="00FD052F"/>
    <w:rsid w:val="00FD11EA"/>
    <w:rsid w:val="00FD38AA"/>
    <w:rsid w:val="00FD4007"/>
    <w:rsid w:val="00FD441F"/>
    <w:rsid w:val="00FD5631"/>
    <w:rsid w:val="00FD6DBB"/>
    <w:rsid w:val="00FD7216"/>
    <w:rsid w:val="00FD7C7F"/>
    <w:rsid w:val="00FD7D06"/>
    <w:rsid w:val="00FE13D5"/>
    <w:rsid w:val="00FE1D24"/>
    <w:rsid w:val="00FE2CAE"/>
    <w:rsid w:val="00FE2D0C"/>
    <w:rsid w:val="00FE5E0B"/>
    <w:rsid w:val="00FE6C6B"/>
    <w:rsid w:val="00FE7A05"/>
    <w:rsid w:val="00FF03BC"/>
    <w:rsid w:val="00FF0530"/>
    <w:rsid w:val="00FF1E8E"/>
    <w:rsid w:val="00FF20A2"/>
    <w:rsid w:val="00FF21DB"/>
    <w:rsid w:val="00FF349F"/>
    <w:rsid w:val="00FF467E"/>
    <w:rsid w:val="00FF4B7E"/>
    <w:rsid w:val="00FF5699"/>
    <w:rsid w:val="00FF6C18"/>
    <w:rsid w:val="01230A94"/>
    <w:rsid w:val="01365B61"/>
    <w:rsid w:val="016DD96D"/>
    <w:rsid w:val="01A42DAA"/>
    <w:rsid w:val="01AA1138"/>
    <w:rsid w:val="01E314AF"/>
    <w:rsid w:val="01FED25B"/>
    <w:rsid w:val="0230F17D"/>
    <w:rsid w:val="027EED60"/>
    <w:rsid w:val="02E16AAB"/>
    <w:rsid w:val="03904FBB"/>
    <w:rsid w:val="04452F80"/>
    <w:rsid w:val="049999A5"/>
    <w:rsid w:val="04AF385F"/>
    <w:rsid w:val="0504FE1B"/>
    <w:rsid w:val="05C9F180"/>
    <w:rsid w:val="061745A1"/>
    <w:rsid w:val="0631A91B"/>
    <w:rsid w:val="064C8007"/>
    <w:rsid w:val="0663D497"/>
    <w:rsid w:val="066D0E04"/>
    <w:rsid w:val="06B83963"/>
    <w:rsid w:val="072773A3"/>
    <w:rsid w:val="073FD739"/>
    <w:rsid w:val="078980F1"/>
    <w:rsid w:val="0818FEFB"/>
    <w:rsid w:val="08D93CC4"/>
    <w:rsid w:val="0936ED28"/>
    <w:rsid w:val="094DFAEA"/>
    <w:rsid w:val="0980E062"/>
    <w:rsid w:val="09F14E32"/>
    <w:rsid w:val="0B27B4CC"/>
    <w:rsid w:val="0B93031C"/>
    <w:rsid w:val="0C316C09"/>
    <w:rsid w:val="0C745B23"/>
    <w:rsid w:val="0C93CBFE"/>
    <w:rsid w:val="0CD2A1C4"/>
    <w:rsid w:val="0D98E24E"/>
    <w:rsid w:val="0DE20EA9"/>
    <w:rsid w:val="0E274B14"/>
    <w:rsid w:val="0E5581B1"/>
    <w:rsid w:val="0E9A474B"/>
    <w:rsid w:val="0ECF366A"/>
    <w:rsid w:val="0FE3F6CB"/>
    <w:rsid w:val="108F1CB2"/>
    <w:rsid w:val="108F2E21"/>
    <w:rsid w:val="10AD86FD"/>
    <w:rsid w:val="10DB57A1"/>
    <w:rsid w:val="10F349F4"/>
    <w:rsid w:val="11A1B717"/>
    <w:rsid w:val="12DA9877"/>
    <w:rsid w:val="1347FEBC"/>
    <w:rsid w:val="135A1CBC"/>
    <w:rsid w:val="139B1CC5"/>
    <w:rsid w:val="13AFFA22"/>
    <w:rsid w:val="13B451AB"/>
    <w:rsid w:val="1440F621"/>
    <w:rsid w:val="1443AFCF"/>
    <w:rsid w:val="14E21740"/>
    <w:rsid w:val="155F37DF"/>
    <w:rsid w:val="15756CA3"/>
    <w:rsid w:val="167B16C1"/>
    <w:rsid w:val="16B0C999"/>
    <w:rsid w:val="16D9C371"/>
    <w:rsid w:val="173EA2F6"/>
    <w:rsid w:val="177690D0"/>
    <w:rsid w:val="183C2467"/>
    <w:rsid w:val="187BFBA7"/>
    <w:rsid w:val="197E5DFE"/>
    <w:rsid w:val="1A4BF3E1"/>
    <w:rsid w:val="1A657D49"/>
    <w:rsid w:val="1A819699"/>
    <w:rsid w:val="1AAAF624"/>
    <w:rsid w:val="1AB48F82"/>
    <w:rsid w:val="1AE2B563"/>
    <w:rsid w:val="1AF24207"/>
    <w:rsid w:val="1AFC27D9"/>
    <w:rsid w:val="1B63687C"/>
    <w:rsid w:val="1B9F9784"/>
    <w:rsid w:val="1BD7AD54"/>
    <w:rsid w:val="1BE666FA"/>
    <w:rsid w:val="1BFC550F"/>
    <w:rsid w:val="1C57ED09"/>
    <w:rsid w:val="1CE1B34D"/>
    <w:rsid w:val="1CFF8087"/>
    <w:rsid w:val="1D669CFD"/>
    <w:rsid w:val="1DA805FC"/>
    <w:rsid w:val="1E1D1B20"/>
    <w:rsid w:val="2049D261"/>
    <w:rsid w:val="2113AEF4"/>
    <w:rsid w:val="2149F949"/>
    <w:rsid w:val="21673F52"/>
    <w:rsid w:val="21A511F5"/>
    <w:rsid w:val="21AD115D"/>
    <w:rsid w:val="21D28A4C"/>
    <w:rsid w:val="21D3BF04"/>
    <w:rsid w:val="21F3BBAD"/>
    <w:rsid w:val="22ADA6E4"/>
    <w:rsid w:val="22DD1359"/>
    <w:rsid w:val="22DE66A3"/>
    <w:rsid w:val="234239D6"/>
    <w:rsid w:val="23BDBCF7"/>
    <w:rsid w:val="2487F7FE"/>
    <w:rsid w:val="2502539F"/>
    <w:rsid w:val="2521179D"/>
    <w:rsid w:val="25B20EDD"/>
    <w:rsid w:val="25D39FE9"/>
    <w:rsid w:val="25D5A642"/>
    <w:rsid w:val="25FAA3DF"/>
    <w:rsid w:val="275BF078"/>
    <w:rsid w:val="278260A0"/>
    <w:rsid w:val="27CFAB62"/>
    <w:rsid w:val="2839D35B"/>
    <w:rsid w:val="28FA8721"/>
    <w:rsid w:val="294AA338"/>
    <w:rsid w:val="29B350FD"/>
    <w:rsid w:val="2B0A3348"/>
    <w:rsid w:val="2B8A1A05"/>
    <w:rsid w:val="2B8CDA85"/>
    <w:rsid w:val="2BCE52AE"/>
    <w:rsid w:val="2BD95105"/>
    <w:rsid w:val="2C203DAD"/>
    <w:rsid w:val="2C8CD5F6"/>
    <w:rsid w:val="2D98E131"/>
    <w:rsid w:val="2EB9CBF2"/>
    <w:rsid w:val="2EC170D8"/>
    <w:rsid w:val="2ECAA8A0"/>
    <w:rsid w:val="2ED9EB39"/>
    <w:rsid w:val="2F0459FB"/>
    <w:rsid w:val="2FC20CF1"/>
    <w:rsid w:val="2FC4C6FB"/>
    <w:rsid w:val="2FD129B4"/>
    <w:rsid w:val="2FEAAD40"/>
    <w:rsid w:val="309C6AC0"/>
    <w:rsid w:val="30B2FBEE"/>
    <w:rsid w:val="30CFD0BC"/>
    <w:rsid w:val="31CA0D39"/>
    <w:rsid w:val="31F116AE"/>
    <w:rsid w:val="32D66AAB"/>
    <w:rsid w:val="334261B3"/>
    <w:rsid w:val="33D8F618"/>
    <w:rsid w:val="33DEA7A6"/>
    <w:rsid w:val="33EDACD6"/>
    <w:rsid w:val="341A0CEB"/>
    <w:rsid w:val="34C20381"/>
    <w:rsid w:val="34C45152"/>
    <w:rsid w:val="361D1C30"/>
    <w:rsid w:val="3656B816"/>
    <w:rsid w:val="36C03CA7"/>
    <w:rsid w:val="36DBC9F9"/>
    <w:rsid w:val="37B28F94"/>
    <w:rsid w:val="37C12E02"/>
    <w:rsid w:val="385DA91C"/>
    <w:rsid w:val="38B6375A"/>
    <w:rsid w:val="3925175E"/>
    <w:rsid w:val="396C3916"/>
    <w:rsid w:val="3998B6C7"/>
    <w:rsid w:val="3A675029"/>
    <w:rsid w:val="3AB783FD"/>
    <w:rsid w:val="3B252226"/>
    <w:rsid w:val="3B49A4D5"/>
    <w:rsid w:val="3B720127"/>
    <w:rsid w:val="3C148341"/>
    <w:rsid w:val="3C199406"/>
    <w:rsid w:val="3C3B93B7"/>
    <w:rsid w:val="3DD9FF35"/>
    <w:rsid w:val="3E088F12"/>
    <w:rsid w:val="3EA32294"/>
    <w:rsid w:val="3EAAE463"/>
    <w:rsid w:val="3F1A2FCC"/>
    <w:rsid w:val="3F30A834"/>
    <w:rsid w:val="3F5EEC60"/>
    <w:rsid w:val="3FA4A5DF"/>
    <w:rsid w:val="3FEB90EF"/>
    <w:rsid w:val="402179AB"/>
    <w:rsid w:val="40E0E9BE"/>
    <w:rsid w:val="40F2C460"/>
    <w:rsid w:val="4180A372"/>
    <w:rsid w:val="426CAC79"/>
    <w:rsid w:val="427C2F49"/>
    <w:rsid w:val="428A025F"/>
    <w:rsid w:val="4294077E"/>
    <w:rsid w:val="42E177D8"/>
    <w:rsid w:val="43267585"/>
    <w:rsid w:val="4391DA14"/>
    <w:rsid w:val="43D283D7"/>
    <w:rsid w:val="43DF8807"/>
    <w:rsid w:val="43F7A207"/>
    <w:rsid w:val="4645BCEF"/>
    <w:rsid w:val="46A94808"/>
    <w:rsid w:val="46E25E2D"/>
    <w:rsid w:val="47392C4E"/>
    <w:rsid w:val="473A5817"/>
    <w:rsid w:val="476CB92C"/>
    <w:rsid w:val="47E4E981"/>
    <w:rsid w:val="48194BAF"/>
    <w:rsid w:val="481DE8A9"/>
    <w:rsid w:val="48608799"/>
    <w:rsid w:val="4937BAB7"/>
    <w:rsid w:val="49FA8836"/>
    <w:rsid w:val="4B56F085"/>
    <w:rsid w:val="4B7C006A"/>
    <w:rsid w:val="4CA423E3"/>
    <w:rsid w:val="4CAFD3FA"/>
    <w:rsid w:val="4CC1502D"/>
    <w:rsid w:val="4DE0C14B"/>
    <w:rsid w:val="4DE5AD60"/>
    <w:rsid w:val="4E3217A0"/>
    <w:rsid w:val="4E3B2436"/>
    <w:rsid w:val="4EA25C9D"/>
    <w:rsid w:val="4ECB02F7"/>
    <w:rsid w:val="4ED8BBC5"/>
    <w:rsid w:val="4F0EA752"/>
    <w:rsid w:val="4F152255"/>
    <w:rsid w:val="4F95A4BE"/>
    <w:rsid w:val="4FE76783"/>
    <w:rsid w:val="5016F517"/>
    <w:rsid w:val="5065FDD8"/>
    <w:rsid w:val="50721EAF"/>
    <w:rsid w:val="50767510"/>
    <w:rsid w:val="507FC237"/>
    <w:rsid w:val="50865477"/>
    <w:rsid w:val="51366C97"/>
    <w:rsid w:val="5178CA88"/>
    <w:rsid w:val="51EB1A2A"/>
    <w:rsid w:val="52A756B8"/>
    <w:rsid w:val="52C2A8E6"/>
    <w:rsid w:val="52C7E18E"/>
    <w:rsid w:val="531020CD"/>
    <w:rsid w:val="5318B421"/>
    <w:rsid w:val="53CEC266"/>
    <w:rsid w:val="5456C133"/>
    <w:rsid w:val="55C1EC63"/>
    <w:rsid w:val="55D568BA"/>
    <w:rsid w:val="56605AEE"/>
    <w:rsid w:val="5718E060"/>
    <w:rsid w:val="5722C0CC"/>
    <w:rsid w:val="5732478C"/>
    <w:rsid w:val="57A7B8DA"/>
    <w:rsid w:val="57D2AD9F"/>
    <w:rsid w:val="589F7B17"/>
    <w:rsid w:val="58F64DF4"/>
    <w:rsid w:val="5948CA30"/>
    <w:rsid w:val="597696E1"/>
    <w:rsid w:val="59E105E5"/>
    <w:rsid w:val="5A8610C2"/>
    <w:rsid w:val="5AC2A1E9"/>
    <w:rsid w:val="5B589BEF"/>
    <w:rsid w:val="5BEC1A52"/>
    <w:rsid w:val="5C7E79CE"/>
    <w:rsid w:val="5D0D2013"/>
    <w:rsid w:val="5D62A436"/>
    <w:rsid w:val="5EC2FF38"/>
    <w:rsid w:val="5F0D7D7A"/>
    <w:rsid w:val="5F33FD79"/>
    <w:rsid w:val="5FDAA49C"/>
    <w:rsid w:val="6083DDA9"/>
    <w:rsid w:val="60E4EF21"/>
    <w:rsid w:val="60F79165"/>
    <w:rsid w:val="6142F60B"/>
    <w:rsid w:val="61463212"/>
    <w:rsid w:val="618F7BCE"/>
    <w:rsid w:val="61C1A694"/>
    <w:rsid w:val="62402CCC"/>
    <w:rsid w:val="628515A0"/>
    <w:rsid w:val="62DF9DAB"/>
    <w:rsid w:val="62E33FAB"/>
    <w:rsid w:val="6404FC18"/>
    <w:rsid w:val="6430CE97"/>
    <w:rsid w:val="643FEF8B"/>
    <w:rsid w:val="65550099"/>
    <w:rsid w:val="658461F0"/>
    <w:rsid w:val="659ED045"/>
    <w:rsid w:val="6615BDDD"/>
    <w:rsid w:val="6655B3D8"/>
    <w:rsid w:val="669CFCB8"/>
    <w:rsid w:val="66C1D3B3"/>
    <w:rsid w:val="68A3781E"/>
    <w:rsid w:val="6902B651"/>
    <w:rsid w:val="6930A2B6"/>
    <w:rsid w:val="69782DE8"/>
    <w:rsid w:val="6988394B"/>
    <w:rsid w:val="699B2770"/>
    <w:rsid w:val="6AF4B376"/>
    <w:rsid w:val="6B07BE9A"/>
    <w:rsid w:val="6B2555F5"/>
    <w:rsid w:val="6B3043BF"/>
    <w:rsid w:val="6B4774BB"/>
    <w:rsid w:val="6B8E32AC"/>
    <w:rsid w:val="6BC04A44"/>
    <w:rsid w:val="6BDD6B9A"/>
    <w:rsid w:val="6C0A1F43"/>
    <w:rsid w:val="6C3BC6EA"/>
    <w:rsid w:val="6C478684"/>
    <w:rsid w:val="6D134DF5"/>
    <w:rsid w:val="6D4A0528"/>
    <w:rsid w:val="6E15D436"/>
    <w:rsid w:val="6E4A8A92"/>
    <w:rsid w:val="6E4BF6EB"/>
    <w:rsid w:val="6F01107F"/>
    <w:rsid w:val="6F549DE0"/>
    <w:rsid w:val="6FC3FCD3"/>
    <w:rsid w:val="6FD70949"/>
    <w:rsid w:val="7007E53E"/>
    <w:rsid w:val="701309C7"/>
    <w:rsid w:val="70C922BD"/>
    <w:rsid w:val="70DDBB6D"/>
    <w:rsid w:val="70F2A900"/>
    <w:rsid w:val="711C0CA9"/>
    <w:rsid w:val="714329BE"/>
    <w:rsid w:val="71F88D71"/>
    <w:rsid w:val="72595D36"/>
    <w:rsid w:val="727EC473"/>
    <w:rsid w:val="72828BAF"/>
    <w:rsid w:val="72C920CD"/>
    <w:rsid w:val="72CCD9EE"/>
    <w:rsid w:val="72E989A7"/>
    <w:rsid w:val="7300EE56"/>
    <w:rsid w:val="73497F8C"/>
    <w:rsid w:val="7383C2DC"/>
    <w:rsid w:val="73E9DE5E"/>
    <w:rsid w:val="744E8DFF"/>
    <w:rsid w:val="7465BE88"/>
    <w:rsid w:val="74829863"/>
    <w:rsid w:val="74A44BC4"/>
    <w:rsid w:val="74D80BF9"/>
    <w:rsid w:val="74FA2712"/>
    <w:rsid w:val="752066F9"/>
    <w:rsid w:val="753845DB"/>
    <w:rsid w:val="755BA21C"/>
    <w:rsid w:val="75C37CBF"/>
    <w:rsid w:val="7715C147"/>
    <w:rsid w:val="7737E7DA"/>
    <w:rsid w:val="77EBC611"/>
    <w:rsid w:val="7825D3D9"/>
    <w:rsid w:val="78359D2B"/>
    <w:rsid w:val="78770498"/>
    <w:rsid w:val="78F0854D"/>
    <w:rsid w:val="792347E7"/>
    <w:rsid w:val="79296B12"/>
    <w:rsid w:val="7949AB19"/>
    <w:rsid w:val="7986A4A8"/>
    <w:rsid w:val="799B17DC"/>
    <w:rsid w:val="79D8D9DC"/>
    <w:rsid w:val="7A6C40AB"/>
    <w:rsid w:val="7ABBA861"/>
    <w:rsid w:val="7AD06408"/>
    <w:rsid w:val="7B1ABBE9"/>
    <w:rsid w:val="7BD076E0"/>
    <w:rsid w:val="7BF5FD67"/>
    <w:rsid w:val="7C3E34A1"/>
    <w:rsid w:val="7C4B436B"/>
    <w:rsid w:val="7CA91277"/>
    <w:rsid w:val="7CE26D2D"/>
    <w:rsid w:val="7D442276"/>
    <w:rsid w:val="7D47A5E2"/>
    <w:rsid w:val="7D49F27D"/>
    <w:rsid w:val="7DB09CA3"/>
    <w:rsid w:val="7DC6505D"/>
    <w:rsid w:val="7DD2DE90"/>
    <w:rsid w:val="7E71A4F3"/>
    <w:rsid w:val="7E8F7B49"/>
    <w:rsid w:val="7F681174"/>
    <w:rsid w:val="7F952482"/>
    <w:rsid w:val="7F964355"/>
    <w:rsid w:val="7FCE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3A8A"/>
  <w15:chartTrackingRefBased/>
  <w15:docId w15:val="{654071F4-EC8A-4C55-96F8-757EC5EB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CB5B0C"/>
    <w:pPr>
      <w:keepNext/>
      <w:keepLines/>
      <w:spacing w:before="240" w:after="0"/>
      <w:outlineLvl w:val="0"/>
    </w:pPr>
    <w:rPr>
      <w:rFonts w:asciiTheme="majorHAnsi" w:eastAsiaTheme="majorEastAsia" w:hAnsiTheme="majorHAnsi" w:cstheme="majorBidi"/>
      <w:color w:val="638C1B" w:themeColor="accent1" w:themeShade="BF"/>
      <w:sz w:val="32"/>
      <w:szCs w:val="32"/>
    </w:rPr>
  </w:style>
  <w:style w:type="paragraph" w:styleId="Virsraksts2">
    <w:name w:val="heading 2"/>
    <w:basedOn w:val="Parasts"/>
    <w:next w:val="Parasts"/>
    <w:link w:val="Virsraksts2Rakstz"/>
    <w:uiPriority w:val="9"/>
    <w:unhideWhenUsed/>
    <w:qFormat/>
    <w:rsid w:val="0003632E"/>
    <w:pPr>
      <w:keepNext/>
      <w:keepLines/>
      <w:spacing w:before="40" w:after="0"/>
      <w:outlineLvl w:val="1"/>
    </w:pPr>
    <w:rPr>
      <w:rFonts w:asciiTheme="majorHAnsi" w:eastAsiaTheme="majorEastAsia" w:hAnsiTheme="majorHAnsi" w:cstheme="majorBidi"/>
      <w:color w:val="638C1B" w:themeColor="accent1" w:themeShade="BF"/>
      <w:sz w:val="26"/>
      <w:szCs w:val="26"/>
    </w:rPr>
  </w:style>
  <w:style w:type="paragraph" w:styleId="Virsraksts3">
    <w:name w:val="heading 3"/>
    <w:basedOn w:val="Parasts"/>
    <w:next w:val="Parasts"/>
    <w:link w:val="Virsraksts3Rakstz"/>
    <w:uiPriority w:val="9"/>
    <w:unhideWhenUsed/>
    <w:qFormat/>
    <w:rsid w:val="00382259"/>
    <w:pPr>
      <w:keepNext/>
      <w:keepLines/>
      <w:spacing w:before="40" w:after="0"/>
      <w:outlineLvl w:val="2"/>
    </w:pPr>
    <w:rPr>
      <w:rFonts w:asciiTheme="majorHAnsi" w:eastAsiaTheme="majorEastAsia" w:hAnsiTheme="majorHAnsi" w:cstheme="majorBidi"/>
      <w:color w:val="425D12"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CB5B0C"/>
    <w:pPr>
      <w:ind w:left="720"/>
      <w:contextualSpacing/>
    </w:pPr>
  </w:style>
  <w:style w:type="character" w:customStyle="1" w:styleId="Virsraksts1Rakstz">
    <w:name w:val="Virsraksts 1 Rakstz."/>
    <w:basedOn w:val="Noklusjumarindkopasfonts"/>
    <w:link w:val="Virsraksts1"/>
    <w:uiPriority w:val="9"/>
    <w:rsid w:val="00CB5B0C"/>
    <w:rPr>
      <w:rFonts w:asciiTheme="majorHAnsi" w:eastAsiaTheme="majorEastAsia" w:hAnsiTheme="majorHAnsi" w:cstheme="majorBidi"/>
      <w:color w:val="638C1B" w:themeColor="accent1" w:themeShade="BF"/>
      <w:sz w:val="32"/>
      <w:szCs w:val="32"/>
    </w:rPr>
  </w:style>
  <w:style w:type="paragraph" w:customStyle="1" w:styleId="Default">
    <w:name w:val="Default"/>
    <w:rsid w:val="004D690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t-translation">
    <w:name w:val="mt-translation"/>
    <w:basedOn w:val="Parasts"/>
    <w:rsid w:val="006B3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rase">
    <w:name w:val="phrase"/>
    <w:basedOn w:val="Noklusjumarindkopasfonts"/>
    <w:rsid w:val="006B380B"/>
  </w:style>
  <w:style w:type="character" w:customStyle="1" w:styleId="word">
    <w:name w:val="word"/>
    <w:basedOn w:val="Noklusjumarindkopasfonts"/>
    <w:rsid w:val="006B380B"/>
  </w:style>
  <w:style w:type="character" w:customStyle="1" w:styleId="Virsraksts2Rakstz">
    <w:name w:val="Virsraksts 2 Rakstz."/>
    <w:basedOn w:val="Noklusjumarindkopasfonts"/>
    <w:link w:val="Virsraksts2"/>
    <w:uiPriority w:val="9"/>
    <w:rsid w:val="0003632E"/>
    <w:rPr>
      <w:rFonts w:asciiTheme="majorHAnsi" w:eastAsiaTheme="majorEastAsia" w:hAnsiTheme="majorHAnsi" w:cstheme="majorBidi"/>
      <w:color w:val="638C1B" w:themeColor="accent1" w:themeShade="BF"/>
      <w:sz w:val="26"/>
      <w:szCs w:val="26"/>
    </w:rPr>
  </w:style>
  <w:style w:type="paragraph" w:styleId="Saturardtjavirsraksts">
    <w:name w:val="TOC Heading"/>
    <w:basedOn w:val="Virsraksts1"/>
    <w:next w:val="Parasts"/>
    <w:uiPriority w:val="39"/>
    <w:unhideWhenUsed/>
    <w:qFormat/>
    <w:rsid w:val="008844C8"/>
    <w:pPr>
      <w:outlineLvl w:val="9"/>
    </w:pPr>
  </w:style>
  <w:style w:type="paragraph" w:styleId="Saturs1">
    <w:name w:val="toc 1"/>
    <w:basedOn w:val="Parasts"/>
    <w:next w:val="Parasts"/>
    <w:autoRedefine/>
    <w:uiPriority w:val="39"/>
    <w:unhideWhenUsed/>
    <w:rsid w:val="00514F85"/>
    <w:pPr>
      <w:tabs>
        <w:tab w:val="left" w:pos="440"/>
        <w:tab w:val="right" w:leader="dot" w:pos="9350"/>
      </w:tabs>
      <w:spacing w:after="100"/>
    </w:pPr>
  </w:style>
  <w:style w:type="paragraph" w:styleId="Saturs2">
    <w:name w:val="toc 2"/>
    <w:basedOn w:val="Parasts"/>
    <w:next w:val="Parasts"/>
    <w:autoRedefine/>
    <w:uiPriority w:val="39"/>
    <w:unhideWhenUsed/>
    <w:rsid w:val="00263EB4"/>
    <w:pPr>
      <w:tabs>
        <w:tab w:val="left" w:pos="1100"/>
        <w:tab w:val="right" w:leader="dot" w:pos="9350"/>
      </w:tabs>
      <w:spacing w:after="100"/>
      <w:ind w:left="220"/>
    </w:pPr>
  </w:style>
  <w:style w:type="character" w:styleId="Hipersaite">
    <w:name w:val="Hyperlink"/>
    <w:basedOn w:val="Noklusjumarindkopasfonts"/>
    <w:uiPriority w:val="99"/>
    <w:unhideWhenUsed/>
    <w:rsid w:val="008844C8"/>
    <w:rPr>
      <w:color w:val="00A3E0" w:themeColor="hyperlink"/>
      <w:u w:val="single"/>
    </w:rPr>
  </w:style>
  <w:style w:type="character" w:styleId="Komentraatsauce">
    <w:name w:val="annotation reference"/>
    <w:basedOn w:val="Noklusjumarindkopasfonts"/>
    <w:uiPriority w:val="99"/>
    <w:semiHidden/>
    <w:unhideWhenUsed/>
    <w:rsid w:val="00FF20A2"/>
    <w:rPr>
      <w:sz w:val="16"/>
      <w:szCs w:val="16"/>
    </w:rPr>
  </w:style>
  <w:style w:type="paragraph" w:styleId="Komentrateksts">
    <w:name w:val="annotation text"/>
    <w:basedOn w:val="Parasts"/>
    <w:link w:val="KomentratekstsRakstz"/>
    <w:uiPriority w:val="99"/>
    <w:unhideWhenUsed/>
    <w:rsid w:val="00714F21"/>
    <w:pPr>
      <w:spacing w:line="240" w:lineRule="auto"/>
    </w:pPr>
    <w:rPr>
      <w:sz w:val="20"/>
      <w:szCs w:val="20"/>
    </w:rPr>
  </w:style>
  <w:style w:type="character" w:customStyle="1" w:styleId="KomentratekstsRakstz">
    <w:name w:val="Komentāra teksts Rakstz."/>
    <w:basedOn w:val="Noklusjumarindkopasfonts"/>
    <w:link w:val="Komentrateksts"/>
    <w:uiPriority w:val="99"/>
    <w:rsid w:val="00FF20A2"/>
    <w:rPr>
      <w:sz w:val="20"/>
      <w:szCs w:val="20"/>
    </w:rPr>
  </w:style>
  <w:style w:type="paragraph" w:styleId="Komentratma">
    <w:name w:val="annotation subject"/>
    <w:basedOn w:val="Komentrateksts"/>
    <w:next w:val="Komentrateksts"/>
    <w:link w:val="KomentratmaRakstz"/>
    <w:uiPriority w:val="99"/>
    <w:semiHidden/>
    <w:unhideWhenUsed/>
    <w:rsid w:val="00FF20A2"/>
    <w:rPr>
      <w:b/>
      <w:bCs/>
    </w:rPr>
  </w:style>
  <w:style w:type="character" w:customStyle="1" w:styleId="KomentratmaRakstz">
    <w:name w:val="Komentāra tēma Rakstz."/>
    <w:basedOn w:val="KomentratekstsRakstz"/>
    <w:link w:val="Komentratma"/>
    <w:uiPriority w:val="99"/>
    <w:semiHidden/>
    <w:rsid w:val="00FF20A2"/>
    <w:rPr>
      <w:b/>
      <w:bCs/>
      <w:sz w:val="20"/>
      <w:szCs w:val="20"/>
    </w:rPr>
  </w:style>
  <w:style w:type="paragraph" w:styleId="Balonteksts">
    <w:name w:val="Balloon Text"/>
    <w:basedOn w:val="Parasts"/>
    <w:link w:val="BalontekstsRakstz"/>
    <w:uiPriority w:val="99"/>
    <w:semiHidden/>
    <w:unhideWhenUsed/>
    <w:rsid w:val="00FF20A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F20A2"/>
    <w:rPr>
      <w:rFonts w:ascii="Segoe UI" w:hAnsi="Segoe UI" w:cs="Segoe UI"/>
      <w:sz w:val="18"/>
      <w:szCs w:val="18"/>
    </w:rPr>
  </w:style>
  <w:style w:type="table" w:styleId="Reatabula">
    <w:name w:val="Table Grid"/>
    <w:basedOn w:val="Parastatabula"/>
    <w:uiPriority w:val="39"/>
    <w:rsid w:val="003C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8E03A1"/>
    <w:pPr>
      <w:spacing w:after="0" w:line="240" w:lineRule="auto"/>
    </w:pPr>
  </w:style>
  <w:style w:type="character" w:styleId="Izmantotahipersaite">
    <w:name w:val="FollowedHyperlink"/>
    <w:basedOn w:val="Noklusjumarindkopasfonts"/>
    <w:uiPriority w:val="99"/>
    <w:semiHidden/>
    <w:unhideWhenUsed/>
    <w:rsid w:val="008E03A1"/>
    <w:rPr>
      <w:color w:val="954F72" w:themeColor="followedHyperlink"/>
      <w:u w:val="single"/>
    </w:rPr>
  </w:style>
  <w:style w:type="paragraph" w:styleId="Galvene">
    <w:name w:val="header"/>
    <w:basedOn w:val="Parasts"/>
    <w:link w:val="GalveneRakstz"/>
    <w:uiPriority w:val="99"/>
    <w:unhideWhenUsed/>
    <w:rsid w:val="006F1437"/>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6F1437"/>
  </w:style>
  <w:style w:type="paragraph" w:styleId="Kjene">
    <w:name w:val="footer"/>
    <w:basedOn w:val="Parasts"/>
    <w:link w:val="KjeneRakstz"/>
    <w:uiPriority w:val="99"/>
    <w:unhideWhenUsed/>
    <w:rsid w:val="006F1437"/>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6F1437"/>
  </w:style>
  <w:style w:type="paragraph" w:styleId="Paraststmeklis">
    <w:name w:val="Normal (Web)"/>
    <w:basedOn w:val="Parasts"/>
    <w:uiPriority w:val="99"/>
    <w:semiHidden/>
    <w:unhideWhenUsed/>
    <w:rsid w:val="002C2B54"/>
    <w:rPr>
      <w:rFonts w:ascii="Times New Roman" w:hAnsi="Times New Roman" w:cs="Times New Roman"/>
      <w:sz w:val="24"/>
      <w:szCs w:val="24"/>
    </w:rPr>
  </w:style>
  <w:style w:type="paragraph" w:styleId="Parakstszemobjekta">
    <w:name w:val="caption"/>
    <w:basedOn w:val="Parasts"/>
    <w:next w:val="Parasts"/>
    <w:uiPriority w:val="35"/>
    <w:unhideWhenUsed/>
    <w:qFormat/>
    <w:rsid w:val="002C2B54"/>
    <w:pPr>
      <w:spacing w:after="200" w:line="240" w:lineRule="auto"/>
    </w:pPr>
    <w:rPr>
      <w:i/>
      <w:iCs/>
      <w:color w:val="44546A" w:themeColor="text2"/>
      <w:sz w:val="18"/>
      <w:szCs w:val="18"/>
    </w:rPr>
  </w:style>
  <w:style w:type="character" w:customStyle="1" w:styleId="Virsraksts3Rakstz">
    <w:name w:val="Virsraksts 3 Rakstz."/>
    <w:basedOn w:val="Noklusjumarindkopasfonts"/>
    <w:link w:val="Virsraksts3"/>
    <w:uiPriority w:val="9"/>
    <w:rsid w:val="00382259"/>
    <w:rPr>
      <w:rFonts w:asciiTheme="majorHAnsi" w:eastAsiaTheme="majorEastAsia" w:hAnsiTheme="majorHAnsi" w:cstheme="majorBidi"/>
      <w:color w:val="425D12" w:themeColor="accent1" w:themeShade="7F"/>
      <w:sz w:val="24"/>
      <w:szCs w:val="24"/>
    </w:rPr>
  </w:style>
  <w:style w:type="paragraph" w:styleId="Saturs3">
    <w:name w:val="toc 3"/>
    <w:basedOn w:val="Parasts"/>
    <w:next w:val="Parasts"/>
    <w:autoRedefine/>
    <w:uiPriority w:val="39"/>
    <w:unhideWhenUsed/>
    <w:rsid w:val="001840D0"/>
    <w:pPr>
      <w:spacing w:after="100"/>
      <w:ind w:left="440"/>
    </w:pPr>
  </w:style>
  <w:style w:type="table" w:styleId="Sarakstatabula2-izclums6">
    <w:name w:val="List Table 2 Accent 6"/>
    <w:basedOn w:val="Parastatabula"/>
    <w:uiPriority w:val="47"/>
    <w:rsid w:val="0048711E"/>
    <w:pPr>
      <w:spacing w:after="0"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paragraph" w:styleId="Vresteksts">
    <w:name w:val="footnote text"/>
    <w:basedOn w:val="Parasts"/>
    <w:link w:val="VrestekstsRakstz"/>
    <w:uiPriority w:val="99"/>
    <w:semiHidden/>
    <w:unhideWhenUsed/>
    <w:rsid w:val="0048711E"/>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48711E"/>
    <w:rPr>
      <w:sz w:val="20"/>
      <w:szCs w:val="20"/>
    </w:rPr>
  </w:style>
  <w:style w:type="character" w:styleId="Vresatsauce">
    <w:name w:val="footnote reference"/>
    <w:basedOn w:val="Noklusjumarindkopasfonts"/>
    <w:uiPriority w:val="99"/>
    <w:semiHidden/>
    <w:unhideWhenUsed/>
    <w:rsid w:val="0048711E"/>
    <w:rPr>
      <w:vertAlign w:val="superscript"/>
    </w:rPr>
  </w:style>
  <w:style w:type="character" w:customStyle="1" w:styleId="Mention1">
    <w:name w:val="Mention1"/>
    <w:basedOn w:val="Noklusjumarindkopasfonts"/>
    <w:uiPriority w:val="99"/>
    <w:unhideWhenUsed/>
    <w:rsid w:val="00352E90"/>
    <w:rPr>
      <w:color w:val="2B579A"/>
      <w:shd w:val="clear" w:color="auto" w:fill="E6E6E6"/>
    </w:rPr>
  </w:style>
  <w:style w:type="character" w:customStyle="1" w:styleId="normaltextrun">
    <w:name w:val="normaltextrun"/>
    <w:basedOn w:val="Noklusjumarindkopasfonts"/>
    <w:rsid w:val="00A51DA5"/>
  </w:style>
  <w:style w:type="paragraph" w:customStyle="1" w:styleId="paragraph">
    <w:name w:val="paragraph"/>
    <w:basedOn w:val="Parasts"/>
    <w:rsid w:val="00A51DA5"/>
    <w:pPr>
      <w:spacing w:before="100" w:beforeAutospacing="1" w:after="100" w:afterAutospacing="1" w:line="240" w:lineRule="auto"/>
    </w:pPr>
    <w:rPr>
      <w:rFonts w:ascii="Times New Roman" w:eastAsia="Times New Roman" w:hAnsi="Times New Roman" w:cs="Times New Roman"/>
      <w:sz w:val="24"/>
      <w:szCs w:val="24"/>
    </w:rPr>
  </w:style>
  <w:style w:type="character" w:styleId="HTMLcitts">
    <w:name w:val="HTML Cite"/>
    <w:basedOn w:val="Noklusjumarindkopasfonts"/>
    <w:uiPriority w:val="99"/>
    <w:semiHidden/>
    <w:unhideWhenUsed/>
    <w:rsid w:val="00212AC0"/>
    <w:rPr>
      <w:i/>
      <w:iCs/>
    </w:rPr>
  </w:style>
  <w:style w:type="paragraph" w:styleId="Sarakstaaizzme4">
    <w:name w:val="List Bullet 4"/>
    <w:basedOn w:val="Parasts"/>
    <w:uiPriority w:val="99"/>
    <w:unhideWhenUsed/>
    <w:qFormat/>
    <w:rsid w:val="00DC34F8"/>
    <w:pPr>
      <w:tabs>
        <w:tab w:val="num" w:pos="1382"/>
      </w:tabs>
      <w:spacing w:after="120" w:line="240" w:lineRule="auto"/>
      <w:ind w:left="1382" w:hanging="345"/>
    </w:pPr>
    <w:rPr>
      <w:sz w:val="20"/>
      <w:szCs w:val="20"/>
    </w:rPr>
  </w:style>
  <w:style w:type="paragraph" w:customStyle="1" w:styleId="tv213">
    <w:name w:val="tv213"/>
    <w:basedOn w:val="Parasts"/>
    <w:rsid w:val="008150A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iemint1">
    <w:name w:val="Pieminēt1"/>
    <w:basedOn w:val="Noklusjumarindkopasfonts"/>
    <w:uiPriority w:val="99"/>
    <w:unhideWhenUsed/>
    <w:rPr>
      <w:color w:val="2B579A"/>
      <w:shd w:val="clear" w:color="auto" w:fill="E6E6E6"/>
    </w:rPr>
  </w:style>
  <w:style w:type="paragraph" w:customStyle="1" w:styleId="CM1">
    <w:name w:val="CM1"/>
    <w:basedOn w:val="Default"/>
    <w:next w:val="Default"/>
    <w:uiPriority w:val="99"/>
    <w:rsid w:val="000E6FFD"/>
    <w:rPr>
      <w:rFonts w:ascii="EUAlbertina" w:hAnsi="EUAlbertina" w:cstheme="minorBidi"/>
      <w:color w:val="auto"/>
    </w:rPr>
  </w:style>
  <w:style w:type="paragraph" w:customStyle="1" w:styleId="CM3">
    <w:name w:val="CM3"/>
    <w:basedOn w:val="Default"/>
    <w:next w:val="Default"/>
    <w:uiPriority w:val="99"/>
    <w:rsid w:val="000E6FFD"/>
    <w:rPr>
      <w:rFonts w:ascii="EUAlbertina" w:hAnsi="EUAlbertina" w:cstheme="minorBidi"/>
      <w:color w:val="auto"/>
    </w:rPr>
  </w:style>
  <w:style w:type="paragraph" w:customStyle="1" w:styleId="CM19">
    <w:name w:val="CM1+9"/>
    <w:basedOn w:val="Parasts"/>
    <w:next w:val="Parasts"/>
    <w:uiPriority w:val="99"/>
    <w:rsid w:val="00AB0EF0"/>
    <w:pPr>
      <w:autoSpaceDE w:val="0"/>
      <w:autoSpaceDN w:val="0"/>
      <w:adjustRightInd w:val="0"/>
      <w:spacing w:after="0" w:line="240" w:lineRule="auto"/>
    </w:pPr>
    <w:rPr>
      <w:rFonts w:ascii="EUAlbertina" w:hAnsi="EUAlbertina"/>
      <w:sz w:val="24"/>
      <w:szCs w:val="24"/>
    </w:rPr>
  </w:style>
  <w:style w:type="paragraph" w:customStyle="1" w:styleId="CM39">
    <w:name w:val="CM3+9"/>
    <w:basedOn w:val="Parasts"/>
    <w:next w:val="Parasts"/>
    <w:uiPriority w:val="99"/>
    <w:rsid w:val="00AB0EF0"/>
    <w:pPr>
      <w:autoSpaceDE w:val="0"/>
      <w:autoSpaceDN w:val="0"/>
      <w:adjustRightInd w:val="0"/>
      <w:spacing w:after="0" w:line="240" w:lineRule="auto"/>
    </w:pPr>
    <w:rPr>
      <w:rFonts w:ascii="EUAlbertina" w:hAnsi="EUAlbertina"/>
      <w:sz w:val="24"/>
      <w:szCs w:val="24"/>
    </w:rPr>
  </w:style>
  <w:style w:type="paragraph" w:customStyle="1" w:styleId="CM49">
    <w:name w:val="CM4+9"/>
    <w:basedOn w:val="Parasts"/>
    <w:next w:val="Parasts"/>
    <w:uiPriority w:val="99"/>
    <w:rsid w:val="00AB0EF0"/>
    <w:pPr>
      <w:autoSpaceDE w:val="0"/>
      <w:autoSpaceDN w:val="0"/>
      <w:adjustRightInd w:val="0"/>
      <w:spacing w:after="0" w:line="240" w:lineRule="auto"/>
    </w:pPr>
    <w:rPr>
      <w:rFonts w:ascii="EUAlbertina" w:hAnsi="EUAlbertina"/>
      <w:sz w:val="24"/>
      <w:szCs w:val="24"/>
    </w:rPr>
  </w:style>
  <w:style w:type="paragraph" w:customStyle="1" w:styleId="CM4">
    <w:name w:val="CM4"/>
    <w:basedOn w:val="Default"/>
    <w:next w:val="Default"/>
    <w:uiPriority w:val="99"/>
    <w:rsid w:val="00C12286"/>
    <w:rPr>
      <w:rFonts w:ascii="EUAlbertina" w:hAnsi="EUAlbertina" w:cstheme="minorBidi"/>
      <w:color w:val="auto"/>
    </w:rPr>
  </w:style>
  <w:style w:type="character" w:customStyle="1" w:styleId="spellingerror">
    <w:name w:val="spellingerror"/>
    <w:basedOn w:val="Noklusjumarindkopasfonts"/>
    <w:rsid w:val="00562B8A"/>
  </w:style>
  <w:style w:type="character" w:customStyle="1" w:styleId="eop">
    <w:name w:val="eop"/>
    <w:basedOn w:val="Noklusjumarindkopasfonts"/>
    <w:rsid w:val="00562B8A"/>
  </w:style>
  <w:style w:type="character" w:styleId="Vietturateksts">
    <w:name w:val="Placeholder Text"/>
    <w:basedOn w:val="Noklusjumarindkopasfonts"/>
    <w:uiPriority w:val="99"/>
    <w:semiHidden/>
    <w:rsid w:val="00FD04D7"/>
    <w:rPr>
      <w:color w:val="808080"/>
    </w:rPr>
  </w:style>
  <w:style w:type="paragraph" w:styleId="Beiguvresteksts">
    <w:name w:val="endnote text"/>
    <w:basedOn w:val="Parasts"/>
    <w:link w:val="BeiguvrestekstsRakstz"/>
    <w:uiPriority w:val="99"/>
    <w:semiHidden/>
    <w:unhideWhenUsed/>
    <w:rsid w:val="00500E6B"/>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00E6B"/>
    <w:rPr>
      <w:sz w:val="20"/>
      <w:szCs w:val="20"/>
    </w:rPr>
  </w:style>
  <w:style w:type="character" w:styleId="Beiguvresatsauce">
    <w:name w:val="endnote reference"/>
    <w:basedOn w:val="Noklusjumarindkopasfonts"/>
    <w:uiPriority w:val="99"/>
    <w:semiHidden/>
    <w:unhideWhenUsed/>
    <w:rsid w:val="00500E6B"/>
    <w:rPr>
      <w:vertAlign w:val="superscript"/>
    </w:rPr>
  </w:style>
  <w:style w:type="character" w:styleId="Izclums">
    <w:name w:val="Emphasis"/>
    <w:basedOn w:val="Noklusjumarindkopasfonts"/>
    <w:uiPriority w:val="20"/>
    <w:qFormat/>
    <w:rsid w:val="002452BD"/>
    <w:rPr>
      <w:i/>
      <w:iCs/>
    </w:rPr>
  </w:style>
  <w:style w:type="character" w:styleId="Neatrisintapieminana">
    <w:name w:val="Unresolved Mention"/>
    <w:basedOn w:val="Noklusjumarindkopasfonts"/>
    <w:uiPriority w:val="99"/>
    <w:semiHidden/>
    <w:unhideWhenUsed/>
    <w:rsid w:val="00713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98773">
      <w:bodyDiv w:val="1"/>
      <w:marLeft w:val="0"/>
      <w:marRight w:val="0"/>
      <w:marTop w:val="0"/>
      <w:marBottom w:val="0"/>
      <w:divBdr>
        <w:top w:val="none" w:sz="0" w:space="0" w:color="auto"/>
        <w:left w:val="none" w:sz="0" w:space="0" w:color="auto"/>
        <w:bottom w:val="none" w:sz="0" w:space="0" w:color="auto"/>
        <w:right w:val="none" w:sz="0" w:space="0" w:color="auto"/>
      </w:divBdr>
    </w:div>
    <w:div w:id="267743206">
      <w:bodyDiv w:val="1"/>
      <w:marLeft w:val="0"/>
      <w:marRight w:val="0"/>
      <w:marTop w:val="0"/>
      <w:marBottom w:val="0"/>
      <w:divBdr>
        <w:top w:val="none" w:sz="0" w:space="0" w:color="auto"/>
        <w:left w:val="none" w:sz="0" w:space="0" w:color="auto"/>
        <w:bottom w:val="none" w:sz="0" w:space="0" w:color="auto"/>
        <w:right w:val="none" w:sz="0" w:space="0" w:color="auto"/>
      </w:divBdr>
      <w:divsChild>
        <w:div w:id="1635866575">
          <w:marLeft w:val="274"/>
          <w:marRight w:val="0"/>
          <w:marTop w:val="0"/>
          <w:marBottom w:val="120"/>
          <w:divBdr>
            <w:top w:val="none" w:sz="0" w:space="0" w:color="auto"/>
            <w:left w:val="none" w:sz="0" w:space="0" w:color="auto"/>
            <w:bottom w:val="none" w:sz="0" w:space="0" w:color="auto"/>
            <w:right w:val="none" w:sz="0" w:space="0" w:color="auto"/>
          </w:divBdr>
        </w:div>
        <w:div w:id="1232811903">
          <w:marLeft w:val="274"/>
          <w:marRight w:val="0"/>
          <w:marTop w:val="0"/>
          <w:marBottom w:val="120"/>
          <w:divBdr>
            <w:top w:val="none" w:sz="0" w:space="0" w:color="auto"/>
            <w:left w:val="none" w:sz="0" w:space="0" w:color="auto"/>
            <w:bottom w:val="none" w:sz="0" w:space="0" w:color="auto"/>
            <w:right w:val="none" w:sz="0" w:space="0" w:color="auto"/>
          </w:divBdr>
        </w:div>
      </w:divsChild>
    </w:div>
    <w:div w:id="357783010">
      <w:bodyDiv w:val="1"/>
      <w:marLeft w:val="0"/>
      <w:marRight w:val="0"/>
      <w:marTop w:val="0"/>
      <w:marBottom w:val="0"/>
      <w:divBdr>
        <w:top w:val="none" w:sz="0" w:space="0" w:color="auto"/>
        <w:left w:val="none" w:sz="0" w:space="0" w:color="auto"/>
        <w:bottom w:val="none" w:sz="0" w:space="0" w:color="auto"/>
        <w:right w:val="none" w:sz="0" w:space="0" w:color="auto"/>
      </w:divBdr>
      <w:divsChild>
        <w:div w:id="1762801775">
          <w:marLeft w:val="274"/>
          <w:marRight w:val="0"/>
          <w:marTop w:val="0"/>
          <w:marBottom w:val="267"/>
          <w:divBdr>
            <w:top w:val="none" w:sz="0" w:space="0" w:color="auto"/>
            <w:left w:val="none" w:sz="0" w:space="0" w:color="auto"/>
            <w:bottom w:val="none" w:sz="0" w:space="0" w:color="auto"/>
            <w:right w:val="none" w:sz="0" w:space="0" w:color="auto"/>
          </w:divBdr>
        </w:div>
        <w:div w:id="495152648">
          <w:marLeft w:val="749"/>
          <w:marRight w:val="0"/>
          <w:marTop w:val="0"/>
          <w:marBottom w:val="267"/>
          <w:divBdr>
            <w:top w:val="none" w:sz="0" w:space="0" w:color="auto"/>
            <w:left w:val="none" w:sz="0" w:space="0" w:color="auto"/>
            <w:bottom w:val="none" w:sz="0" w:space="0" w:color="auto"/>
            <w:right w:val="none" w:sz="0" w:space="0" w:color="auto"/>
          </w:divBdr>
        </w:div>
        <w:div w:id="1408191067">
          <w:marLeft w:val="749"/>
          <w:marRight w:val="0"/>
          <w:marTop w:val="0"/>
          <w:marBottom w:val="267"/>
          <w:divBdr>
            <w:top w:val="none" w:sz="0" w:space="0" w:color="auto"/>
            <w:left w:val="none" w:sz="0" w:space="0" w:color="auto"/>
            <w:bottom w:val="none" w:sz="0" w:space="0" w:color="auto"/>
            <w:right w:val="none" w:sz="0" w:space="0" w:color="auto"/>
          </w:divBdr>
        </w:div>
        <w:div w:id="612444682">
          <w:marLeft w:val="274"/>
          <w:marRight w:val="0"/>
          <w:marTop w:val="0"/>
          <w:marBottom w:val="267"/>
          <w:divBdr>
            <w:top w:val="none" w:sz="0" w:space="0" w:color="auto"/>
            <w:left w:val="none" w:sz="0" w:space="0" w:color="auto"/>
            <w:bottom w:val="none" w:sz="0" w:space="0" w:color="auto"/>
            <w:right w:val="none" w:sz="0" w:space="0" w:color="auto"/>
          </w:divBdr>
        </w:div>
        <w:div w:id="2079132912">
          <w:marLeft w:val="749"/>
          <w:marRight w:val="0"/>
          <w:marTop w:val="0"/>
          <w:marBottom w:val="267"/>
          <w:divBdr>
            <w:top w:val="none" w:sz="0" w:space="0" w:color="auto"/>
            <w:left w:val="none" w:sz="0" w:space="0" w:color="auto"/>
            <w:bottom w:val="none" w:sz="0" w:space="0" w:color="auto"/>
            <w:right w:val="none" w:sz="0" w:space="0" w:color="auto"/>
          </w:divBdr>
        </w:div>
        <w:div w:id="1748458216">
          <w:marLeft w:val="749"/>
          <w:marRight w:val="0"/>
          <w:marTop w:val="0"/>
          <w:marBottom w:val="267"/>
          <w:divBdr>
            <w:top w:val="none" w:sz="0" w:space="0" w:color="auto"/>
            <w:left w:val="none" w:sz="0" w:space="0" w:color="auto"/>
            <w:bottom w:val="none" w:sz="0" w:space="0" w:color="auto"/>
            <w:right w:val="none" w:sz="0" w:space="0" w:color="auto"/>
          </w:divBdr>
        </w:div>
      </w:divsChild>
    </w:div>
    <w:div w:id="380713193">
      <w:bodyDiv w:val="1"/>
      <w:marLeft w:val="0"/>
      <w:marRight w:val="0"/>
      <w:marTop w:val="0"/>
      <w:marBottom w:val="0"/>
      <w:divBdr>
        <w:top w:val="none" w:sz="0" w:space="0" w:color="auto"/>
        <w:left w:val="none" w:sz="0" w:space="0" w:color="auto"/>
        <w:bottom w:val="none" w:sz="0" w:space="0" w:color="auto"/>
        <w:right w:val="none" w:sz="0" w:space="0" w:color="auto"/>
      </w:divBdr>
      <w:divsChild>
        <w:div w:id="1541897760">
          <w:marLeft w:val="0"/>
          <w:marRight w:val="0"/>
          <w:marTop w:val="0"/>
          <w:marBottom w:val="0"/>
          <w:divBdr>
            <w:top w:val="none" w:sz="0" w:space="0" w:color="auto"/>
            <w:left w:val="none" w:sz="0" w:space="0" w:color="auto"/>
            <w:bottom w:val="none" w:sz="0" w:space="0" w:color="auto"/>
            <w:right w:val="none" w:sz="0" w:space="0" w:color="auto"/>
          </w:divBdr>
        </w:div>
        <w:div w:id="1396707753">
          <w:marLeft w:val="45"/>
          <w:marRight w:val="45"/>
          <w:marTop w:val="15"/>
          <w:marBottom w:val="0"/>
          <w:divBdr>
            <w:top w:val="none" w:sz="0" w:space="0" w:color="auto"/>
            <w:left w:val="none" w:sz="0" w:space="0" w:color="auto"/>
            <w:bottom w:val="none" w:sz="0" w:space="0" w:color="auto"/>
            <w:right w:val="none" w:sz="0" w:space="0" w:color="auto"/>
          </w:divBdr>
          <w:divsChild>
            <w:div w:id="6368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1760">
      <w:bodyDiv w:val="1"/>
      <w:marLeft w:val="0"/>
      <w:marRight w:val="0"/>
      <w:marTop w:val="0"/>
      <w:marBottom w:val="0"/>
      <w:divBdr>
        <w:top w:val="none" w:sz="0" w:space="0" w:color="auto"/>
        <w:left w:val="none" w:sz="0" w:space="0" w:color="auto"/>
        <w:bottom w:val="none" w:sz="0" w:space="0" w:color="auto"/>
        <w:right w:val="none" w:sz="0" w:space="0" w:color="auto"/>
      </w:divBdr>
      <w:divsChild>
        <w:div w:id="1613510971">
          <w:marLeft w:val="274"/>
          <w:marRight w:val="0"/>
          <w:marTop w:val="0"/>
          <w:marBottom w:val="267"/>
          <w:divBdr>
            <w:top w:val="none" w:sz="0" w:space="0" w:color="auto"/>
            <w:left w:val="none" w:sz="0" w:space="0" w:color="auto"/>
            <w:bottom w:val="none" w:sz="0" w:space="0" w:color="auto"/>
            <w:right w:val="none" w:sz="0" w:space="0" w:color="auto"/>
          </w:divBdr>
        </w:div>
        <w:div w:id="901062220">
          <w:marLeft w:val="274"/>
          <w:marRight w:val="0"/>
          <w:marTop w:val="0"/>
          <w:marBottom w:val="267"/>
          <w:divBdr>
            <w:top w:val="none" w:sz="0" w:space="0" w:color="auto"/>
            <w:left w:val="none" w:sz="0" w:space="0" w:color="auto"/>
            <w:bottom w:val="none" w:sz="0" w:space="0" w:color="auto"/>
            <w:right w:val="none" w:sz="0" w:space="0" w:color="auto"/>
          </w:divBdr>
        </w:div>
        <w:div w:id="1666738840">
          <w:marLeft w:val="274"/>
          <w:marRight w:val="0"/>
          <w:marTop w:val="0"/>
          <w:marBottom w:val="267"/>
          <w:divBdr>
            <w:top w:val="none" w:sz="0" w:space="0" w:color="auto"/>
            <w:left w:val="none" w:sz="0" w:space="0" w:color="auto"/>
            <w:bottom w:val="none" w:sz="0" w:space="0" w:color="auto"/>
            <w:right w:val="none" w:sz="0" w:space="0" w:color="auto"/>
          </w:divBdr>
        </w:div>
        <w:div w:id="992949612">
          <w:marLeft w:val="274"/>
          <w:marRight w:val="0"/>
          <w:marTop w:val="0"/>
          <w:marBottom w:val="267"/>
          <w:divBdr>
            <w:top w:val="none" w:sz="0" w:space="0" w:color="auto"/>
            <w:left w:val="none" w:sz="0" w:space="0" w:color="auto"/>
            <w:bottom w:val="none" w:sz="0" w:space="0" w:color="auto"/>
            <w:right w:val="none" w:sz="0" w:space="0" w:color="auto"/>
          </w:divBdr>
        </w:div>
        <w:div w:id="8458745">
          <w:marLeft w:val="274"/>
          <w:marRight w:val="0"/>
          <w:marTop w:val="0"/>
          <w:marBottom w:val="267"/>
          <w:divBdr>
            <w:top w:val="none" w:sz="0" w:space="0" w:color="auto"/>
            <w:left w:val="none" w:sz="0" w:space="0" w:color="auto"/>
            <w:bottom w:val="none" w:sz="0" w:space="0" w:color="auto"/>
            <w:right w:val="none" w:sz="0" w:space="0" w:color="auto"/>
          </w:divBdr>
        </w:div>
      </w:divsChild>
    </w:div>
    <w:div w:id="436483903">
      <w:bodyDiv w:val="1"/>
      <w:marLeft w:val="0"/>
      <w:marRight w:val="0"/>
      <w:marTop w:val="0"/>
      <w:marBottom w:val="0"/>
      <w:divBdr>
        <w:top w:val="none" w:sz="0" w:space="0" w:color="auto"/>
        <w:left w:val="none" w:sz="0" w:space="0" w:color="auto"/>
        <w:bottom w:val="none" w:sz="0" w:space="0" w:color="auto"/>
        <w:right w:val="none" w:sz="0" w:space="0" w:color="auto"/>
      </w:divBdr>
      <w:divsChild>
        <w:div w:id="1897277656">
          <w:marLeft w:val="274"/>
          <w:marRight w:val="0"/>
          <w:marTop w:val="0"/>
          <w:marBottom w:val="267"/>
          <w:divBdr>
            <w:top w:val="none" w:sz="0" w:space="0" w:color="auto"/>
            <w:left w:val="none" w:sz="0" w:space="0" w:color="auto"/>
            <w:bottom w:val="none" w:sz="0" w:space="0" w:color="auto"/>
            <w:right w:val="none" w:sz="0" w:space="0" w:color="auto"/>
          </w:divBdr>
        </w:div>
        <w:div w:id="349721148">
          <w:marLeft w:val="274"/>
          <w:marRight w:val="0"/>
          <w:marTop w:val="0"/>
          <w:marBottom w:val="267"/>
          <w:divBdr>
            <w:top w:val="none" w:sz="0" w:space="0" w:color="auto"/>
            <w:left w:val="none" w:sz="0" w:space="0" w:color="auto"/>
            <w:bottom w:val="none" w:sz="0" w:space="0" w:color="auto"/>
            <w:right w:val="none" w:sz="0" w:space="0" w:color="auto"/>
          </w:divBdr>
        </w:div>
        <w:div w:id="280887800">
          <w:marLeft w:val="274"/>
          <w:marRight w:val="0"/>
          <w:marTop w:val="0"/>
          <w:marBottom w:val="267"/>
          <w:divBdr>
            <w:top w:val="none" w:sz="0" w:space="0" w:color="auto"/>
            <w:left w:val="none" w:sz="0" w:space="0" w:color="auto"/>
            <w:bottom w:val="none" w:sz="0" w:space="0" w:color="auto"/>
            <w:right w:val="none" w:sz="0" w:space="0" w:color="auto"/>
          </w:divBdr>
        </w:div>
      </w:divsChild>
    </w:div>
    <w:div w:id="482738912">
      <w:bodyDiv w:val="1"/>
      <w:marLeft w:val="0"/>
      <w:marRight w:val="0"/>
      <w:marTop w:val="0"/>
      <w:marBottom w:val="0"/>
      <w:divBdr>
        <w:top w:val="none" w:sz="0" w:space="0" w:color="auto"/>
        <w:left w:val="none" w:sz="0" w:space="0" w:color="auto"/>
        <w:bottom w:val="none" w:sz="0" w:space="0" w:color="auto"/>
        <w:right w:val="none" w:sz="0" w:space="0" w:color="auto"/>
      </w:divBdr>
    </w:div>
    <w:div w:id="666321286">
      <w:bodyDiv w:val="1"/>
      <w:marLeft w:val="0"/>
      <w:marRight w:val="0"/>
      <w:marTop w:val="0"/>
      <w:marBottom w:val="0"/>
      <w:divBdr>
        <w:top w:val="none" w:sz="0" w:space="0" w:color="auto"/>
        <w:left w:val="none" w:sz="0" w:space="0" w:color="auto"/>
        <w:bottom w:val="none" w:sz="0" w:space="0" w:color="auto"/>
        <w:right w:val="none" w:sz="0" w:space="0" w:color="auto"/>
      </w:divBdr>
    </w:div>
    <w:div w:id="750590569">
      <w:bodyDiv w:val="1"/>
      <w:marLeft w:val="0"/>
      <w:marRight w:val="0"/>
      <w:marTop w:val="0"/>
      <w:marBottom w:val="0"/>
      <w:divBdr>
        <w:top w:val="none" w:sz="0" w:space="0" w:color="auto"/>
        <w:left w:val="none" w:sz="0" w:space="0" w:color="auto"/>
        <w:bottom w:val="none" w:sz="0" w:space="0" w:color="auto"/>
        <w:right w:val="none" w:sz="0" w:space="0" w:color="auto"/>
      </w:divBdr>
    </w:div>
    <w:div w:id="752506618">
      <w:bodyDiv w:val="1"/>
      <w:marLeft w:val="0"/>
      <w:marRight w:val="0"/>
      <w:marTop w:val="0"/>
      <w:marBottom w:val="0"/>
      <w:divBdr>
        <w:top w:val="none" w:sz="0" w:space="0" w:color="auto"/>
        <w:left w:val="none" w:sz="0" w:space="0" w:color="auto"/>
        <w:bottom w:val="none" w:sz="0" w:space="0" w:color="auto"/>
        <w:right w:val="none" w:sz="0" w:space="0" w:color="auto"/>
      </w:divBdr>
      <w:divsChild>
        <w:div w:id="1907064620">
          <w:marLeft w:val="274"/>
          <w:marRight w:val="0"/>
          <w:marTop w:val="0"/>
          <w:marBottom w:val="120"/>
          <w:divBdr>
            <w:top w:val="none" w:sz="0" w:space="0" w:color="auto"/>
            <w:left w:val="none" w:sz="0" w:space="0" w:color="auto"/>
            <w:bottom w:val="none" w:sz="0" w:space="0" w:color="auto"/>
            <w:right w:val="none" w:sz="0" w:space="0" w:color="auto"/>
          </w:divBdr>
        </w:div>
        <w:div w:id="398476789">
          <w:marLeft w:val="274"/>
          <w:marRight w:val="0"/>
          <w:marTop w:val="0"/>
          <w:marBottom w:val="120"/>
          <w:divBdr>
            <w:top w:val="none" w:sz="0" w:space="0" w:color="auto"/>
            <w:left w:val="none" w:sz="0" w:space="0" w:color="auto"/>
            <w:bottom w:val="none" w:sz="0" w:space="0" w:color="auto"/>
            <w:right w:val="none" w:sz="0" w:space="0" w:color="auto"/>
          </w:divBdr>
        </w:div>
        <w:div w:id="1947158344">
          <w:marLeft w:val="274"/>
          <w:marRight w:val="0"/>
          <w:marTop w:val="0"/>
          <w:marBottom w:val="120"/>
          <w:divBdr>
            <w:top w:val="none" w:sz="0" w:space="0" w:color="auto"/>
            <w:left w:val="none" w:sz="0" w:space="0" w:color="auto"/>
            <w:bottom w:val="none" w:sz="0" w:space="0" w:color="auto"/>
            <w:right w:val="none" w:sz="0" w:space="0" w:color="auto"/>
          </w:divBdr>
        </w:div>
        <w:div w:id="389041682">
          <w:marLeft w:val="274"/>
          <w:marRight w:val="0"/>
          <w:marTop w:val="0"/>
          <w:marBottom w:val="120"/>
          <w:divBdr>
            <w:top w:val="none" w:sz="0" w:space="0" w:color="auto"/>
            <w:left w:val="none" w:sz="0" w:space="0" w:color="auto"/>
            <w:bottom w:val="none" w:sz="0" w:space="0" w:color="auto"/>
            <w:right w:val="none" w:sz="0" w:space="0" w:color="auto"/>
          </w:divBdr>
        </w:div>
      </w:divsChild>
    </w:div>
    <w:div w:id="761605034">
      <w:bodyDiv w:val="1"/>
      <w:marLeft w:val="0"/>
      <w:marRight w:val="0"/>
      <w:marTop w:val="0"/>
      <w:marBottom w:val="0"/>
      <w:divBdr>
        <w:top w:val="none" w:sz="0" w:space="0" w:color="auto"/>
        <w:left w:val="none" w:sz="0" w:space="0" w:color="auto"/>
        <w:bottom w:val="none" w:sz="0" w:space="0" w:color="auto"/>
        <w:right w:val="none" w:sz="0" w:space="0" w:color="auto"/>
      </w:divBdr>
    </w:div>
    <w:div w:id="881862823">
      <w:bodyDiv w:val="1"/>
      <w:marLeft w:val="0"/>
      <w:marRight w:val="0"/>
      <w:marTop w:val="0"/>
      <w:marBottom w:val="0"/>
      <w:divBdr>
        <w:top w:val="none" w:sz="0" w:space="0" w:color="auto"/>
        <w:left w:val="none" w:sz="0" w:space="0" w:color="auto"/>
        <w:bottom w:val="none" w:sz="0" w:space="0" w:color="auto"/>
        <w:right w:val="none" w:sz="0" w:space="0" w:color="auto"/>
      </w:divBdr>
    </w:div>
    <w:div w:id="906768563">
      <w:bodyDiv w:val="1"/>
      <w:marLeft w:val="0"/>
      <w:marRight w:val="0"/>
      <w:marTop w:val="0"/>
      <w:marBottom w:val="0"/>
      <w:divBdr>
        <w:top w:val="none" w:sz="0" w:space="0" w:color="auto"/>
        <w:left w:val="none" w:sz="0" w:space="0" w:color="auto"/>
        <w:bottom w:val="none" w:sz="0" w:space="0" w:color="auto"/>
        <w:right w:val="none" w:sz="0" w:space="0" w:color="auto"/>
      </w:divBdr>
    </w:div>
    <w:div w:id="1106190618">
      <w:bodyDiv w:val="1"/>
      <w:marLeft w:val="0"/>
      <w:marRight w:val="0"/>
      <w:marTop w:val="0"/>
      <w:marBottom w:val="0"/>
      <w:divBdr>
        <w:top w:val="none" w:sz="0" w:space="0" w:color="auto"/>
        <w:left w:val="none" w:sz="0" w:space="0" w:color="auto"/>
        <w:bottom w:val="none" w:sz="0" w:space="0" w:color="auto"/>
        <w:right w:val="none" w:sz="0" w:space="0" w:color="auto"/>
      </w:divBdr>
    </w:div>
    <w:div w:id="1109666003">
      <w:bodyDiv w:val="1"/>
      <w:marLeft w:val="0"/>
      <w:marRight w:val="0"/>
      <w:marTop w:val="0"/>
      <w:marBottom w:val="0"/>
      <w:divBdr>
        <w:top w:val="none" w:sz="0" w:space="0" w:color="auto"/>
        <w:left w:val="none" w:sz="0" w:space="0" w:color="auto"/>
        <w:bottom w:val="none" w:sz="0" w:space="0" w:color="auto"/>
        <w:right w:val="none" w:sz="0" w:space="0" w:color="auto"/>
      </w:divBdr>
      <w:divsChild>
        <w:div w:id="1964535885">
          <w:marLeft w:val="274"/>
          <w:marRight w:val="0"/>
          <w:marTop w:val="0"/>
          <w:marBottom w:val="267"/>
          <w:divBdr>
            <w:top w:val="none" w:sz="0" w:space="0" w:color="auto"/>
            <w:left w:val="none" w:sz="0" w:space="0" w:color="auto"/>
            <w:bottom w:val="none" w:sz="0" w:space="0" w:color="auto"/>
            <w:right w:val="none" w:sz="0" w:space="0" w:color="auto"/>
          </w:divBdr>
        </w:div>
        <w:div w:id="1516503340">
          <w:marLeft w:val="274"/>
          <w:marRight w:val="0"/>
          <w:marTop w:val="0"/>
          <w:marBottom w:val="267"/>
          <w:divBdr>
            <w:top w:val="none" w:sz="0" w:space="0" w:color="auto"/>
            <w:left w:val="none" w:sz="0" w:space="0" w:color="auto"/>
            <w:bottom w:val="none" w:sz="0" w:space="0" w:color="auto"/>
            <w:right w:val="none" w:sz="0" w:space="0" w:color="auto"/>
          </w:divBdr>
        </w:div>
        <w:div w:id="1333484402">
          <w:marLeft w:val="274"/>
          <w:marRight w:val="0"/>
          <w:marTop w:val="0"/>
          <w:marBottom w:val="267"/>
          <w:divBdr>
            <w:top w:val="none" w:sz="0" w:space="0" w:color="auto"/>
            <w:left w:val="none" w:sz="0" w:space="0" w:color="auto"/>
            <w:bottom w:val="none" w:sz="0" w:space="0" w:color="auto"/>
            <w:right w:val="none" w:sz="0" w:space="0" w:color="auto"/>
          </w:divBdr>
        </w:div>
      </w:divsChild>
    </w:div>
    <w:div w:id="1251551015">
      <w:bodyDiv w:val="1"/>
      <w:marLeft w:val="0"/>
      <w:marRight w:val="0"/>
      <w:marTop w:val="0"/>
      <w:marBottom w:val="0"/>
      <w:divBdr>
        <w:top w:val="none" w:sz="0" w:space="0" w:color="auto"/>
        <w:left w:val="none" w:sz="0" w:space="0" w:color="auto"/>
        <w:bottom w:val="none" w:sz="0" w:space="0" w:color="auto"/>
        <w:right w:val="none" w:sz="0" w:space="0" w:color="auto"/>
      </w:divBdr>
    </w:div>
    <w:div w:id="1258053886">
      <w:bodyDiv w:val="1"/>
      <w:marLeft w:val="0"/>
      <w:marRight w:val="0"/>
      <w:marTop w:val="0"/>
      <w:marBottom w:val="0"/>
      <w:divBdr>
        <w:top w:val="none" w:sz="0" w:space="0" w:color="auto"/>
        <w:left w:val="none" w:sz="0" w:space="0" w:color="auto"/>
        <w:bottom w:val="none" w:sz="0" w:space="0" w:color="auto"/>
        <w:right w:val="none" w:sz="0" w:space="0" w:color="auto"/>
      </w:divBdr>
    </w:div>
    <w:div w:id="1300693155">
      <w:bodyDiv w:val="1"/>
      <w:marLeft w:val="0"/>
      <w:marRight w:val="0"/>
      <w:marTop w:val="0"/>
      <w:marBottom w:val="0"/>
      <w:divBdr>
        <w:top w:val="none" w:sz="0" w:space="0" w:color="auto"/>
        <w:left w:val="none" w:sz="0" w:space="0" w:color="auto"/>
        <w:bottom w:val="none" w:sz="0" w:space="0" w:color="auto"/>
        <w:right w:val="none" w:sz="0" w:space="0" w:color="auto"/>
      </w:divBdr>
    </w:div>
    <w:div w:id="1322582783">
      <w:bodyDiv w:val="1"/>
      <w:marLeft w:val="0"/>
      <w:marRight w:val="0"/>
      <w:marTop w:val="0"/>
      <w:marBottom w:val="0"/>
      <w:divBdr>
        <w:top w:val="none" w:sz="0" w:space="0" w:color="auto"/>
        <w:left w:val="none" w:sz="0" w:space="0" w:color="auto"/>
        <w:bottom w:val="none" w:sz="0" w:space="0" w:color="auto"/>
        <w:right w:val="none" w:sz="0" w:space="0" w:color="auto"/>
      </w:divBdr>
    </w:div>
    <w:div w:id="1411654447">
      <w:bodyDiv w:val="1"/>
      <w:marLeft w:val="0"/>
      <w:marRight w:val="0"/>
      <w:marTop w:val="0"/>
      <w:marBottom w:val="0"/>
      <w:divBdr>
        <w:top w:val="none" w:sz="0" w:space="0" w:color="auto"/>
        <w:left w:val="none" w:sz="0" w:space="0" w:color="auto"/>
        <w:bottom w:val="none" w:sz="0" w:space="0" w:color="auto"/>
        <w:right w:val="none" w:sz="0" w:space="0" w:color="auto"/>
      </w:divBdr>
      <w:divsChild>
        <w:div w:id="586228806">
          <w:marLeft w:val="274"/>
          <w:marRight w:val="0"/>
          <w:marTop w:val="0"/>
          <w:marBottom w:val="267"/>
          <w:divBdr>
            <w:top w:val="none" w:sz="0" w:space="0" w:color="auto"/>
            <w:left w:val="none" w:sz="0" w:space="0" w:color="auto"/>
            <w:bottom w:val="none" w:sz="0" w:space="0" w:color="auto"/>
            <w:right w:val="none" w:sz="0" w:space="0" w:color="auto"/>
          </w:divBdr>
        </w:div>
        <w:div w:id="307830413">
          <w:marLeft w:val="274"/>
          <w:marRight w:val="0"/>
          <w:marTop w:val="0"/>
          <w:marBottom w:val="267"/>
          <w:divBdr>
            <w:top w:val="none" w:sz="0" w:space="0" w:color="auto"/>
            <w:left w:val="none" w:sz="0" w:space="0" w:color="auto"/>
            <w:bottom w:val="none" w:sz="0" w:space="0" w:color="auto"/>
            <w:right w:val="none" w:sz="0" w:space="0" w:color="auto"/>
          </w:divBdr>
        </w:div>
        <w:div w:id="695817189">
          <w:marLeft w:val="274"/>
          <w:marRight w:val="0"/>
          <w:marTop w:val="0"/>
          <w:marBottom w:val="267"/>
          <w:divBdr>
            <w:top w:val="none" w:sz="0" w:space="0" w:color="auto"/>
            <w:left w:val="none" w:sz="0" w:space="0" w:color="auto"/>
            <w:bottom w:val="none" w:sz="0" w:space="0" w:color="auto"/>
            <w:right w:val="none" w:sz="0" w:space="0" w:color="auto"/>
          </w:divBdr>
        </w:div>
        <w:div w:id="1463501147">
          <w:marLeft w:val="274"/>
          <w:marRight w:val="0"/>
          <w:marTop w:val="0"/>
          <w:marBottom w:val="267"/>
          <w:divBdr>
            <w:top w:val="none" w:sz="0" w:space="0" w:color="auto"/>
            <w:left w:val="none" w:sz="0" w:space="0" w:color="auto"/>
            <w:bottom w:val="none" w:sz="0" w:space="0" w:color="auto"/>
            <w:right w:val="none" w:sz="0" w:space="0" w:color="auto"/>
          </w:divBdr>
        </w:div>
      </w:divsChild>
    </w:div>
    <w:div w:id="1490629628">
      <w:bodyDiv w:val="1"/>
      <w:marLeft w:val="0"/>
      <w:marRight w:val="0"/>
      <w:marTop w:val="0"/>
      <w:marBottom w:val="0"/>
      <w:divBdr>
        <w:top w:val="none" w:sz="0" w:space="0" w:color="auto"/>
        <w:left w:val="none" w:sz="0" w:space="0" w:color="auto"/>
        <w:bottom w:val="none" w:sz="0" w:space="0" w:color="auto"/>
        <w:right w:val="none" w:sz="0" w:space="0" w:color="auto"/>
      </w:divBdr>
    </w:div>
    <w:div w:id="2003963873">
      <w:bodyDiv w:val="1"/>
      <w:marLeft w:val="0"/>
      <w:marRight w:val="0"/>
      <w:marTop w:val="0"/>
      <w:marBottom w:val="0"/>
      <w:divBdr>
        <w:top w:val="none" w:sz="0" w:space="0" w:color="auto"/>
        <w:left w:val="none" w:sz="0" w:space="0" w:color="auto"/>
        <w:bottom w:val="none" w:sz="0" w:space="0" w:color="auto"/>
        <w:right w:val="none" w:sz="0" w:space="0" w:color="auto"/>
      </w:divBdr>
    </w:div>
    <w:div w:id="2030989558">
      <w:bodyDiv w:val="1"/>
      <w:marLeft w:val="0"/>
      <w:marRight w:val="0"/>
      <w:marTop w:val="0"/>
      <w:marBottom w:val="0"/>
      <w:divBdr>
        <w:top w:val="none" w:sz="0" w:space="0" w:color="auto"/>
        <w:left w:val="none" w:sz="0" w:space="0" w:color="auto"/>
        <w:bottom w:val="none" w:sz="0" w:space="0" w:color="auto"/>
        <w:right w:val="none" w:sz="0" w:space="0" w:color="auto"/>
      </w:divBdr>
    </w:div>
    <w:div w:id="2036685230">
      <w:bodyDiv w:val="1"/>
      <w:marLeft w:val="0"/>
      <w:marRight w:val="0"/>
      <w:marTop w:val="0"/>
      <w:marBottom w:val="0"/>
      <w:divBdr>
        <w:top w:val="none" w:sz="0" w:space="0" w:color="auto"/>
        <w:left w:val="none" w:sz="0" w:space="0" w:color="auto"/>
        <w:bottom w:val="none" w:sz="0" w:space="0" w:color="auto"/>
        <w:right w:val="none" w:sz="0" w:space="0" w:color="auto"/>
      </w:divBdr>
    </w:div>
    <w:div w:id="2037657927">
      <w:bodyDiv w:val="1"/>
      <w:marLeft w:val="0"/>
      <w:marRight w:val="0"/>
      <w:marTop w:val="0"/>
      <w:marBottom w:val="0"/>
      <w:divBdr>
        <w:top w:val="none" w:sz="0" w:space="0" w:color="auto"/>
        <w:left w:val="none" w:sz="0" w:space="0" w:color="auto"/>
        <w:bottom w:val="none" w:sz="0" w:space="0" w:color="auto"/>
        <w:right w:val="none" w:sz="0" w:space="0" w:color="auto"/>
      </w:divBdr>
    </w:div>
    <w:div w:id="2044479606">
      <w:bodyDiv w:val="1"/>
      <w:marLeft w:val="0"/>
      <w:marRight w:val="0"/>
      <w:marTop w:val="0"/>
      <w:marBottom w:val="0"/>
      <w:divBdr>
        <w:top w:val="none" w:sz="0" w:space="0" w:color="auto"/>
        <w:left w:val="none" w:sz="0" w:space="0" w:color="auto"/>
        <w:bottom w:val="none" w:sz="0" w:space="0" w:color="auto"/>
        <w:right w:val="none" w:sz="0" w:space="0" w:color="auto"/>
      </w:divBdr>
    </w:div>
    <w:div w:id="2073040856">
      <w:bodyDiv w:val="1"/>
      <w:marLeft w:val="0"/>
      <w:marRight w:val="0"/>
      <w:marTop w:val="0"/>
      <w:marBottom w:val="0"/>
      <w:divBdr>
        <w:top w:val="none" w:sz="0" w:space="0" w:color="auto"/>
        <w:left w:val="none" w:sz="0" w:space="0" w:color="auto"/>
        <w:bottom w:val="none" w:sz="0" w:space="0" w:color="auto"/>
        <w:right w:val="none" w:sz="0" w:space="0" w:color="auto"/>
      </w:divBdr>
      <w:divsChild>
        <w:div w:id="1619602438">
          <w:marLeft w:val="274"/>
          <w:marRight w:val="0"/>
          <w:marTop w:val="0"/>
          <w:marBottom w:val="120"/>
          <w:divBdr>
            <w:top w:val="none" w:sz="0" w:space="0" w:color="auto"/>
            <w:left w:val="none" w:sz="0" w:space="0" w:color="auto"/>
            <w:bottom w:val="none" w:sz="0" w:space="0" w:color="auto"/>
            <w:right w:val="none" w:sz="0" w:space="0" w:color="auto"/>
          </w:divBdr>
        </w:div>
        <w:div w:id="1787194232">
          <w:marLeft w:val="274"/>
          <w:marRight w:val="0"/>
          <w:marTop w:val="0"/>
          <w:marBottom w:val="120"/>
          <w:divBdr>
            <w:top w:val="none" w:sz="0" w:space="0" w:color="auto"/>
            <w:left w:val="none" w:sz="0" w:space="0" w:color="auto"/>
            <w:bottom w:val="none" w:sz="0" w:space="0" w:color="auto"/>
            <w:right w:val="none" w:sz="0" w:space="0" w:color="auto"/>
          </w:divBdr>
        </w:div>
        <w:div w:id="439763894">
          <w:marLeft w:val="274"/>
          <w:marRight w:val="0"/>
          <w:marTop w:val="0"/>
          <w:marBottom w:val="120"/>
          <w:divBdr>
            <w:top w:val="none" w:sz="0" w:space="0" w:color="auto"/>
            <w:left w:val="none" w:sz="0" w:space="0" w:color="auto"/>
            <w:bottom w:val="none" w:sz="0" w:space="0" w:color="auto"/>
            <w:right w:val="none" w:sz="0" w:space="0" w:color="auto"/>
          </w:divBdr>
        </w:div>
        <w:div w:id="250433837">
          <w:marLeft w:val="274"/>
          <w:marRight w:val="0"/>
          <w:marTop w:val="0"/>
          <w:marBottom w:val="120"/>
          <w:divBdr>
            <w:top w:val="none" w:sz="0" w:space="0" w:color="auto"/>
            <w:left w:val="none" w:sz="0" w:space="0" w:color="auto"/>
            <w:bottom w:val="none" w:sz="0" w:space="0" w:color="auto"/>
            <w:right w:val="none" w:sz="0" w:space="0" w:color="auto"/>
          </w:divBdr>
        </w:div>
        <w:div w:id="167258975">
          <w:marLeft w:val="274"/>
          <w:marRight w:val="0"/>
          <w:marTop w:val="0"/>
          <w:marBottom w:val="120"/>
          <w:divBdr>
            <w:top w:val="none" w:sz="0" w:space="0" w:color="auto"/>
            <w:left w:val="none" w:sz="0" w:space="0" w:color="auto"/>
            <w:bottom w:val="none" w:sz="0" w:space="0" w:color="auto"/>
            <w:right w:val="none" w:sz="0" w:space="0" w:color="auto"/>
          </w:divBdr>
        </w:div>
        <w:div w:id="533078620">
          <w:marLeft w:val="274"/>
          <w:marRight w:val="0"/>
          <w:marTop w:val="0"/>
          <w:marBottom w:val="120"/>
          <w:divBdr>
            <w:top w:val="none" w:sz="0" w:space="0" w:color="auto"/>
            <w:left w:val="none" w:sz="0" w:space="0" w:color="auto"/>
            <w:bottom w:val="none" w:sz="0" w:space="0" w:color="auto"/>
            <w:right w:val="none" w:sz="0" w:space="0" w:color="auto"/>
          </w:divBdr>
        </w:div>
        <w:div w:id="973488940">
          <w:marLeft w:val="274"/>
          <w:marRight w:val="0"/>
          <w:marTop w:val="0"/>
          <w:marBottom w:val="120"/>
          <w:divBdr>
            <w:top w:val="none" w:sz="0" w:space="0" w:color="auto"/>
            <w:left w:val="none" w:sz="0" w:space="0" w:color="auto"/>
            <w:bottom w:val="none" w:sz="0" w:space="0" w:color="auto"/>
            <w:right w:val="none" w:sz="0" w:space="0" w:color="auto"/>
          </w:divBdr>
        </w:div>
      </w:divsChild>
    </w:div>
    <w:div w:id="2087846017">
      <w:bodyDiv w:val="1"/>
      <w:marLeft w:val="0"/>
      <w:marRight w:val="0"/>
      <w:marTop w:val="0"/>
      <w:marBottom w:val="0"/>
      <w:divBdr>
        <w:top w:val="none" w:sz="0" w:space="0" w:color="auto"/>
        <w:left w:val="none" w:sz="0" w:space="0" w:color="auto"/>
        <w:bottom w:val="none" w:sz="0" w:space="0" w:color="auto"/>
        <w:right w:val="none" w:sz="0" w:space="0" w:color="auto"/>
      </w:divBdr>
    </w:div>
    <w:div w:id="2093308294">
      <w:bodyDiv w:val="1"/>
      <w:marLeft w:val="0"/>
      <w:marRight w:val="0"/>
      <w:marTop w:val="0"/>
      <w:marBottom w:val="0"/>
      <w:divBdr>
        <w:top w:val="none" w:sz="0" w:space="0" w:color="auto"/>
        <w:left w:val="none" w:sz="0" w:space="0" w:color="auto"/>
        <w:bottom w:val="none" w:sz="0" w:space="0" w:color="auto"/>
        <w:right w:val="none" w:sz="0" w:space="0" w:color="auto"/>
      </w:divBdr>
    </w:div>
    <w:div w:id="213643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en/en/id/194597-law-on-public-private-partnership" TargetMode="External"/><Relationship Id="rId117" Type="http://schemas.openxmlformats.org/officeDocument/2006/relationships/image" Target="media/image28.png"/><Relationship Id="rId21" Type="http://schemas.openxmlformats.org/officeDocument/2006/relationships/hyperlink" Target="https://likumi.lv/ta/en/en/id/54890-competition-law" TargetMode="External"/><Relationship Id="rId42" Type="http://schemas.microsoft.com/office/2007/relationships/diagramDrawing" Target="diagrams/drawing2.xml"/><Relationship Id="rId47" Type="http://schemas.microsoft.com/office/2007/relationships/diagramDrawing" Target="diagrams/drawing3.xml"/><Relationship Id="rId63" Type="http://schemas.microsoft.com/office/2007/relationships/diagramDrawing" Target="diagrams/drawing6.xml"/><Relationship Id="rId68" Type="http://schemas.microsoft.com/office/2007/relationships/diagramDrawing" Target="diagrams/drawing7.xml"/><Relationship Id="rId84" Type="http://schemas.openxmlformats.org/officeDocument/2006/relationships/hyperlink" Target="https://ppp.cfla.gov.lv/" TargetMode="External"/><Relationship Id="rId89" Type="http://schemas.openxmlformats.org/officeDocument/2006/relationships/diagramData" Target="diagrams/data8.xml"/><Relationship Id="rId112" Type="http://schemas.openxmlformats.org/officeDocument/2006/relationships/hyperlink" Target="https://likumi.lv/ta/en/en/id/289083-regulations-regarding-thresholds-of-contract-prices-of-public-procurements" TargetMode="External"/><Relationship Id="rId16" Type="http://schemas.openxmlformats.org/officeDocument/2006/relationships/hyperlink" Target="https://likumi.lv/ta/id/287760-publisko-iepirkumu-likums" TargetMode="External"/><Relationship Id="rId107" Type="http://schemas.openxmlformats.org/officeDocument/2006/relationships/hyperlink" Target="https://likumi.lv/ta/en/en/id/287760-public-procurement-law" TargetMode="External"/><Relationship Id="rId11" Type="http://schemas.openxmlformats.org/officeDocument/2006/relationships/image" Target="media/image1.png"/><Relationship Id="rId32" Type="http://schemas.openxmlformats.org/officeDocument/2006/relationships/hyperlink" Target="https://www.cfla.gov.lv/lv/finansu-un-ekonomiskie-aprekini" TargetMode="External"/><Relationship Id="rId37" Type="http://schemas.microsoft.com/office/2007/relationships/diagramDrawing" Target="diagrams/drawing1.xml"/><Relationship Id="rId53" Type="http://schemas.microsoft.com/office/2007/relationships/diagramDrawing" Target="diagrams/drawing4.xml"/><Relationship Id="rId58" Type="http://schemas.microsoft.com/office/2007/relationships/diagramDrawing" Target="diagrams/drawing5.xml"/><Relationship Id="rId74" Type="http://schemas.openxmlformats.org/officeDocument/2006/relationships/image" Target="media/image11.png"/><Relationship Id="rId79" Type="http://schemas.openxmlformats.org/officeDocument/2006/relationships/image" Target="media/image16.png"/><Relationship Id="rId102" Type="http://schemas.openxmlformats.org/officeDocument/2006/relationships/hyperlink" Target="https://likumi.lv/ta/en/en/id/5490-commercial-law" TargetMode="External"/><Relationship Id="rId123"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diagramLayout" Target="diagrams/layout8.xml"/><Relationship Id="rId95" Type="http://schemas.openxmlformats.org/officeDocument/2006/relationships/header" Target="header1.xml"/><Relationship Id="rId22" Type="http://schemas.openxmlformats.org/officeDocument/2006/relationships/hyperlink" Target="https://likumi.lv/ta/en/en/id/289086-tendering-procedures-for-procurement-procedures-and-design-contests" TargetMode="External"/><Relationship Id="rId27" Type="http://schemas.openxmlformats.org/officeDocument/2006/relationships/hyperlink" Target="https://likumi.lv/ta/en/en/id/288730-law-on-the-procurements-of-public-service-providers" TargetMode="External"/><Relationship Id="rId43" Type="http://schemas.openxmlformats.org/officeDocument/2006/relationships/diagramData" Target="diagrams/data3.xml"/><Relationship Id="rId48" Type="http://schemas.openxmlformats.org/officeDocument/2006/relationships/image" Target="media/image5.png"/><Relationship Id="rId64" Type="http://schemas.openxmlformats.org/officeDocument/2006/relationships/diagramData" Target="diagrams/data7.xml"/><Relationship Id="rId69" Type="http://schemas.openxmlformats.org/officeDocument/2006/relationships/image" Target="media/image6.png"/><Relationship Id="rId113" Type="http://schemas.openxmlformats.org/officeDocument/2006/relationships/hyperlink" Target="https://likumi.lv/ta/en/en/id/199083-procedure-for-the-conduct-of-financial-and-economic-calculations-determination-of-the-type-of-a-public-private-partnership-agreement-and-the-provision-of-an-opinion-regarding-financial-and-economic-calculations" TargetMode="External"/><Relationship Id="rId118" Type="http://schemas.openxmlformats.org/officeDocument/2006/relationships/image" Target="media/image29.png"/><Relationship Id="rId80" Type="http://schemas.openxmlformats.org/officeDocument/2006/relationships/image" Target="media/image17.png"/><Relationship Id="rId85" Type="http://schemas.openxmlformats.org/officeDocument/2006/relationships/image" Target="media/image20.png"/><Relationship Id="rId12" Type="http://schemas.openxmlformats.org/officeDocument/2006/relationships/hyperlink" Target="https://likumi.lv/ta/en/en/id/238803-law-on-procurements-in-the-field-of-defence-and-security" TargetMode="External"/><Relationship Id="rId17" Type="http://schemas.openxmlformats.org/officeDocument/2006/relationships/hyperlink" Target="https://likumi.lv/ta/en/en/id/288730-law-on-the-procurements-of-public-service-providers" TargetMode="External"/><Relationship Id="rId33" Type="http://schemas.openxmlformats.org/officeDocument/2006/relationships/diagramData" Target="diagrams/data1.xml"/><Relationship Id="rId38" Type="http://schemas.openxmlformats.org/officeDocument/2006/relationships/diagramData" Target="diagrams/data2.xml"/><Relationship Id="rId59" Type="http://schemas.openxmlformats.org/officeDocument/2006/relationships/diagramData" Target="diagrams/data6.xml"/><Relationship Id="rId103" Type="http://schemas.openxmlformats.org/officeDocument/2006/relationships/hyperlink" Target="https://likumi.lv/ta/en/en/id/54890-competition-law" TargetMode="External"/><Relationship Id="rId108" Type="http://schemas.openxmlformats.org/officeDocument/2006/relationships/hyperlink" Target="https://likumi.lv/ta/en/en/id/288730-law-on-the-procurements-of-public-service-providers" TargetMode="External"/><Relationship Id="rId124" Type="http://schemas.openxmlformats.org/officeDocument/2006/relationships/header" Target="header4.xml"/><Relationship Id="rId54" Type="http://schemas.openxmlformats.org/officeDocument/2006/relationships/diagramData" Target="diagrams/data5.xml"/><Relationship Id="rId70" Type="http://schemas.openxmlformats.org/officeDocument/2006/relationships/image" Target="media/image7.png"/><Relationship Id="rId75" Type="http://schemas.openxmlformats.org/officeDocument/2006/relationships/image" Target="media/image12.png"/><Relationship Id="rId91" Type="http://schemas.openxmlformats.org/officeDocument/2006/relationships/diagramQuickStyle" Target="diagrams/quickStyle8.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likumi.lv/ta/en/en/id/199083-procedure-for-the-conduct-of-financial-and-economic-calculations-determination-of-the-type-of-a-public-private-partnership-agreement-and-the-provision-of-an-opinion-regarding-financial-and-economic-calculations" TargetMode="External"/><Relationship Id="rId28" Type="http://schemas.openxmlformats.org/officeDocument/2006/relationships/hyperlink" Target="https://likumi.lv/ta/en/en/id/63545-state-administration-structure-law" TargetMode="External"/><Relationship Id="rId49" Type="http://schemas.openxmlformats.org/officeDocument/2006/relationships/diagramData" Target="diagrams/data4.xml"/><Relationship Id="rId114" Type="http://schemas.openxmlformats.org/officeDocument/2006/relationships/hyperlink" Target="https://likumi.lv/ta/id/199823-noteikumi-par-uzraudzibas-institucijas-darbibu-un-publiska-partnera-vai-ta-parstavja-liguma-izpildes-parskata-sniegsanu" TargetMode="External"/><Relationship Id="rId119" Type="http://schemas.openxmlformats.org/officeDocument/2006/relationships/image" Target="media/image30.png"/><Relationship Id="rId44" Type="http://schemas.openxmlformats.org/officeDocument/2006/relationships/diagramLayout" Target="diagrams/layout3.xml"/><Relationship Id="rId60" Type="http://schemas.openxmlformats.org/officeDocument/2006/relationships/diagramLayout" Target="diagrams/layout6.xml"/><Relationship Id="rId65" Type="http://schemas.openxmlformats.org/officeDocument/2006/relationships/diagramLayout" Target="diagrams/layout7.xml"/><Relationship Id="rId81" Type="http://schemas.openxmlformats.org/officeDocument/2006/relationships/image" Target="media/image18.png"/><Relationship Id="rId86" Type="http://schemas.openxmlformats.org/officeDocument/2006/relationships/image" Target="media/image21.png"/><Relationship Id="rId13" Type="http://schemas.openxmlformats.org/officeDocument/2006/relationships/hyperlink" Target="https://likumi.lv/ta/en/en/id/267199-law-on-control-of-aid-for-commercial-activity" TargetMode="External"/><Relationship Id="rId18" Type="http://schemas.openxmlformats.org/officeDocument/2006/relationships/hyperlink" Target="https://likumi.lv/ta/en/en/id/238803-law-on-procurements-in-the-field-of-defence-and-security" TargetMode="External"/><Relationship Id="rId39" Type="http://schemas.openxmlformats.org/officeDocument/2006/relationships/diagramLayout" Target="diagrams/layout2.xml"/><Relationship Id="rId109" Type="http://schemas.openxmlformats.org/officeDocument/2006/relationships/hyperlink" Target="https://likumi.lv/ta/en/en/id/238803-law-on-procurements-in-the-field-of-defence-and-security" TargetMode="External"/><Relationship Id="rId34" Type="http://schemas.openxmlformats.org/officeDocument/2006/relationships/diagramLayout" Target="diagrams/layout1.xml"/><Relationship Id="rId50" Type="http://schemas.openxmlformats.org/officeDocument/2006/relationships/diagramLayout" Target="diagrams/layout4.xml"/><Relationship Id="rId55" Type="http://schemas.openxmlformats.org/officeDocument/2006/relationships/diagramLayout" Target="diagrams/layout5.xml"/><Relationship Id="rId76" Type="http://schemas.openxmlformats.org/officeDocument/2006/relationships/image" Target="media/image13.png"/><Relationship Id="rId97" Type="http://schemas.openxmlformats.org/officeDocument/2006/relationships/footer" Target="footer2.xml"/><Relationship Id="rId104" Type="http://schemas.openxmlformats.org/officeDocument/2006/relationships/hyperlink" Target="https://likumi.lv/ta/en/en/id/267199-law-on-control-of-aid-for-commercial-activity" TargetMode="External"/><Relationship Id="rId120" Type="http://schemas.openxmlformats.org/officeDocument/2006/relationships/image" Target="media/image31.png"/><Relationship Id="rId125"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8.png"/><Relationship Id="rId92" Type="http://schemas.openxmlformats.org/officeDocument/2006/relationships/diagramColors" Target="diagrams/colors8.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likumi.lv/ta/en/en/id/269907-law-on-governance-of-capital-shares-of-public-entity-and-management-of-capital-companies-thereof" TargetMode="External"/><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diagramQuickStyle" Target="diagrams/quickStyle7.xml"/><Relationship Id="rId87" Type="http://schemas.openxmlformats.org/officeDocument/2006/relationships/image" Target="media/image22.png"/><Relationship Id="rId110" Type="http://schemas.openxmlformats.org/officeDocument/2006/relationships/hyperlink" Target="https://likumi.lv/ta/en/en/id/289086-tendering-procedures-for-procurement-procedures-and-design-contests" TargetMode="External"/><Relationship Id="rId115" Type="http://schemas.openxmlformats.org/officeDocument/2006/relationships/image" Target="media/image26.png"/><Relationship Id="rId61" Type="http://schemas.openxmlformats.org/officeDocument/2006/relationships/diagramQuickStyle" Target="diagrams/quickStyle6.xml"/><Relationship Id="rId82" Type="http://schemas.openxmlformats.org/officeDocument/2006/relationships/image" Target="media/image19.png"/><Relationship Id="rId19" Type="http://schemas.openxmlformats.org/officeDocument/2006/relationships/hyperlink" Target="https://likumi.lv/ta/en/en/id/36190-on-prevention-of-squandering-of-the-financial-resources-and-property-of-a-public-entity" TargetMode="External"/><Relationship Id="rId14" Type="http://schemas.openxmlformats.org/officeDocument/2006/relationships/hyperlink" Target="https://likumi.lv/ta/en/en/id/225418-civil-law" TargetMode="External"/><Relationship Id="rId30" Type="http://schemas.openxmlformats.org/officeDocument/2006/relationships/image" Target="media/image3.png"/><Relationship Id="rId35" Type="http://schemas.openxmlformats.org/officeDocument/2006/relationships/diagramQuickStyle" Target="diagrams/quickStyle1.xml"/><Relationship Id="rId56" Type="http://schemas.openxmlformats.org/officeDocument/2006/relationships/diagramQuickStyle" Target="diagrams/quickStyle5.xml"/><Relationship Id="rId77" Type="http://schemas.openxmlformats.org/officeDocument/2006/relationships/image" Target="media/image14.png"/><Relationship Id="rId100" Type="http://schemas.openxmlformats.org/officeDocument/2006/relationships/hyperlink" Target="https://likumi.lv/ta/en/en/id/63545-state-administration-structure-law" TargetMode="External"/><Relationship Id="rId105" Type="http://schemas.openxmlformats.org/officeDocument/2006/relationships/hyperlink" Target="https://likumi.lv/ta/en/en/id/36190-on-prevention-of-squandering-of-the-financial-resources-and-property-of-a-public-entity"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QuickStyle" Target="diagrams/quickStyle4.xml"/><Relationship Id="rId72" Type="http://schemas.openxmlformats.org/officeDocument/2006/relationships/image" Target="media/image9.png"/><Relationship Id="rId93" Type="http://schemas.microsoft.com/office/2007/relationships/diagramDrawing" Target="diagrams/drawing8.xml"/><Relationship Id="rId98" Type="http://schemas.openxmlformats.org/officeDocument/2006/relationships/image" Target="media/image25.png"/><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likumi.lv/ta/en/en/id/287760-public-procurement-law" TargetMode="External"/><Relationship Id="rId46" Type="http://schemas.openxmlformats.org/officeDocument/2006/relationships/diagramColors" Target="diagrams/colors3.xml"/><Relationship Id="rId67" Type="http://schemas.openxmlformats.org/officeDocument/2006/relationships/diagramColors" Target="diagrams/colors7.xml"/><Relationship Id="rId116" Type="http://schemas.openxmlformats.org/officeDocument/2006/relationships/image" Target="media/image27.png"/><Relationship Id="rId20" Type="http://schemas.openxmlformats.org/officeDocument/2006/relationships/hyperlink" Target="https://likumi.lv/ta/en/en/id/5490-commercial-law" TargetMode="External"/><Relationship Id="rId41" Type="http://schemas.openxmlformats.org/officeDocument/2006/relationships/diagramColors" Target="diagrams/colors2.xml"/><Relationship Id="rId62" Type="http://schemas.openxmlformats.org/officeDocument/2006/relationships/diagramColors" Target="diagrams/colors6.xml"/><Relationship Id="rId83" Type="http://schemas.openxmlformats.org/officeDocument/2006/relationships/hyperlink" Target="https://ppp.cfla.gov.lv/" TargetMode="External"/><Relationship Id="rId88" Type="http://schemas.openxmlformats.org/officeDocument/2006/relationships/image" Target="media/image23.png"/><Relationship Id="rId111" Type="http://schemas.openxmlformats.org/officeDocument/2006/relationships/hyperlink" Target="https://likumi.lv/ta/en/en/id/291867-requirements-for-green-public-procurement-and-procedures-for-the-application-thereof" TargetMode="External"/><Relationship Id="rId15" Type="http://schemas.openxmlformats.org/officeDocument/2006/relationships/hyperlink" Target="https://likumi.lv/ta/en/en/id/194597-law-on-public-private-partnership" TargetMode="External"/><Relationship Id="rId36" Type="http://schemas.openxmlformats.org/officeDocument/2006/relationships/diagramColors" Target="diagrams/colors1.xml"/><Relationship Id="rId57" Type="http://schemas.openxmlformats.org/officeDocument/2006/relationships/diagramColors" Target="diagrams/colors5.xml"/><Relationship Id="rId106" Type="http://schemas.openxmlformats.org/officeDocument/2006/relationships/hyperlink" Target="https://likumi.lv/ta/en/en/id/269907-law-on-governance-of-capital-shares-of-public-entity-and-management-of-capital-companies-thereof"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diagramColors" Target="diagrams/colors4.xml"/><Relationship Id="rId73" Type="http://schemas.openxmlformats.org/officeDocument/2006/relationships/image" Target="media/image10.png"/><Relationship Id="rId78" Type="http://schemas.openxmlformats.org/officeDocument/2006/relationships/image" Target="media/image15.png"/><Relationship Id="rId94" Type="http://schemas.openxmlformats.org/officeDocument/2006/relationships/image" Target="media/image24.png"/><Relationship Id="rId99" Type="http://schemas.openxmlformats.org/officeDocument/2006/relationships/hyperlink" Target="https://likumi.lv/ta/en/en/id/194597-law-on-public-private-partnership" TargetMode="External"/><Relationship Id="rId101" Type="http://schemas.openxmlformats.org/officeDocument/2006/relationships/hyperlink" Target="https://likumi.lv/ta/en/en/id/225418-civil-law" TargetMode="External"/><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ppp.cfla.gov.lv/" TargetMode="External"/><Relationship Id="rId3" Type="http://schemas.openxmlformats.org/officeDocument/2006/relationships/hyperlink" Target="https://ppp.cfla.gov.lv/" TargetMode="External"/><Relationship Id="rId7" Type="http://schemas.openxmlformats.org/officeDocument/2006/relationships/hyperlink" Target="https://pure.spbu.ru/ws/files/19637708/Risk_management_in_public_private_partnership_projects_1939_6104_16_4_155.pdf" TargetMode="External"/><Relationship Id="rId2" Type="http://schemas.openxmlformats.org/officeDocument/2006/relationships/hyperlink" Target="https://www.cfla.gov.lv/lv/citas-programmas/publiska-un-privata-partneriba/ppp-projekta-cikls" TargetMode="External"/><Relationship Id="rId1" Type="http://schemas.openxmlformats.org/officeDocument/2006/relationships/hyperlink" Target="https://www.interreg-central.eu/Content.Node/O.T1.1-Handbook-new.pdf" TargetMode="External"/><Relationship Id="rId6" Type="http://schemas.openxmlformats.org/officeDocument/2006/relationships/hyperlink" Target="https://www.foxmandal.in/anatomy-of-risks-in-ppp-projects-in-india-and-how-to-mitigate-them/" TargetMode="External"/><Relationship Id="rId5" Type="http://schemas.openxmlformats.org/officeDocument/2006/relationships/hyperlink" Target="https://www.tandfonline.com/doi/full/10.1080/15309576.2020.1741406" TargetMode="External"/><Relationship Id="rId4" Type="http://schemas.openxmlformats.org/officeDocument/2006/relationships/hyperlink" Target="https://www.cfla.gov.lv/lv/finansu-un-ekonomiskie-aprekini"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4891F9-02BB-4744-BC98-F797D5378BB8}" type="doc">
      <dgm:prSet loTypeId="urn:microsoft.com/office/officeart/2005/8/layout/chevron1" loCatId="process" qsTypeId="urn:microsoft.com/office/officeart/2005/8/quickstyle/simple1" qsCatId="simple" csTypeId="urn:microsoft.com/office/officeart/2005/8/colors/accent3_2" csCatId="accent3" phldr="1"/>
      <dgm:spPr/>
    </dgm:pt>
    <dgm:pt modelId="{D776028D-2800-426E-BC0F-C58152E47314}">
      <dgm:prSet phldrT="[Text]"/>
      <dgm:spPr>
        <a:solidFill>
          <a:srgbClr val="92D050"/>
        </a:solidFill>
      </dgm:spPr>
      <dgm:t>
        <a:bodyPr/>
        <a:lstStyle/>
        <a:p>
          <a:r>
            <a:rPr lang="en-US" b="1"/>
            <a:t>PPP in general</a:t>
          </a:r>
        </a:p>
      </dgm:t>
    </dgm:pt>
    <dgm:pt modelId="{7E771217-B877-4E7F-B702-00F37BC7E118}" type="parTrans" cxnId="{115F5796-205D-4478-8F9F-C6E2C2E6DAA7}">
      <dgm:prSet/>
      <dgm:spPr/>
      <dgm:t>
        <a:bodyPr/>
        <a:lstStyle/>
        <a:p>
          <a:endParaRPr lang="en-US"/>
        </a:p>
      </dgm:t>
    </dgm:pt>
    <dgm:pt modelId="{7B15472F-30FC-4178-B819-5294BBE2DE61}" type="sibTrans" cxnId="{115F5796-205D-4478-8F9F-C6E2C2E6DAA7}">
      <dgm:prSet/>
      <dgm:spPr/>
      <dgm:t>
        <a:bodyPr/>
        <a:lstStyle/>
        <a:p>
          <a:endParaRPr lang="en-US"/>
        </a:p>
      </dgm:t>
    </dgm:pt>
    <dgm:pt modelId="{EFB44D52-ED59-4BE7-95AF-4906E13EAD04}">
      <dgm:prSet phldrT="[Text]"/>
      <dgm:spPr>
        <a:solidFill>
          <a:schemeClr val="accent6">
            <a:lumMod val="60000"/>
            <a:lumOff val="40000"/>
          </a:schemeClr>
        </a:solidFill>
      </dgm:spPr>
      <dgm:t>
        <a:bodyPr/>
        <a:lstStyle/>
        <a:p>
          <a:r>
            <a:rPr lang="en-US" b="1"/>
            <a:t>Competition and state aid</a:t>
          </a:r>
        </a:p>
      </dgm:t>
    </dgm:pt>
    <dgm:pt modelId="{7FB964F2-72C0-4E4A-9CF6-8D927F09C94C}" type="parTrans" cxnId="{B9343FD3-DBD1-4AC5-B57D-BD7A148E7364}">
      <dgm:prSet/>
      <dgm:spPr/>
      <dgm:t>
        <a:bodyPr/>
        <a:lstStyle/>
        <a:p>
          <a:endParaRPr lang="en-US"/>
        </a:p>
      </dgm:t>
    </dgm:pt>
    <dgm:pt modelId="{574EB713-A710-49F8-9597-5CA4C1BCC855}" type="sibTrans" cxnId="{B9343FD3-DBD1-4AC5-B57D-BD7A148E7364}">
      <dgm:prSet/>
      <dgm:spPr/>
      <dgm:t>
        <a:bodyPr/>
        <a:lstStyle/>
        <a:p>
          <a:endParaRPr lang="en-US"/>
        </a:p>
      </dgm:t>
    </dgm:pt>
    <dgm:pt modelId="{22F07FBB-066D-4DAA-A82E-F9ABA111A029}">
      <dgm:prSet/>
      <dgm:spPr>
        <a:solidFill>
          <a:schemeClr val="accent6">
            <a:lumMod val="60000"/>
            <a:lumOff val="40000"/>
          </a:schemeClr>
        </a:solidFill>
      </dgm:spPr>
      <dgm:t>
        <a:bodyPr/>
        <a:lstStyle/>
        <a:p>
          <a:r>
            <a:rPr lang="en-US" b="1"/>
            <a:t>Statistical treatment</a:t>
          </a:r>
        </a:p>
      </dgm:t>
    </dgm:pt>
    <dgm:pt modelId="{A91416BF-0B50-470F-89A2-D597ECCF24E9}" type="parTrans" cxnId="{CCFAFC7A-A2AA-4F81-BEC5-BE575481E5B4}">
      <dgm:prSet/>
      <dgm:spPr/>
      <dgm:t>
        <a:bodyPr/>
        <a:lstStyle/>
        <a:p>
          <a:endParaRPr lang="en-US"/>
        </a:p>
      </dgm:t>
    </dgm:pt>
    <dgm:pt modelId="{6CC54CB3-1DE4-4B5F-843D-46D4A6BDA80D}" type="sibTrans" cxnId="{CCFAFC7A-A2AA-4F81-BEC5-BE575481E5B4}">
      <dgm:prSet/>
      <dgm:spPr/>
      <dgm:t>
        <a:bodyPr/>
        <a:lstStyle/>
        <a:p>
          <a:endParaRPr lang="en-US"/>
        </a:p>
      </dgm:t>
    </dgm:pt>
    <dgm:pt modelId="{855B65E2-E04A-4C69-918E-201C857D95F6}">
      <dgm:prSet/>
      <dgm:spPr>
        <a:solidFill>
          <a:schemeClr val="accent6">
            <a:lumMod val="60000"/>
            <a:lumOff val="40000"/>
          </a:schemeClr>
        </a:solidFill>
      </dgm:spPr>
      <dgm:t>
        <a:bodyPr/>
        <a:lstStyle/>
        <a:p>
          <a:r>
            <a:rPr lang="en-US" b="1"/>
            <a:t>FEC and</a:t>
          </a:r>
          <a:r>
            <a:rPr lang="lv-LV" b="1"/>
            <a:t> the</a:t>
          </a:r>
          <a:r>
            <a:rPr lang="en-US" b="1"/>
            <a:t> contract price</a:t>
          </a:r>
        </a:p>
      </dgm:t>
    </dgm:pt>
    <dgm:pt modelId="{F1E308F3-8107-4B9D-991E-8E40AC8F75EE}" type="parTrans" cxnId="{ECA2030E-BEAB-4F24-A7B7-A6B676F20EFA}">
      <dgm:prSet/>
      <dgm:spPr/>
      <dgm:t>
        <a:bodyPr/>
        <a:lstStyle/>
        <a:p>
          <a:endParaRPr lang="en-US"/>
        </a:p>
      </dgm:t>
    </dgm:pt>
    <dgm:pt modelId="{9E3B6003-83DF-4A8B-872B-13119254EF67}" type="sibTrans" cxnId="{ECA2030E-BEAB-4F24-A7B7-A6B676F20EFA}">
      <dgm:prSet/>
      <dgm:spPr/>
      <dgm:t>
        <a:bodyPr/>
        <a:lstStyle/>
        <a:p>
          <a:endParaRPr lang="en-US"/>
        </a:p>
      </dgm:t>
    </dgm:pt>
    <dgm:pt modelId="{FB27F4F0-75A5-448F-A8CF-DD2976A11483}">
      <dgm:prSet phldrT="[Text]"/>
      <dgm:spPr>
        <a:solidFill>
          <a:schemeClr val="accent6">
            <a:lumMod val="60000"/>
            <a:lumOff val="40000"/>
          </a:schemeClr>
        </a:solidFill>
      </dgm:spPr>
      <dgm:t>
        <a:bodyPr/>
        <a:lstStyle/>
        <a:p>
          <a:r>
            <a:rPr lang="en-US" b="1"/>
            <a:t>Selecting a private partner</a:t>
          </a:r>
        </a:p>
      </dgm:t>
    </dgm:pt>
    <dgm:pt modelId="{3D29A1BE-6275-4F01-A404-CAEFF0BD9E2A}" type="sibTrans" cxnId="{4D188CFA-6CCF-4FDB-A5BA-D0D69FDF2833}">
      <dgm:prSet/>
      <dgm:spPr/>
      <dgm:t>
        <a:bodyPr/>
        <a:lstStyle/>
        <a:p>
          <a:endParaRPr lang="en-US"/>
        </a:p>
      </dgm:t>
    </dgm:pt>
    <dgm:pt modelId="{A9337E4C-98D1-4CB2-A3F1-CB7A2154FF35}" type="parTrans" cxnId="{4D188CFA-6CCF-4FDB-A5BA-D0D69FDF2833}">
      <dgm:prSet/>
      <dgm:spPr/>
      <dgm:t>
        <a:bodyPr/>
        <a:lstStyle/>
        <a:p>
          <a:endParaRPr lang="en-US"/>
        </a:p>
      </dgm:t>
    </dgm:pt>
    <dgm:pt modelId="{8AAB4D2F-F059-4C7E-95EC-E4DB878DB7B0}">
      <dgm:prSet/>
      <dgm:spPr>
        <a:solidFill>
          <a:schemeClr val="accent6">
            <a:lumMod val="60000"/>
            <a:lumOff val="40000"/>
          </a:schemeClr>
        </a:solidFill>
      </dgm:spPr>
      <dgm:t>
        <a:bodyPr/>
        <a:lstStyle/>
        <a:p>
          <a:r>
            <a:rPr lang="en-US" b="1"/>
            <a:t>PPP arrangements and models</a:t>
          </a:r>
        </a:p>
      </dgm:t>
    </dgm:pt>
    <dgm:pt modelId="{167AAC3F-9E4E-4160-9CE7-079DF27D9821}" type="parTrans" cxnId="{12CC558B-3C64-4623-B860-A0653C73DA09}">
      <dgm:prSet/>
      <dgm:spPr/>
      <dgm:t>
        <a:bodyPr/>
        <a:lstStyle/>
        <a:p>
          <a:endParaRPr lang="en-US"/>
        </a:p>
      </dgm:t>
    </dgm:pt>
    <dgm:pt modelId="{D91072F5-9D43-40A2-B7DA-9490D45CF03E}" type="sibTrans" cxnId="{12CC558B-3C64-4623-B860-A0653C73DA09}">
      <dgm:prSet/>
      <dgm:spPr/>
      <dgm:t>
        <a:bodyPr/>
        <a:lstStyle/>
        <a:p>
          <a:endParaRPr lang="en-US"/>
        </a:p>
      </dgm:t>
    </dgm:pt>
    <dgm:pt modelId="{2C10EB53-A34F-4B55-8BE6-EE065BABD930}">
      <dgm:prSet/>
      <dgm:spPr>
        <a:solidFill>
          <a:schemeClr val="accent6">
            <a:lumMod val="60000"/>
            <a:lumOff val="40000"/>
          </a:schemeClr>
        </a:solidFill>
      </dgm:spPr>
      <dgm:t>
        <a:bodyPr/>
        <a:lstStyle/>
        <a:p>
          <a:r>
            <a:rPr lang="en-US" b="1"/>
            <a:t>PPP project step by step</a:t>
          </a:r>
        </a:p>
      </dgm:t>
    </dgm:pt>
    <dgm:pt modelId="{3EA60A0F-0828-451A-B58B-550AF5C37AEE}" type="parTrans" cxnId="{09EE5D42-3886-41F3-AE4B-5A1A4722CCFC}">
      <dgm:prSet/>
      <dgm:spPr/>
      <dgm:t>
        <a:bodyPr/>
        <a:lstStyle/>
        <a:p>
          <a:endParaRPr lang="en-US"/>
        </a:p>
      </dgm:t>
    </dgm:pt>
    <dgm:pt modelId="{9B0921A5-2947-44F0-B1A5-702367D2F526}" type="sibTrans" cxnId="{09EE5D42-3886-41F3-AE4B-5A1A4722CCFC}">
      <dgm:prSet/>
      <dgm:spPr/>
      <dgm:t>
        <a:bodyPr/>
        <a:lstStyle/>
        <a:p>
          <a:endParaRPr lang="en-US"/>
        </a:p>
      </dgm:t>
    </dgm:pt>
    <dgm:pt modelId="{EB669D37-2AC3-4CBF-AF56-9AA04727DCEB}" type="pres">
      <dgm:prSet presAssocID="{2D4891F9-02BB-4744-BC98-F797D5378BB8}" presName="Name0" presStyleCnt="0">
        <dgm:presLayoutVars>
          <dgm:dir/>
          <dgm:animLvl val="lvl"/>
          <dgm:resizeHandles val="exact"/>
        </dgm:presLayoutVars>
      </dgm:prSet>
      <dgm:spPr/>
    </dgm:pt>
    <dgm:pt modelId="{F3E1A825-B159-4C34-89E0-F529F7E3B2A5}" type="pres">
      <dgm:prSet presAssocID="{D776028D-2800-426E-BC0F-C58152E47314}" presName="parTxOnly" presStyleLbl="node1" presStyleIdx="0" presStyleCnt="7">
        <dgm:presLayoutVars>
          <dgm:chMax val="0"/>
          <dgm:chPref val="0"/>
          <dgm:bulletEnabled val="1"/>
        </dgm:presLayoutVars>
      </dgm:prSet>
      <dgm:spPr/>
    </dgm:pt>
    <dgm:pt modelId="{C2D8501D-F8B7-4C1C-93D1-71C0A7666FC4}" type="pres">
      <dgm:prSet presAssocID="{7B15472F-30FC-4178-B819-5294BBE2DE61}" presName="parTxOnlySpace" presStyleCnt="0"/>
      <dgm:spPr/>
    </dgm:pt>
    <dgm:pt modelId="{9661ACF9-6E2F-4AA1-B632-865A87605FBF}" type="pres">
      <dgm:prSet presAssocID="{8AAB4D2F-F059-4C7E-95EC-E4DB878DB7B0}" presName="parTxOnly" presStyleLbl="node1" presStyleIdx="1" presStyleCnt="7">
        <dgm:presLayoutVars>
          <dgm:chMax val="0"/>
          <dgm:chPref val="0"/>
          <dgm:bulletEnabled val="1"/>
        </dgm:presLayoutVars>
      </dgm:prSet>
      <dgm:spPr/>
    </dgm:pt>
    <dgm:pt modelId="{0FBAD907-0F15-4838-9E30-B903AAE25FA1}" type="pres">
      <dgm:prSet presAssocID="{D91072F5-9D43-40A2-B7DA-9490D45CF03E}" presName="parTxOnlySpace" presStyleCnt="0"/>
      <dgm:spPr/>
    </dgm:pt>
    <dgm:pt modelId="{C30DE2D3-3607-4DA2-882B-05D80B0B4BC3}" type="pres">
      <dgm:prSet presAssocID="{2C10EB53-A34F-4B55-8BE6-EE065BABD930}" presName="parTxOnly" presStyleLbl="node1" presStyleIdx="2" presStyleCnt="7">
        <dgm:presLayoutVars>
          <dgm:chMax val="0"/>
          <dgm:chPref val="0"/>
          <dgm:bulletEnabled val="1"/>
        </dgm:presLayoutVars>
      </dgm:prSet>
      <dgm:spPr/>
    </dgm:pt>
    <dgm:pt modelId="{A175CAFE-81F9-4573-AB54-AE9DB9F314F6}" type="pres">
      <dgm:prSet presAssocID="{9B0921A5-2947-44F0-B1A5-702367D2F526}" presName="parTxOnlySpace" presStyleCnt="0"/>
      <dgm:spPr/>
    </dgm:pt>
    <dgm:pt modelId="{2DC4F51C-7158-4316-8A9B-C866CC41E42A}" type="pres">
      <dgm:prSet presAssocID="{855B65E2-E04A-4C69-918E-201C857D95F6}" presName="parTxOnly" presStyleLbl="node1" presStyleIdx="3" presStyleCnt="7">
        <dgm:presLayoutVars>
          <dgm:chMax val="0"/>
          <dgm:chPref val="0"/>
          <dgm:bulletEnabled val="1"/>
        </dgm:presLayoutVars>
      </dgm:prSet>
      <dgm:spPr/>
    </dgm:pt>
    <dgm:pt modelId="{AB5C77F6-1DA7-4623-8AE0-61978979B13E}" type="pres">
      <dgm:prSet presAssocID="{9E3B6003-83DF-4A8B-872B-13119254EF67}" presName="parTxOnlySpace" presStyleCnt="0"/>
      <dgm:spPr/>
    </dgm:pt>
    <dgm:pt modelId="{733A4756-8C5C-4214-832B-90402EA063F4}" type="pres">
      <dgm:prSet presAssocID="{22F07FBB-066D-4DAA-A82E-F9ABA111A029}" presName="parTxOnly" presStyleLbl="node1" presStyleIdx="4" presStyleCnt="7">
        <dgm:presLayoutVars>
          <dgm:chMax val="0"/>
          <dgm:chPref val="0"/>
          <dgm:bulletEnabled val="1"/>
        </dgm:presLayoutVars>
      </dgm:prSet>
      <dgm:spPr/>
    </dgm:pt>
    <dgm:pt modelId="{E7C9E767-6D64-460D-9318-3BD5D55F0C36}" type="pres">
      <dgm:prSet presAssocID="{6CC54CB3-1DE4-4B5F-843D-46D4A6BDA80D}" presName="parTxOnlySpace" presStyleCnt="0"/>
      <dgm:spPr/>
    </dgm:pt>
    <dgm:pt modelId="{7FA1EC39-CCC5-496F-8476-ED4A88B8D2DF}" type="pres">
      <dgm:prSet presAssocID="{FB27F4F0-75A5-448F-A8CF-DD2976A11483}" presName="parTxOnly" presStyleLbl="node1" presStyleIdx="5" presStyleCnt="7">
        <dgm:presLayoutVars>
          <dgm:chMax val="0"/>
          <dgm:chPref val="0"/>
          <dgm:bulletEnabled val="1"/>
        </dgm:presLayoutVars>
      </dgm:prSet>
      <dgm:spPr/>
    </dgm:pt>
    <dgm:pt modelId="{C00C3344-EF23-4532-833E-B55E4B3CE4F5}" type="pres">
      <dgm:prSet presAssocID="{3D29A1BE-6275-4F01-A404-CAEFF0BD9E2A}" presName="parTxOnlySpace" presStyleCnt="0"/>
      <dgm:spPr/>
    </dgm:pt>
    <dgm:pt modelId="{F0EF1AF7-9E50-4C53-86EF-D863DF7A9230}" type="pres">
      <dgm:prSet presAssocID="{EFB44D52-ED59-4BE7-95AF-4906E13EAD04}" presName="parTxOnly" presStyleLbl="node1" presStyleIdx="6" presStyleCnt="7">
        <dgm:presLayoutVars>
          <dgm:chMax val="0"/>
          <dgm:chPref val="0"/>
          <dgm:bulletEnabled val="1"/>
        </dgm:presLayoutVars>
      </dgm:prSet>
      <dgm:spPr/>
    </dgm:pt>
  </dgm:ptLst>
  <dgm:cxnLst>
    <dgm:cxn modelId="{ECA2030E-BEAB-4F24-A7B7-A6B676F20EFA}" srcId="{2D4891F9-02BB-4744-BC98-F797D5378BB8}" destId="{855B65E2-E04A-4C69-918E-201C857D95F6}" srcOrd="3" destOrd="0" parTransId="{F1E308F3-8107-4B9D-991E-8E40AC8F75EE}" sibTransId="{9E3B6003-83DF-4A8B-872B-13119254EF67}"/>
    <dgm:cxn modelId="{E6FC785C-5C79-4CB9-97B0-38C9221EDAD3}" type="presOf" srcId="{FB27F4F0-75A5-448F-A8CF-DD2976A11483}" destId="{7FA1EC39-CCC5-496F-8476-ED4A88B8D2DF}" srcOrd="0" destOrd="0" presId="urn:microsoft.com/office/officeart/2005/8/layout/chevron1"/>
    <dgm:cxn modelId="{09EE5D42-3886-41F3-AE4B-5A1A4722CCFC}" srcId="{2D4891F9-02BB-4744-BC98-F797D5378BB8}" destId="{2C10EB53-A34F-4B55-8BE6-EE065BABD930}" srcOrd="2" destOrd="0" parTransId="{3EA60A0F-0828-451A-B58B-550AF5C37AEE}" sibTransId="{9B0921A5-2947-44F0-B1A5-702367D2F526}"/>
    <dgm:cxn modelId="{B253FC65-901E-43B1-B944-9E47F18CEA3A}" type="presOf" srcId="{22F07FBB-066D-4DAA-A82E-F9ABA111A029}" destId="{733A4756-8C5C-4214-832B-90402EA063F4}" srcOrd="0" destOrd="0" presId="urn:microsoft.com/office/officeart/2005/8/layout/chevron1"/>
    <dgm:cxn modelId="{CCFAFC7A-A2AA-4F81-BEC5-BE575481E5B4}" srcId="{2D4891F9-02BB-4744-BC98-F797D5378BB8}" destId="{22F07FBB-066D-4DAA-A82E-F9ABA111A029}" srcOrd="4" destOrd="0" parTransId="{A91416BF-0B50-470F-89A2-D597ECCF24E9}" sibTransId="{6CC54CB3-1DE4-4B5F-843D-46D4A6BDA80D}"/>
    <dgm:cxn modelId="{12CC558B-3C64-4623-B860-A0653C73DA09}" srcId="{2D4891F9-02BB-4744-BC98-F797D5378BB8}" destId="{8AAB4D2F-F059-4C7E-95EC-E4DB878DB7B0}" srcOrd="1" destOrd="0" parTransId="{167AAC3F-9E4E-4160-9CE7-079DF27D9821}" sibTransId="{D91072F5-9D43-40A2-B7DA-9490D45CF03E}"/>
    <dgm:cxn modelId="{EC98FC8D-D339-4239-86B7-82A9A8234363}" type="presOf" srcId="{2C10EB53-A34F-4B55-8BE6-EE065BABD930}" destId="{C30DE2D3-3607-4DA2-882B-05D80B0B4BC3}" srcOrd="0" destOrd="0" presId="urn:microsoft.com/office/officeart/2005/8/layout/chevron1"/>
    <dgm:cxn modelId="{115F5796-205D-4478-8F9F-C6E2C2E6DAA7}" srcId="{2D4891F9-02BB-4744-BC98-F797D5378BB8}" destId="{D776028D-2800-426E-BC0F-C58152E47314}" srcOrd="0" destOrd="0" parTransId="{7E771217-B877-4E7F-B702-00F37BC7E118}" sibTransId="{7B15472F-30FC-4178-B819-5294BBE2DE61}"/>
    <dgm:cxn modelId="{7045EAAD-4469-4E90-92BC-578274B09A8D}" type="presOf" srcId="{855B65E2-E04A-4C69-918E-201C857D95F6}" destId="{2DC4F51C-7158-4316-8A9B-C866CC41E42A}" srcOrd="0" destOrd="0" presId="urn:microsoft.com/office/officeart/2005/8/layout/chevron1"/>
    <dgm:cxn modelId="{E976D0B3-2D87-443B-9AE3-73117D473083}" type="presOf" srcId="{EFB44D52-ED59-4BE7-95AF-4906E13EAD04}" destId="{F0EF1AF7-9E50-4C53-86EF-D863DF7A9230}" srcOrd="0" destOrd="0" presId="urn:microsoft.com/office/officeart/2005/8/layout/chevron1"/>
    <dgm:cxn modelId="{8807D7C2-35CB-45E3-9707-F3F6E2EEEEB9}" type="presOf" srcId="{D776028D-2800-426E-BC0F-C58152E47314}" destId="{F3E1A825-B159-4C34-89E0-F529F7E3B2A5}" srcOrd="0" destOrd="0" presId="urn:microsoft.com/office/officeart/2005/8/layout/chevron1"/>
    <dgm:cxn modelId="{4314A4D0-0C4F-4E2C-AE82-D7AA6FC0D4AC}" type="presOf" srcId="{2D4891F9-02BB-4744-BC98-F797D5378BB8}" destId="{EB669D37-2AC3-4CBF-AF56-9AA04727DCEB}" srcOrd="0" destOrd="0" presId="urn:microsoft.com/office/officeart/2005/8/layout/chevron1"/>
    <dgm:cxn modelId="{B9343FD3-DBD1-4AC5-B57D-BD7A148E7364}" srcId="{2D4891F9-02BB-4744-BC98-F797D5378BB8}" destId="{EFB44D52-ED59-4BE7-95AF-4906E13EAD04}" srcOrd="6" destOrd="0" parTransId="{7FB964F2-72C0-4E4A-9CF6-8D927F09C94C}" sibTransId="{574EB713-A710-49F8-9597-5CA4C1BCC855}"/>
    <dgm:cxn modelId="{8B4B40D3-1ED9-4E3D-90D2-ABB2C75D8B58}" type="presOf" srcId="{8AAB4D2F-F059-4C7E-95EC-E4DB878DB7B0}" destId="{9661ACF9-6E2F-4AA1-B632-865A87605FBF}" srcOrd="0" destOrd="0" presId="urn:microsoft.com/office/officeart/2005/8/layout/chevron1"/>
    <dgm:cxn modelId="{4D188CFA-6CCF-4FDB-A5BA-D0D69FDF2833}" srcId="{2D4891F9-02BB-4744-BC98-F797D5378BB8}" destId="{FB27F4F0-75A5-448F-A8CF-DD2976A11483}" srcOrd="5" destOrd="0" parTransId="{A9337E4C-98D1-4CB2-A3F1-CB7A2154FF35}" sibTransId="{3D29A1BE-6275-4F01-A404-CAEFF0BD9E2A}"/>
    <dgm:cxn modelId="{7D465116-238F-4FBD-92CE-41DCE3A86CB7}" type="presParOf" srcId="{EB669D37-2AC3-4CBF-AF56-9AA04727DCEB}" destId="{F3E1A825-B159-4C34-89E0-F529F7E3B2A5}" srcOrd="0" destOrd="0" presId="urn:microsoft.com/office/officeart/2005/8/layout/chevron1"/>
    <dgm:cxn modelId="{6B1E9D0F-AC11-474A-81DF-3B7753BCF901}" type="presParOf" srcId="{EB669D37-2AC3-4CBF-AF56-9AA04727DCEB}" destId="{C2D8501D-F8B7-4C1C-93D1-71C0A7666FC4}" srcOrd="1" destOrd="0" presId="urn:microsoft.com/office/officeart/2005/8/layout/chevron1"/>
    <dgm:cxn modelId="{C73B4678-DE98-405B-BB84-A3A59682E940}" type="presParOf" srcId="{EB669D37-2AC3-4CBF-AF56-9AA04727DCEB}" destId="{9661ACF9-6E2F-4AA1-B632-865A87605FBF}" srcOrd="2" destOrd="0" presId="urn:microsoft.com/office/officeart/2005/8/layout/chevron1"/>
    <dgm:cxn modelId="{01554358-1CFD-42DD-8B29-A3EE409D0F82}" type="presParOf" srcId="{EB669D37-2AC3-4CBF-AF56-9AA04727DCEB}" destId="{0FBAD907-0F15-4838-9E30-B903AAE25FA1}" srcOrd="3" destOrd="0" presId="urn:microsoft.com/office/officeart/2005/8/layout/chevron1"/>
    <dgm:cxn modelId="{AD5904EB-7925-4304-B07D-1E1B7E7A6B4C}" type="presParOf" srcId="{EB669D37-2AC3-4CBF-AF56-9AA04727DCEB}" destId="{C30DE2D3-3607-4DA2-882B-05D80B0B4BC3}" srcOrd="4" destOrd="0" presId="urn:microsoft.com/office/officeart/2005/8/layout/chevron1"/>
    <dgm:cxn modelId="{29BC41C6-66A8-4358-97C3-9DC660DF917D}" type="presParOf" srcId="{EB669D37-2AC3-4CBF-AF56-9AA04727DCEB}" destId="{A175CAFE-81F9-4573-AB54-AE9DB9F314F6}" srcOrd="5" destOrd="0" presId="urn:microsoft.com/office/officeart/2005/8/layout/chevron1"/>
    <dgm:cxn modelId="{9EB3A924-73F1-4651-AB8C-B7C9473763B1}" type="presParOf" srcId="{EB669D37-2AC3-4CBF-AF56-9AA04727DCEB}" destId="{2DC4F51C-7158-4316-8A9B-C866CC41E42A}" srcOrd="6" destOrd="0" presId="urn:microsoft.com/office/officeart/2005/8/layout/chevron1"/>
    <dgm:cxn modelId="{E4CC8A43-3D82-456F-9BC7-A272F377FD3B}" type="presParOf" srcId="{EB669D37-2AC3-4CBF-AF56-9AA04727DCEB}" destId="{AB5C77F6-1DA7-4623-8AE0-61978979B13E}" srcOrd="7" destOrd="0" presId="urn:microsoft.com/office/officeart/2005/8/layout/chevron1"/>
    <dgm:cxn modelId="{27AE1223-0954-40EB-AC0F-06721B24EC2B}" type="presParOf" srcId="{EB669D37-2AC3-4CBF-AF56-9AA04727DCEB}" destId="{733A4756-8C5C-4214-832B-90402EA063F4}" srcOrd="8" destOrd="0" presId="urn:microsoft.com/office/officeart/2005/8/layout/chevron1"/>
    <dgm:cxn modelId="{4F87BCFE-93D2-456F-BF27-A79DAE64EEE2}" type="presParOf" srcId="{EB669D37-2AC3-4CBF-AF56-9AA04727DCEB}" destId="{E7C9E767-6D64-460D-9318-3BD5D55F0C36}" srcOrd="9" destOrd="0" presId="urn:microsoft.com/office/officeart/2005/8/layout/chevron1"/>
    <dgm:cxn modelId="{A697FF60-EE68-4874-9E58-B4AE6CEE4FFB}" type="presParOf" srcId="{EB669D37-2AC3-4CBF-AF56-9AA04727DCEB}" destId="{7FA1EC39-CCC5-496F-8476-ED4A88B8D2DF}" srcOrd="10" destOrd="0" presId="urn:microsoft.com/office/officeart/2005/8/layout/chevron1"/>
    <dgm:cxn modelId="{67F3A12F-A4E9-457E-B185-A3616007F678}" type="presParOf" srcId="{EB669D37-2AC3-4CBF-AF56-9AA04727DCEB}" destId="{C00C3344-EF23-4532-833E-B55E4B3CE4F5}" srcOrd="11" destOrd="0" presId="urn:microsoft.com/office/officeart/2005/8/layout/chevron1"/>
    <dgm:cxn modelId="{6E23F6A3-E659-4AFC-BBE5-28EE4AFE4E37}" type="presParOf" srcId="{EB669D37-2AC3-4CBF-AF56-9AA04727DCEB}" destId="{F0EF1AF7-9E50-4C53-86EF-D863DF7A9230}" srcOrd="12"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4891F9-02BB-4744-BC98-F797D5378BB8}" type="doc">
      <dgm:prSet loTypeId="urn:microsoft.com/office/officeart/2005/8/layout/chevron1" loCatId="process" qsTypeId="urn:microsoft.com/office/officeart/2005/8/quickstyle/simple1" qsCatId="simple" csTypeId="urn:microsoft.com/office/officeart/2005/8/colors/accent3_2" csCatId="accent3" phldr="1"/>
      <dgm:spPr/>
    </dgm:pt>
    <dgm:pt modelId="{D776028D-2800-426E-BC0F-C58152E47314}">
      <dgm:prSet phldrT="[Text]"/>
      <dgm:spPr>
        <a:solidFill>
          <a:schemeClr val="accent6">
            <a:lumMod val="60000"/>
            <a:lumOff val="40000"/>
          </a:schemeClr>
        </a:solidFill>
      </dgm:spPr>
      <dgm:t>
        <a:bodyPr/>
        <a:lstStyle/>
        <a:p>
          <a:r>
            <a:rPr lang="en-US" b="1"/>
            <a:t>PPP in general</a:t>
          </a:r>
        </a:p>
      </dgm:t>
    </dgm:pt>
    <dgm:pt modelId="{7E771217-B877-4E7F-B702-00F37BC7E118}" type="parTrans" cxnId="{115F5796-205D-4478-8F9F-C6E2C2E6DAA7}">
      <dgm:prSet/>
      <dgm:spPr/>
      <dgm:t>
        <a:bodyPr/>
        <a:lstStyle/>
        <a:p>
          <a:endParaRPr lang="en-US"/>
        </a:p>
      </dgm:t>
    </dgm:pt>
    <dgm:pt modelId="{7B15472F-30FC-4178-B819-5294BBE2DE61}" type="sibTrans" cxnId="{115F5796-205D-4478-8F9F-C6E2C2E6DAA7}">
      <dgm:prSet/>
      <dgm:spPr/>
      <dgm:t>
        <a:bodyPr/>
        <a:lstStyle/>
        <a:p>
          <a:endParaRPr lang="en-US"/>
        </a:p>
      </dgm:t>
    </dgm:pt>
    <dgm:pt modelId="{EFB44D52-ED59-4BE7-95AF-4906E13EAD04}">
      <dgm:prSet phldrT="[Text]"/>
      <dgm:spPr>
        <a:solidFill>
          <a:schemeClr val="accent6">
            <a:lumMod val="60000"/>
            <a:lumOff val="40000"/>
          </a:schemeClr>
        </a:solidFill>
      </dgm:spPr>
      <dgm:t>
        <a:bodyPr/>
        <a:lstStyle/>
        <a:p>
          <a:r>
            <a:rPr lang="en-US" b="1"/>
            <a:t>Competition and state aid</a:t>
          </a:r>
        </a:p>
      </dgm:t>
    </dgm:pt>
    <dgm:pt modelId="{7FB964F2-72C0-4E4A-9CF6-8D927F09C94C}" type="parTrans" cxnId="{B9343FD3-DBD1-4AC5-B57D-BD7A148E7364}">
      <dgm:prSet/>
      <dgm:spPr/>
      <dgm:t>
        <a:bodyPr/>
        <a:lstStyle/>
        <a:p>
          <a:endParaRPr lang="en-US"/>
        </a:p>
      </dgm:t>
    </dgm:pt>
    <dgm:pt modelId="{574EB713-A710-49F8-9597-5CA4C1BCC855}" type="sibTrans" cxnId="{B9343FD3-DBD1-4AC5-B57D-BD7A148E7364}">
      <dgm:prSet/>
      <dgm:spPr/>
      <dgm:t>
        <a:bodyPr/>
        <a:lstStyle/>
        <a:p>
          <a:endParaRPr lang="en-US"/>
        </a:p>
      </dgm:t>
    </dgm:pt>
    <dgm:pt modelId="{22F07FBB-066D-4DAA-A82E-F9ABA111A029}">
      <dgm:prSet/>
      <dgm:spPr>
        <a:solidFill>
          <a:schemeClr val="accent6">
            <a:lumMod val="60000"/>
            <a:lumOff val="40000"/>
          </a:schemeClr>
        </a:solidFill>
      </dgm:spPr>
      <dgm:t>
        <a:bodyPr/>
        <a:lstStyle/>
        <a:p>
          <a:r>
            <a:rPr lang="en-US" b="1"/>
            <a:t>Statistical treatment</a:t>
          </a:r>
        </a:p>
      </dgm:t>
    </dgm:pt>
    <dgm:pt modelId="{A91416BF-0B50-470F-89A2-D597ECCF24E9}" type="parTrans" cxnId="{CCFAFC7A-A2AA-4F81-BEC5-BE575481E5B4}">
      <dgm:prSet/>
      <dgm:spPr/>
      <dgm:t>
        <a:bodyPr/>
        <a:lstStyle/>
        <a:p>
          <a:endParaRPr lang="en-US"/>
        </a:p>
      </dgm:t>
    </dgm:pt>
    <dgm:pt modelId="{6CC54CB3-1DE4-4B5F-843D-46D4A6BDA80D}" type="sibTrans" cxnId="{CCFAFC7A-A2AA-4F81-BEC5-BE575481E5B4}">
      <dgm:prSet/>
      <dgm:spPr/>
      <dgm:t>
        <a:bodyPr/>
        <a:lstStyle/>
        <a:p>
          <a:endParaRPr lang="en-US"/>
        </a:p>
      </dgm:t>
    </dgm:pt>
    <dgm:pt modelId="{855B65E2-E04A-4C69-918E-201C857D95F6}">
      <dgm:prSet/>
      <dgm:spPr>
        <a:solidFill>
          <a:schemeClr val="accent6">
            <a:lumMod val="60000"/>
            <a:lumOff val="40000"/>
          </a:schemeClr>
        </a:solidFill>
      </dgm:spPr>
      <dgm:t>
        <a:bodyPr/>
        <a:lstStyle/>
        <a:p>
          <a:r>
            <a:rPr lang="en-US" b="1"/>
            <a:t>FEC and</a:t>
          </a:r>
          <a:r>
            <a:rPr lang="lv-LV" b="1"/>
            <a:t> the</a:t>
          </a:r>
          <a:r>
            <a:rPr lang="en-US" b="1"/>
            <a:t> contract price</a:t>
          </a:r>
        </a:p>
      </dgm:t>
    </dgm:pt>
    <dgm:pt modelId="{F1E308F3-8107-4B9D-991E-8E40AC8F75EE}" type="parTrans" cxnId="{ECA2030E-BEAB-4F24-A7B7-A6B676F20EFA}">
      <dgm:prSet/>
      <dgm:spPr/>
      <dgm:t>
        <a:bodyPr/>
        <a:lstStyle/>
        <a:p>
          <a:endParaRPr lang="en-US"/>
        </a:p>
      </dgm:t>
    </dgm:pt>
    <dgm:pt modelId="{9E3B6003-83DF-4A8B-872B-13119254EF67}" type="sibTrans" cxnId="{ECA2030E-BEAB-4F24-A7B7-A6B676F20EFA}">
      <dgm:prSet/>
      <dgm:spPr/>
      <dgm:t>
        <a:bodyPr/>
        <a:lstStyle/>
        <a:p>
          <a:endParaRPr lang="en-US"/>
        </a:p>
      </dgm:t>
    </dgm:pt>
    <dgm:pt modelId="{FB27F4F0-75A5-448F-A8CF-DD2976A11483}">
      <dgm:prSet phldrT="[Text]"/>
      <dgm:spPr>
        <a:solidFill>
          <a:schemeClr val="accent6">
            <a:lumMod val="60000"/>
            <a:lumOff val="40000"/>
          </a:schemeClr>
        </a:solidFill>
      </dgm:spPr>
      <dgm:t>
        <a:bodyPr/>
        <a:lstStyle/>
        <a:p>
          <a:r>
            <a:rPr lang="en-US" b="1"/>
            <a:t>Selecting a private partner</a:t>
          </a:r>
        </a:p>
      </dgm:t>
    </dgm:pt>
    <dgm:pt modelId="{3D29A1BE-6275-4F01-A404-CAEFF0BD9E2A}" type="sibTrans" cxnId="{4D188CFA-6CCF-4FDB-A5BA-D0D69FDF2833}">
      <dgm:prSet/>
      <dgm:spPr/>
      <dgm:t>
        <a:bodyPr/>
        <a:lstStyle/>
        <a:p>
          <a:endParaRPr lang="en-US"/>
        </a:p>
      </dgm:t>
    </dgm:pt>
    <dgm:pt modelId="{A9337E4C-98D1-4CB2-A3F1-CB7A2154FF35}" type="parTrans" cxnId="{4D188CFA-6CCF-4FDB-A5BA-D0D69FDF2833}">
      <dgm:prSet/>
      <dgm:spPr/>
      <dgm:t>
        <a:bodyPr/>
        <a:lstStyle/>
        <a:p>
          <a:endParaRPr lang="en-US"/>
        </a:p>
      </dgm:t>
    </dgm:pt>
    <dgm:pt modelId="{8AAB4D2F-F059-4C7E-95EC-E4DB878DB7B0}">
      <dgm:prSet/>
      <dgm:spPr>
        <a:solidFill>
          <a:srgbClr val="92D050"/>
        </a:solidFill>
      </dgm:spPr>
      <dgm:t>
        <a:bodyPr/>
        <a:lstStyle/>
        <a:p>
          <a:r>
            <a:rPr lang="en-US" b="1"/>
            <a:t>PPP arrangements and models</a:t>
          </a:r>
        </a:p>
      </dgm:t>
    </dgm:pt>
    <dgm:pt modelId="{167AAC3F-9E4E-4160-9CE7-079DF27D9821}" type="parTrans" cxnId="{12CC558B-3C64-4623-B860-A0653C73DA09}">
      <dgm:prSet/>
      <dgm:spPr/>
      <dgm:t>
        <a:bodyPr/>
        <a:lstStyle/>
        <a:p>
          <a:endParaRPr lang="en-US"/>
        </a:p>
      </dgm:t>
    </dgm:pt>
    <dgm:pt modelId="{D91072F5-9D43-40A2-B7DA-9490D45CF03E}" type="sibTrans" cxnId="{12CC558B-3C64-4623-B860-A0653C73DA09}">
      <dgm:prSet/>
      <dgm:spPr/>
      <dgm:t>
        <a:bodyPr/>
        <a:lstStyle/>
        <a:p>
          <a:endParaRPr lang="en-US"/>
        </a:p>
      </dgm:t>
    </dgm:pt>
    <dgm:pt modelId="{2C10EB53-A34F-4B55-8BE6-EE065BABD930}">
      <dgm:prSet/>
      <dgm:spPr>
        <a:solidFill>
          <a:schemeClr val="accent6">
            <a:lumMod val="60000"/>
            <a:lumOff val="40000"/>
          </a:schemeClr>
        </a:solidFill>
      </dgm:spPr>
      <dgm:t>
        <a:bodyPr/>
        <a:lstStyle/>
        <a:p>
          <a:r>
            <a:rPr lang="en-US" b="1"/>
            <a:t>PPP project step by step</a:t>
          </a:r>
        </a:p>
      </dgm:t>
    </dgm:pt>
    <dgm:pt modelId="{3EA60A0F-0828-451A-B58B-550AF5C37AEE}" type="parTrans" cxnId="{09EE5D42-3886-41F3-AE4B-5A1A4722CCFC}">
      <dgm:prSet/>
      <dgm:spPr/>
      <dgm:t>
        <a:bodyPr/>
        <a:lstStyle/>
        <a:p>
          <a:endParaRPr lang="en-US"/>
        </a:p>
      </dgm:t>
    </dgm:pt>
    <dgm:pt modelId="{9B0921A5-2947-44F0-B1A5-702367D2F526}" type="sibTrans" cxnId="{09EE5D42-3886-41F3-AE4B-5A1A4722CCFC}">
      <dgm:prSet/>
      <dgm:spPr/>
      <dgm:t>
        <a:bodyPr/>
        <a:lstStyle/>
        <a:p>
          <a:endParaRPr lang="en-US"/>
        </a:p>
      </dgm:t>
    </dgm:pt>
    <dgm:pt modelId="{EB669D37-2AC3-4CBF-AF56-9AA04727DCEB}" type="pres">
      <dgm:prSet presAssocID="{2D4891F9-02BB-4744-BC98-F797D5378BB8}" presName="Name0" presStyleCnt="0">
        <dgm:presLayoutVars>
          <dgm:dir/>
          <dgm:animLvl val="lvl"/>
          <dgm:resizeHandles val="exact"/>
        </dgm:presLayoutVars>
      </dgm:prSet>
      <dgm:spPr/>
    </dgm:pt>
    <dgm:pt modelId="{F3E1A825-B159-4C34-89E0-F529F7E3B2A5}" type="pres">
      <dgm:prSet presAssocID="{D776028D-2800-426E-BC0F-C58152E47314}" presName="parTxOnly" presStyleLbl="node1" presStyleIdx="0" presStyleCnt="7">
        <dgm:presLayoutVars>
          <dgm:chMax val="0"/>
          <dgm:chPref val="0"/>
          <dgm:bulletEnabled val="1"/>
        </dgm:presLayoutVars>
      </dgm:prSet>
      <dgm:spPr/>
    </dgm:pt>
    <dgm:pt modelId="{C2D8501D-F8B7-4C1C-93D1-71C0A7666FC4}" type="pres">
      <dgm:prSet presAssocID="{7B15472F-30FC-4178-B819-5294BBE2DE61}" presName="parTxOnlySpace" presStyleCnt="0"/>
      <dgm:spPr/>
    </dgm:pt>
    <dgm:pt modelId="{9661ACF9-6E2F-4AA1-B632-865A87605FBF}" type="pres">
      <dgm:prSet presAssocID="{8AAB4D2F-F059-4C7E-95EC-E4DB878DB7B0}" presName="parTxOnly" presStyleLbl="node1" presStyleIdx="1" presStyleCnt="7">
        <dgm:presLayoutVars>
          <dgm:chMax val="0"/>
          <dgm:chPref val="0"/>
          <dgm:bulletEnabled val="1"/>
        </dgm:presLayoutVars>
      </dgm:prSet>
      <dgm:spPr/>
    </dgm:pt>
    <dgm:pt modelId="{0FBAD907-0F15-4838-9E30-B903AAE25FA1}" type="pres">
      <dgm:prSet presAssocID="{D91072F5-9D43-40A2-B7DA-9490D45CF03E}" presName="parTxOnlySpace" presStyleCnt="0"/>
      <dgm:spPr/>
    </dgm:pt>
    <dgm:pt modelId="{C30DE2D3-3607-4DA2-882B-05D80B0B4BC3}" type="pres">
      <dgm:prSet presAssocID="{2C10EB53-A34F-4B55-8BE6-EE065BABD930}" presName="parTxOnly" presStyleLbl="node1" presStyleIdx="2" presStyleCnt="7">
        <dgm:presLayoutVars>
          <dgm:chMax val="0"/>
          <dgm:chPref val="0"/>
          <dgm:bulletEnabled val="1"/>
        </dgm:presLayoutVars>
      </dgm:prSet>
      <dgm:spPr/>
    </dgm:pt>
    <dgm:pt modelId="{A175CAFE-81F9-4573-AB54-AE9DB9F314F6}" type="pres">
      <dgm:prSet presAssocID="{9B0921A5-2947-44F0-B1A5-702367D2F526}" presName="parTxOnlySpace" presStyleCnt="0"/>
      <dgm:spPr/>
    </dgm:pt>
    <dgm:pt modelId="{2DC4F51C-7158-4316-8A9B-C866CC41E42A}" type="pres">
      <dgm:prSet presAssocID="{855B65E2-E04A-4C69-918E-201C857D95F6}" presName="parTxOnly" presStyleLbl="node1" presStyleIdx="3" presStyleCnt="7">
        <dgm:presLayoutVars>
          <dgm:chMax val="0"/>
          <dgm:chPref val="0"/>
          <dgm:bulletEnabled val="1"/>
        </dgm:presLayoutVars>
      </dgm:prSet>
      <dgm:spPr/>
    </dgm:pt>
    <dgm:pt modelId="{AB5C77F6-1DA7-4623-8AE0-61978979B13E}" type="pres">
      <dgm:prSet presAssocID="{9E3B6003-83DF-4A8B-872B-13119254EF67}" presName="parTxOnlySpace" presStyleCnt="0"/>
      <dgm:spPr/>
    </dgm:pt>
    <dgm:pt modelId="{733A4756-8C5C-4214-832B-90402EA063F4}" type="pres">
      <dgm:prSet presAssocID="{22F07FBB-066D-4DAA-A82E-F9ABA111A029}" presName="parTxOnly" presStyleLbl="node1" presStyleIdx="4" presStyleCnt="7">
        <dgm:presLayoutVars>
          <dgm:chMax val="0"/>
          <dgm:chPref val="0"/>
          <dgm:bulletEnabled val="1"/>
        </dgm:presLayoutVars>
      </dgm:prSet>
      <dgm:spPr/>
    </dgm:pt>
    <dgm:pt modelId="{E7C9E767-6D64-460D-9318-3BD5D55F0C36}" type="pres">
      <dgm:prSet presAssocID="{6CC54CB3-1DE4-4B5F-843D-46D4A6BDA80D}" presName="parTxOnlySpace" presStyleCnt="0"/>
      <dgm:spPr/>
    </dgm:pt>
    <dgm:pt modelId="{7FA1EC39-CCC5-496F-8476-ED4A88B8D2DF}" type="pres">
      <dgm:prSet presAssocID="{FB27F4F0-75A5-448F-A8CF-DD2976A11483}" presName="parTxOnly" presStyleLbl="node1" presStyleIdx="5" presStyleCnt="7">
        <dgm:presLayoutVars>
          <dgm:chMax val="0"/>
          <dgm:chPref val="0"/>
          <dgm:bulletEnabled val="1"/>
        </dgm:presLayoutVars>
      </dgm:prSet>
      <dgm:spPr/>
    </dgm:pt>
    <dgm:pt modelId="{C00C3344-EF23-4532-833E-B55E4B3CE4F5}" type="pres">
      <dgm:prSet presAssocID="{3D29A1BE-6275-4F01-A404-CAEFF0BD9E2A}" presName="parTxOnlySpace" presStyleCnt="0"/>
      <dgm:spPr/>
    </dgm:pt>
    <dgm:pt modelId="{F0EF1AF7-9E50-4C53-86EF-D863DF7A9230}" type="pres">
      <dgm:prSet presAssocID="{EFB44D52-ED59-4BE7-95AF-4906E13EAD04}" presName="parTxOnly" presStyleLbl="node1" presStyleIdx="6" presStyleCnt="7">
        <dgm:presLayoutVars>
          <dgm:chMax val="0"/>
          <dgm:chPref val="0"/>
          <dgm:bulletEnabled val="1"/>
        </dgm:presLayoutVars>
      </dgm:prSet>
      <dgm:spPr/>
    </dgm:pt>
  </dgm:ptLst>
  <dgm:cxnLst>
    <dgm:cxn modelId="{ECA2030E-BEAB-4F24-A7B7-A6B676F20EFA}" srcId="{2D4891F9-02BB-4744-BC98-F797D5378BB8}" destId="{855B65E2-E04A-4C69-918E-201C857D95F6}" srcOrd="3" destOrd="0" parTransId="{F1E308F3-8107-4B9D-991E-8E40AC8F75EE}" sibTransId="{9E3B6003-83DF-4A8B-872B-13119254EF67}"/>
    <dgm:cxn modelId="{E6FC785C-5C79-4CB9-97B0-38C9221EDAD3}" type="presOf" srcId="{FB27F4F0-75A5-448F-A8CF-DD2976A11483}" destId="{7FA1EC39-CCC5-496F-8476-ED4A88B8D2DF}" srcOrd="0" destOrd="0" presId="urn:microsoft.com/office/officeart/2005/8/layout/chevron1"/>
    <dgm:cxn modelId="{09EE5D42-3886-41F3-AE4B-5A1A4722CCFC}" srcId="{2D4891F9-02BB-4744-BC98-F797D5378BB8}" destId="{2C10EB53-A34F-4B55-8BE6-EE065BABD930}" srcOrd="2" destOrd="0" parTransId="{3EA60A0F-0828-451A-B58B-550AF5C37AEE}" sibTransId="{9B0921A5-2947-44F0-B1A5-702367D2F526}"/>
    <dgm:cxn modelId="{B253FC65-901E-43B1-B944-9E47F18CEA3A}" type="presOf" srcId="{22F07FBB-066D-4DAA-A82E-F9ABA111A029}" destId="{733A4756-8C5C-4214-832B-90402EA063F4}" srcOrd="0" destOrd="0" presId="urn:microsoft.com/office/officeart/2005/8/layout/chevron1"/>
    <dgm:cxn modelId="{CCFAFC7A-A2AA-4F81-BEC5-BE575481E5B4}" srcId="{2D4891F9-02BB-4744-BC98-F797D5378BB8}" destId="{22F07FBB-066D-4DAA-A82E-F9ABA111A029}" srcOrd="4" destOrd="0" parTransId="{A91416BF-0B50-470F-89A2-D597ECCF24E9}" sibTransId="{6CC54CB3-1DE4-4B5F-843D-46D4A6BDA80D}"/>
    <dgm:cxn modelId="{12CC558B-3C64-4623-B860-A0653C73DA09}" srcId="{2D4891F9-02BB-4744-BC98-F797D5378BB8}" destId="{8AAB4D2F-F059-4C7E-95EC-E4DB878DB7B0}" srcOrd="1" destOrd="0" parTransId="{167AAC3F-9E4E-4160-9CE7-079DF27D9821}" sibTransId="{D91072F5-9D43-40A2-B7DA-9490D45CF03E}"/>
    <dgm:cxn modelId="{EC98FC8D-D339-4239-86B7-82A9A8234363}" type="presOf" srcId="{2C10EB53-A34F-4B55-8BE6-EE065BABD930}" destId="{C30DE2D3-3607-4DA2-882B-05D80B0B4BC3}" srcOrd="0" destOrd="0" presId="urn:microsoft.com/office/officeart/2005/8/layout/chevron1"/>
    <dgm:cxn modelId="{115F5796-205D-4478-8F9F-C6E2C2E6DAA7}" srcId="{2D4891F9-02BB-4744-BC98-F797D5378BB8}" destId="{D776028D-2800-426E-BC0F-C58152E47314}" srcOrd="0" destOrd="0" parTransId="{7E771217-B877-4E7F-B702-00F37BC7E118}" sibTransId="{7B15472F-30FC-4178-B819-5294BBE2DE61}"/>
    <dgm:cxn modelId="{7045EAAD-4469-4E90-92BC-578274B09A8D}" type="presOf" srcId="{855B65E2-E04A-4C69-918E-201C857D95F6}" destId="{2DC4F51C-7158-4316-8A9B-C866CC41E42A}" srcOrd="0" destOrd="0" presId="urn:microsoft.com/office/officeart/2005/8/layout/chevron1"/>
    <dgm:cxn modelId="{E976D0B3-2D87-443B-9AE3-73117D473083}" type="presOf" srcId="{EFB44D52-ED59-4BE7-95AF-4906E13EAD04}" destId="{F0EF1AF7-9E50-4C53-86EF-D863DF7A9230}" srcOrd="0" destOrd="0" presId="urn:microsoft.com/office/officeart/2005/8/layout/chevron1"/>
    <dgm:cxn modelId="{8807D7C2-35CB-45E3-9707-F3F6E2EEEEB9}" type="presOf" srcId="{D776028D-2800-426E-BC0F-C58152E47314}" destId="{F3E1A825-B159-4C34-89E0-F529F7E3B2A5}" srcOrd="0" destOrd="0" presId="urn:microsoft.com/office/officeart/2005/8/layout/chevron1"/>
    <dgm:cxn modelId="{4314A4D0-0C4F-4E2C-AE82-D7AA6FC0D4AC}" type="presOf" srcId="{2D4891F9-02BB-4744-BC98-F797D5378BB8}" destId="{EB669D37-2AC3-4CBF-AF56-9AA04727DCEB}" srcOrd="0" destOrd="0" presId="urn:microsoft.com/office/officeart/2005/8/layout/chevron1"/>
    <dgm:cxn modelId="{B9343FD3-DBD1-4AC5-B57D-BD7A148E7364}" srcId="{2D4891F9-02BB-4744-BC98-F797D5378BB8}" destId="{EFB44D52-ED59-4BE7-95AF-4906E13EAD04}" srcOrd="6" destOrd="0" parTransId="{7FB964F2-72C0-4E4A-9CF6-8D927F09C94C}" sibTransId="{574EB713-A710-49F8-9597-5CA4C1BCC855}"/>
    <dgm:cxn modelId="{8B4B40D3-1ED9-4E3D-90D2-ABB2C75D8B58}" type="presOf" srcId="{8AAB4D2F-F059-4C7E-95EC-E4DB878DB7B0}" destId="{9661ACF9-6E2F-4AA1-B632-865A87605FBF}" srcOrd="0" destOrd="0" presId="urn:microsoft.com/office/officeart/2005/8/layout/chevron1"/>
    <dgm:cxn modelId="{4D188CFA-6CCF-4FDB-A5BA-D0D69FDF2833}" srcId="{2D4891F9-02BB-4744-BC98-F797D5378BB8}" destId="{FB27F4F0-75A5-448F-A8CF-DD2976A11483}" srcOrd="5" destOrd="0" parTransId="{A9337E4C-98D1-4CB2-A3F1-CB7A2154FF35}" sibTransId="{3D29A1BE-6275-4F01-A404-CAEFF0BD9E2A}"/>
    <dgm:cxn modelId="{7D465116-238F-4FBD-92CE-41DCE3A86CB7}" type="presParOf" srcId="{EB669D37-2AC3-4CBF-AF56-9AA04727DCEB}" destId="{F3E1A825-B159-4C34-89E0-F529F7E3B2A5}" srcOrd="0" destOrd="0" presId="urn:microsoft.com/office/officeart/2005/8/layout/chevron1"/>
    <dgm:cxn modelId="{6B1E9D0F-AC11-474A-81DF-3B7753BCF901}" type="presParOf" srcId="{EB669D37-2AC3-4CBF-AF56-9AA04727DCEB}" destId="{C2D8501D-F8B7-4C1C-93D1-71C0A7666FC4}" srcOrd="1" destOrd="0" presId="urn:microsoft.com/office/officeart/2005/8/layout/chevron1"/>
    <dgm:cxn modelId="{C73B4678-DE98-405B-BB84-A3A59682E940}" type="presParOf" srcId="{EB669D37-2AC3-4CBF-AF56-9AA04727DCEB}" destId="{9661ACF9-6E2F-4AA1-B632-865A87605FBF}" srcOrd="2" destOrd="0" presId="urn:microsoft.com/office/officeart/2005/8/layout/chevron1"/>
    <dgm:cxn modelId="{01554358-1CFD-42DD-8B29-A3EE409D0F82}" type="presParOf" srcId="{EB669D37-2AC3-4CBF-AF56-9AA04727DCEB}" destId="{0FBAD907-0F15-4838-9E30-B903AAE25FA1}" srcOrd="3" destOrd="0" presId="urn:microsoft.com/office/officeart/2005/8/layout/chevron1"/>
    <dgm:cxn modelId="{AD5904EB-7925-4304-B07D-1E1B7E7A6B4C}" type="presParOf" srcId="{EB669D37-2AC3-4CBF-AF56-9AA04727DCEB}" destId="{C30DE2D3-3607-4DA2-882B-05D80B0B4BC3}" srcOrd="4" destOrd="0" presId="urn:microsoft.com/office/officeart/2005/8/layout/chevron1"/>
    <dgm:cxn modelId="{29BC41C6-66A8-4358-97C3-9DC660DF917D}" type="presParOf" srcId="{EB669D37-2AC3-4CBF-AF56-9AA04727DCEB}" destId="{A175CAFE-81F9-4573-AB54-AE9DB9F314F6}" srcOrd="5" destOrd="0" presId="urn:microsoft.com/office/officeart/2005/8/layout/chevron1"/>
    <dgm:cxn modelId="{9EB3A924-73F1-4651-AB8C-B7C9473763B1}" type="presParOf" srcId="{EB669D37-2AC3-4CBF-AF56-9AA04727DCEB}" destId="{2DC4F51C-7158-4316-8A9B-C866CC41E42A}" srcOrd="6" destOrd="0" presId="urn:microsoft.com/office/officeart/2005/8/layout/chevron1"/>
    <dgm:cxn modelId="{E4CC8A43-3D82-456F-9BC7-A272F377FD3B}" type="presParOf" srcId="{EB669D37-2AC3-4CBF-AF56-9AA04727DCEB}" destId="{AB5C77F6-1DA7-4623-8AE0-61978979B13E}" srcOrd="7" destOrd="0" presId="urn:microsoft.com/office/officeart/2005/8/layout/chevron1"/>
    <dgm:cxn modelId="{27AE1223-0954-40EB-AC0F-06721B24EC2B}" type="presParOf" srcId="{EB669D37-2AC3-4CBF-AF56-9AA04727DCEB}" destId="{733A4756-8C5C-4214-832B-90402EA063F4}" srcOrd="8" destOrd="0" presId="urn:microsoft.com/office/officeart/2005/8/layout/chevron1"/>
    <dgm:cxn modelId="{4F87BCFE-93D2-456F-BF27-A79DAE64EEE2}" type="presParOf" srcId="{EB669D37-2AC3-4CBF-AF56-9AA04727DCEB}" destId="{E7C9E767-6D64-460D-9318-3BD5D55F0C36}" srcOrd="9" destOrd="0" presId="urn:microsoft.com/office/officeart/2005/8/layout/chevron1"/>
    <dgm:cxn modelId="{A697FF60-EE68-4874-9E58-B4AE6CEE4FFB}" type="presParOf" srcId="{EB669D37-2AC3-4CBF-AF56-9AA04727DCEB}" destId="{7FA1EC39-CCC5-496F-8476-ED4A88B8D2DF}" srcOrd="10" destOrd="0" presId="urn:microsoft.com/office/officeart/2005/8/layout/chevron1"/>
    <dgm:cxn modelId="{67F3A12F-A4E9-457E-B185-A3616007F678}" type="presParOf" srcId="{EB669D37-2AC3-4CBF-AF56-9AA04727DCEB}" destId="{C00C3344-EF23-4532-833E-B55E4B3CE4F5}" srcOrd="11" destOrd="0" presId="urn:microsoft.com/office/officeart/2005/8/layout/chevron1"/>
    <dgm:cxn modelId="{6E23F6A3-E659-4AFC-BBE5-28EE4AFE4E37}" type="presParOf" srcId="{EB669D37-2AC3-4CBF-AF56-9AA04727DCEB}" destId="{F0EF1AF7-9E50-4C53-86EF-D863DF7A9230}" srcOrd="12" destOrd="0" presId="urn:microsoft.com/office/officeart/2005/8/layout/chevron1"/>
  </dgm:cxnLst>
  <dgm:bg>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4891F9-02BB-4744-BC98-F797D5378BB8}" type="doc">
      <dgm:prSet loTypeId="urn:microsoft.com/office/officeart/2005/8/layout/chevron1" loCatId="process" qsTypeId="urn:microsoft.com/office/officeart/2005/8/quickstyle/simple1" qsCatId="simple" csTypeId="urn:microsoft.com/office/officeart/2005/8/colors/accent3_2" csCatId="accent3" phldr="1"/>
      <dgm:spPr/>
    </dgm:pt>
    <dgm:pt modelId="{D776028D-2800-426E-BC0F-C58152E47314}">
      <dgm:prSet phldrT="[Text]"/>
      <dgm:spPr>
        <a:solidFill>
          <a:schemeClr val="accent6">
            <a:lumMod val="60000"/>
            <a:lumOff val="40000"/>
          </a:schemeClr>
        </a:solidFill>
      </dgm:spPr>
      <dgm:t>
        <a:bodyPr/>
        <a:lstStyle/>
        <a:p>
          <a:r>
            <a:rPr lang="en-US" b="1"/>
            <a:t>PPP in general</a:t>
          </a:r>
        </a:p>
      </dgm:t>
    </dgm:pt>
    <dgm:pt modelId="{7E771217-B877-4E7F-B702-00F37BC7E118}" type="parTrans" cxnId="{115F5796-205D-4478-8F9F-C6E2C2E6DAA7}">
      <dgm:prSet/>
      <dgm:spPr/>
      <dgm:t>
        <a:bodyPr/>
        <a:lstStyle/>
        <a:p>
          <a:endParaRPr lang="en-US"/>
        </a:p>
      </dgm:t>
    </dgm:pt>
    <dgm:pt modelId="{7B15472F-30FC-4178-B819-5294BBE2DE61}" type="sibTrans" cxnId="{115F5796-205D-4478-8F9F-C6E2C2E6DAA7}">
      <dgm:prSet/>
      <dgm:spPr/>
      <dgm:t>
        <a:bodyPr/>
        <a:lstStyle/>
        <a:p>
          <a:endParaRPr lang="en-US"/>
        </a:p>
      </dgm:t>
    </dgm:pt>
    <dgm:pt modelId="{EFB44D52-ED59-4BE7-95AF-4906E13EAD04}">
      <dgm:prSet phldrT="[Text]"/>
      <dgm:spPr>
        <a:solidFill>
          <a:schemeClr val="accent6">
            <a:lumMod val="60000"/>
            <a:lumOff val="40000"/>
          </a:schemeClr>
        </a:solidFill>
      </dgm:spPr>
      <dgm:t>
        <a:bodyPr/>
        <a:lstStyle/>
        <a:p>
          <a:r>
            <a:rPr lang="en-US" b="1"/>
            <a:t>Competition and state aid</a:t>
          </a:r>
        </a:p>
      </dgm:t>
    </dgm:pt>
    <dgm:pt modelId="{7FB964F2-72C0-4E4A-9CF6-8D927F09C94C}" type="parTrans" cxnId="{B9343FD3-DBD1-4AC5-B57D-BD7A148E7364}">
      <dgm:prSet/>
      <dgm:spPr/>
      <dgm:t>
        <a:bodyPr/>
        <a:lstStyle/>
        <a:p>
          <a:endParaRPr lang="en-US"/>
        </a:p>
      </dgm:t>
    </dgm:pt>
    <dgm:pt modelId="{574EB713-A710-49F8-9597-5CA4C1BCC855}" type="sibTrans" cxnId="{B9343FD3-DBD1-4AC5-B57D-BD7A148E7364}">
      <dgm:prSet/>
      <dgm:spPr/>
      <dgm:t>
        <a:bodyPr/>
        <a:lstStyle/>
        <a:p>
          <a:endParaRPr lang="en-US"/>
        </a:p>
      </dgm:t>
    </dgm:pt>
    <dgm:pt modelId="{22F07FBB-066D-4DAA-A82E-F9ABA111A029}">
      <dgm:prSet/>
      <dgm:spPr>
        <a:solidFill>
          <a:schemeClr val="accent6">
            <a:lumMod val="60000"/>
            <a:lumOff val="40000"/>
          </a:schemeClr>
        </a:solidFill>
      </dgm:spPr>
      <dgm:t>
        <a:bodyPr/>
        <a:lstStyle/>
        <a:p>
          <a:r>
            <a:rPr lang="en-US" b="1"/>
            <a:t>Statistical treatment</a:t>
          </a:r>
        </a:p>
      </dgm:t>
    </dgm:pt>
    <dgm:pt modelId="{A91416BF-0B50-470F-89A2-D597ECCF24E9}" type="parTrans" cxnId="{CCFAFC7A-A2AA-4F81-BEC5-BE575481E5B4}">
      <dgm:prSet/>
      <dgm:spPr/>
      <dgm:t>
        <a:bodyPr/>
        <a:lstStyle/>
        <a:p>
          <a:endParaRPr lang="en-US"/>
        </a:p>
      </dgm:t>
    </dgm:pt>
    <dgm:pt modelId="{6CC54CB3-1DE4-4B5F-843D-46D4A6BDA80D}" type="sibTrans" cxnId="{CCFAFC7A-A2AA-4F81-BEC5-BE575481E5B4}">
      <dgm:prSet/>
      <dgm:spPr/>
      <dgm:t>
        <a:bodyPr/>
        <a:lstStyle/>
        <a:p>
          <a:endParaRPr lang="en-US"/>
        </a:p>
      </dgm:t>
    </dgm:pt>
    <dgm:pt modelId="{855B65E2-E04A-4C69-918E-201C857D95F6}">
      <dgm:prSet/>
      <dgm:spPr>
        <a:solidFill>
          <a:schemeClr val="accent6">
            <a:lumMod val="60000"/>
            <a:lumOff val="40000"/>
          </a:schemeClr>
        </a:solidFill>
      </dgm:spPr>
      <dgm:t>
        <a:bodyPr/>
        <a:lstStyle/>
        <a:p>
          <a:r>
            <a:rPr lang="en-US" b="1"/>
            <a:t>FEC and</a:t>
          </a:r>
          <a:r>
            <a:rPr lang="lv-LV" b="1"/>
            <a:t> the</a:t>
          </a:r>
          <a:r>
            <a:rPr lang="en-US" b="1"/>
            <a:t> contract price</a:t>
          </a:r>
        </a:p>
      </dgm:t>
    </dgm:pt>
    <dgm:pt modelId="{F1E308F3-8107-4B9D-991E-8E40AC8F75EE}" type="parTrans" cxnId="{ECA2030E-BEAB-4F24-A7B7-A6B676F20EFA}">
      <dgm:prSet/>
      <dgm:spPr/>
      <dgm:t>
        <a:bodyPr/>
        <a:lstStyle/>
        <a:p>
          <a:endParaRPr lang="en-US"/>
        </a:p>
      </dgm:t>
    </dgm:pt>
    <dgm:pt modelId="{9E3B6003-83DF-4A8B-872B-13119254EF67}" type="sibTrans" cxnId="{ECA2030E-BEAB-4F24-A7B7-A6B676F20EFA}">
      <dgm:prSet/>
      <dgm:spPr/>
      <dgm:t>
        <a:bodyPr/>
        <a:lstStyle/>
        <a:p>
          <a:endParaRPr lang="en-US"/>
        </a:p>
      </dgm:t>
    </dgm:pt>
    <dgm:pt modelId="{FB27F4F0-75A5-448F-A8CF-DD2976A11483}">
      <dgm:prSet phldrT="[Text]"/>
      <dgm:spPr>
        <a:solidFill>
          <a:schemeClr val="accent6">
            <a:lumMod val="60000"/>
            <a:lumOff val="40000"/>
          </a:schemeClr>
        </a:solidFill>
      </dgm:spPr>
      <dgm:t>
        <a:bodyPr/>
        <a:lstStyle/>
        <a:p>
          <a:r>
            <a:rPr lang="en-US" b="1"/>
            <a:t>Selecting a private partner</a:t>
          </a:r>
        </a:p>
      </dgm:t>
    </dgm:pt>
    <dgm:pt modelId="{3D29A1BE-6275-4F01-A404-CAEFF0BD9E2A}" type="sibTrans" cxnId="{4D188CFA-6CCF-4FDB-A5BA-D0D69FDF2833}">
      <dgm:prSet/>
      <dgm:spPr/>
      <dgm:t>
        <a:bodyPr/>
        <a:lstStyle/>
        <a:p>
          <a:endParaRPr lang="en-US"/>
        </a:p>
      </dgm:t>
    </dgm:pt>
    <dgm:pt modelId="{A9337E4C-98D1-4CB2-A3F1-CB7A2154FF35}" type="parTrans" cxnId="{4D188CFA-6CCF-4FDB-A5BA-D0D69FDF2833}">
      <dgm:prSet/>
      <dgm:spPr/>
      <dgm:t>
        <a:bodyPr/>
        <a:lstStyle/>
        <a:p>
          <a:endParaRPr lang="en-US"/>
        </a:p>
      </dgm:t>
    </dgm:pt>
    <dgm:pt modelId="{8AAB4D2F-F059-4C7E-95EC-E4DB878DB7B0}">
      <dgm:prSet/>
      <dgm:spPr>
        <a:solidFill>
          <a:schemeClr val="accent6">
            <a:lumMod val="60000"/>
            <a:lumOff val="40000"/>
          </a:schemeClr>
        </a:solidFill>
      </dgm:spPr>
      <dgm:t>
        <a:bodyPr/>
        <a:lstStyle/>
        <a:p>
          <a:r>
            <a:rPr lang="en-US" b="1"/>
            <a:t>PPP arrangements and models</a:t>
          </a:r>
        </a:p>
      </dgm:t>
    </dgm:pt>
    <dgm:pt modelId="{167AAC3F-9E4E-4160-9CE7-079DF27D9821}" type="parTrans" cxnId="{12CC558B-3C64-4623-B860-A0653C73DA09}">
      <dgm:prSet/>
      <dgm:spPr/>
      <dgm:t>
        <a:bodyPr/>
        <a:lstStyle/>
        <a:p>
          <a:endParaRPr lang="en-US"/>
        </a:p>
      </dgm:t>
    </dgm:pt>
    <dgm:pt modelId="{D91072F5-9D43-40A2-B7DA-9490D45CF03E}" type="sibTrans" cxnId="{12CC558B-3C64-4623-B860-A0653C73DA09}">
      <dgm:prSet/>
      <dgm:spPr/>
      <dgm:t>
        <a:bodyPr/>
        <a:lstStyle/>
        <a:p>
          <a:endParaRPr lang="en-US"/>
        </a:p>
      </dgm:t>
    </dgm:pt>
    <dgm:pt modelId="{2C10EB53-A34F-4B55-8BE6-EE065BABD930}">
      <dgm:prSet/>
      <dgm:spPr>
        <a:solidFill>
          <a:srgbClr val="92D050"/>
        </a:solidFill>
      </dgm:spPr>
      <dgm:t>
        <a:bodyPr/>
        <a:lstStyle/>
        <a:p>
          <a:r>
            <a:rPr lang="en-US" b="1"/>
            <a:t>PPP project step by step</a:t>
          </a:r>
        </a:p>
      </dgm:t>
    </dgm:pt>
    <dgm:pt modelId="{3EA60A0F-0828-451A-B58B-550AF5C37AEE}" type="parTrans" cxnId="{09EE5D42-3886-41F3-AE4B-5A1A4722CCFC}">
      <dgm:prSet/>
      <dgm:spPr/>
      <dgm:t>
        <a:bodyPr/>
        <a:lstStyle/>
        <a:p>
          <a:endParaRPr lang="en-US"/>
        </a:p>
      </dgm:t>
    </dgm:pt>
    <dgm:pt modelId="{9B0921A5-2947-44F0-B1A5-702367D2F526}" type="sibTrans" cxnId="{09EE5D42-3886-41F3-AE4B-5A1A4722CCFC}">
      <dgm:prSet/>
      <dgm:spPr/>
      <dgm:t>
        <a:bodyPr/>
        <a:lstStyle/>
        <a:p>
          <a:endParaRPr lang="en-US"/>
        </a:p>
      </dgm:t>
    </dgm:pt>
    <dgm:pt modelId="{EB669D37-2AC3-4CBF-AF56-9AA04727DCEB}" type="pres">
      <dgm:prSet presAssocID="{2D4891F9-02BB-4744-BC98-F797D5378BB8}" presName="Name0" presStyleCnt="0">
        <dgm:presLayoutVars>
          <dgm:dir/>
          <dgm:animLvl val="lvl"/>
          <dgm:resizeHandles val="exact"/>
        </dgm:presLayoutVars>
      </dgm:prSet>
      <dgm:spPr/>
    </dgm:pt>
    <dgm:pt modelId="{F3E1A825-B159-4C34-89E0-F529F7E3B2A5}" type="pres">
      <dgm:prSet presAssocID="{D776028D-2800-426E-BC0F-C58152E47314}" presName="parTxOnly" presStyleLbl="node1" presStyleIdx="0" presStyleCnt="7">
        <dgm:presLayoutVars>
          <dgm:chMax val="0"/>
          <dgm:chPref val="0"/>
          <dgm:bulletEnabled val="1"/>
        </dgm:presLayoutVars>
      </dgm:prSet>
      <dgm:spPr/>
    </dgm:pt>
    <dgm:pt modelId="{C2D8501D-F8B7-4C1C-93D1-71C0A7666FC4}" type="pres">
      <dgm:prSet presAssocID="{7B15472F-30FC-4178-B819-5294BBE2DE61}" presName="parTxOnlySpace" presStyleCnt="0"/>
      <dgm:spPr/>
    </dgm:pt>
    <dgm:pt modelId="{9661ACF9-6E2F-4AA1-B632-865A87605FBF}" type="pres">
      <dgm:prSet presAssocID="{8AAB4D2F-F059-4C7E-95EC-E4DB878DB7B0}" presName="parTxOnly" presStyleLbl="node1" presStyleIdx="1" presStyleCnt="7">
        <dgm:presLayoutVars>
          <dgm:chMax val="0"/>
          <dgm:chPref val="0"/>
          <dgm:bulletEnabled val="1"/>
        </dgm:presLayoutVars>
      </dgm:prSet>
      <dgm:spPr/>
    </dgm:pt>
    <dgm:pt modelId="{0FBAD907-0F15-4838-9E30-B903AAE25FA1}" type="pres">
      <dgm:prSet presAssocID="{D91072F5-9D43-40A2-B7DA-9490D45CF03E}" presName="parTxOnlySpace" presStyleCnt="0"/>
      <dgm:spPr/>
    </dgm:pt>
    <dgm:pt modelId="{C30DE2D3-3607-4DA2-882B-05D80B0B4BC3}" type="pres">
      <dgm:prSet presAssocID="{2C10EB53-A34F-4B55-8BE6-EE065BABD930}" presName="parTxOnly" presStyleLbl="node1" presStyleIdx="2" presStyleCnt="7">
        <dgm:presLayoutVars>
          <dgm:chMax val="0"/>
          <dgm:chPref val="0"/>
          <dgm:bulletEnabled val="1"/>
        </dgm:presLayoutVars>
      </dgm:prSet>
      <dgm:spPr/>
    </dgm:pt>
    <dgm:pt modelId="{A175CAFE-81F9-4573-AB54-AE9DB9F314F6}" type="pres">
      <dgm:prSet presAssocID="{9B0921A5-2947-44F0-B1A5-702367D2F526}" presName="parTxOnlySpace" presStyleCnt="0"/>
      <dgm:spPr/>
    </dgm:pt>
    <dgm:pt modelId="{2DC4F51C-7158-4316-8A9B-C866CC41E42A}" type="pres">
      <dgm:prSet presAssocID="{855B65E2-E04A-4C69-918E-201C857D95F6}" presName="parTxOnly" presStyleLbl="node1" presStyleIdx="3" presStyleCnt="7">
        <dgm:presLayoutVars>
          <dgm:chMax val="0"/>
          <dgm:chPref val="0"/>
          <dgm:bulletEnabled val="1"/>
        </dgm:presLayoutVars>
      </dgm:prSet>
      <dgm:spPr/>
    </dgm:pt>
    <dgm:pt modelId="{AB5C77F6-1DA7-4623-8AE0-61978979B13E}" type="pres">
      <dgm:prSet presAssocID="{9E3B6003-83DF-4A8B-872B-13119254EF67}" presName="parTxOnlySpace" presStyleCnt="0"/>
      <dgm:spPr/>
    </dgm:pt>
    <dgm:pt modelId="{733A4756-8C5C-4214-832B-90402EA063F4}" type="pres">
      <dgm:prSet presAssocID="{22F07FBB-066D-4DAA-A82E-F9ABA111A029}" presName="parTxOnly" presStyleLbl="node1" presStyleIdx="4" presStyleCnt="7">
        <dgm:presLayoutVars>
          <dgm:chMax val="0"/>
          <dgm:chPref val="0"/>
          <dgm:bulletEnabled val="1"/>
        </dgm:presLayoutVars>
      </dgm:prSet>
      <dgm:spPr/>
    </dgm:pt>
    <dgm:pt modelId="{E7C9E767-6D64-460D-9318-3BD5D55F0C36}" type="pres">
      <dgm:prSet presAssocID="{6CC54CB3-1DE4-4B5F-843D-46D4A6BDA80D}" presName="parTxOnlySpace" presStyleCnt="0"/>
      <dgm:spPr/>
    </dgm:pt>
    <dgm:pt modelId="{7FA1EC39-CCC5-496F-8476-ED4A88B8D2DF}" type="pres">
      <dgm:prSet presAssocID="{FB27F4F0-75A5-448F-A8CF-DD2976A11483}" presName="parTxOnly" presStyleLbl="node1" presStyleIdx="5" presStyleCnt="7">
        <dgm:presLayoutVars>
          <dgm:chMax val="0"/>
          <dgm:chPref val="0"/>
          <dgm:bulletEnabled val="1"/>
        </dgm:presLayoutVars>
      </dgm:prSet>
      <dgm:spPr/>
    </dgm:pt>
    <dgm:pt modelId="{C00C3344-EF23-4532-833E-B55E4B3CE4F5}" type="pres">
      <dgm:prSet presAssocID="{3D29A1BE-6275-4F01-A404-CAEFF0BD9E2A}" presName="parTxOnlySpace" presStyleCnt="0"/>
      <dgm:spPr/>
    </dgm:pt>
    <dgm:pt modelId="{F0EF1AF7-9E50-4C53-86EF-D863DF7A9230}" type="pres">
      <dgm:prSet presAssocID="{EFB44D52-ED59-4BE7-95AF-4906E13EAD04}" presName="parTxOnly" presStyleLbl="node1" presStyleIdx="6" presStyleCnt="7">
        <dgm:presLayoutVars>
          <dgm:chMax val="0"/>
          <dgm:chPref val="0"/>
          <dgm:bulletEnabled val="1"/>
        </dgm:presLayoutVars>
      </dgm:prSet>
      <dgm:spPr/>
    </dgm:pt>
  </dgm:ptLst>
  <dgm:cxnLst>
    <dgm:cxn modelId="{ECA2030E-BEAB-4F24-A7B7-A6B676F20EFA}" srcId="{2D4891F9-02BB-4744-BC98-F797D5378BB8}" destId="{855B65E2-E04A-4C69-918E-201C857D95F6}" srcOrd="3" destOrd="0" parTransId="{F1E308F3-8107-4B9D-991E-8E40AC8F75EE}" sibTransId="{9E3B6003-83DF-4A8B-872B-13119254EF67}"/>
    <dgm:cxn modelId="{E6FC785C-5C79-4CB9-97B0-38C9221EDAD3}" type="presOf" srcId="{FB27F4F0-75A5-448F-A8CF-DD2976A11483}" destId="{7FA1EC39-CCC5-496F-8476-ED4A88B8D2DF}" srcOrd="0" destOrd="0" presId="urn:microsoft.com/office/officeart/2005/8/layout/chevron1"/>
    <dgm:cxn modelId="{09EE5D42-3886-41F3-AE4B-5A1A4722CCFC}" srcId="{2D4891F9-02BB-4744-BC98-F797D5378BB8}" destId="{2C10EB53-A34F-4B55-8BE6-EE065BABD930}" srcOrd="2" destOrd="0" parTransId="{3EA60A0F-0828-451A-B58B-550AF5C37AEE}" sibTransId="{9B0921A5-2947-44F0-B1A5-702367D2F526}"/>
    <dgm:cxn modelId="{B253FC65-901E-43B1-B944-9E47F18CEA3A}" type="presOf" srcId="{22F07FBB-066D-4DAA-A82E-F9ABA111A029}" destId="{733A4756-8C5C-4214-832B-90402EA063F4}" srcOrd="0" destOrd="0" presId="urn:microsoft.com/office/officeart/2005/8/layout/chevron1"/>
    <dgm:cxn modelId="{CCFAFC7A-A2AA-4F81-BEC5-BE575481E5B4}" srcId="{2D4891F9-02BB-4744-BC98-F797D5378BB8}" destId="{22F07FBB-066D-4DAA-A82E-F9ABA111A029}" srcOrd="4" destOrd="0" parTransId="{A91416BF-0B50-470F-89A2-D597ECCF24E9}" sibTransId="{6CC54CB3-1DE4-4B5F-843D-46D4A6BDA80D}"/>
    <dgm:cxn modelId="{12CC558B-3C64-4623-B860-A0653C73DA09}" srcId="{2D4891F9-02BB-4744-BC98-F797D5378BB8}" destId="{8AAB4D2F-F059-4C7E-95EC-E4DB878DB7B0}" srcOrd="1" destOrd="0" parTransId="{167AAC3F-9E4E-4160-9CE7-079DF27D9821}" sibTransId="{D91072F5-9D43-40A2-B7DA-9490D45CF03E}"/>
    <dgm:cxn modelId="{EC98FC8D-D339-4239-86B7-82A9A8234363}" type="presOf" srcId="{2C10EB53-A34F-4B55-8BE6-EE065BABD930}" destId="{C30DE2D3-3607-4DA2-882B-05D80B0B4BC3}" srcOrd="0" destOrd="0" presId="urn:microsoft.com/office/officeart/2005/8/layout/chevron1"/>
    <dgm:cxn modelId="{115F5796-205D-4478-8F9F-C6E2C2E6DAA7}" srcId="{2D4891F9-02BB-4744-BC98-F797D5378BB8}" destId="{D776028D-2800-426E-BC0F-C58152E47314}" srcOrd="0" destOrd="0" parTransId="{7E771217-B877-4E7F-B702-00F37BC7E118}" sibTransId="{7B15472F-30FC-4178-B819-5294BBE2DE61}"/>
    <dgm:cxn modelId="{7045EAAD-4469-4E90-92BC-578274B09A8D}" type="presOf" srcId="{855B65E2-E04A-4C69-918E-201C857D95F6}" destId="{2DC4F51C-7158-4316-8A9B-C866CC41E42A}" srcOrd="0" destOrd="0" presId="urn:microsoft.com/office/officeart/2005/8/layout/chevron1"/>
    <dgm:cxn modelId="{E976D0B3-2D87-443B-9AE3-73117D473083}" type="presOf" srcId="{EFB44D52-ED59-4BE7-95AF-4906E13EAD04}" destId="{F0EF1AF7-9E50-4C53-86EF-D863DF7A9230}" srcOrd="0" destOrd="0" presId="urn:microsoft.com/office/officeart/2005/8/layout/chevron1"/>
    <dgm:cxn modelId="{8807D7C2-35CB-45E3-9707-F3F6E2EEEEB9}" type="presOf" srcId="{D776028D-2800-426E-BC0F-C58152E47314}" destId="{F3E1A825-B159-4C34-89E0-F529F7E3B2A5}" srcOrd="0" destOrd="0" presId="urn:microsoft.com/office/officeart/2005/8/layout/chevron1"/>
    <dgm:cxn modelId="{4314A4D0-0C4F-4E2C-AE82-D7AA6FC0D4AC}" type="presOf" srcId="{2D4891F9-02BB-4744-BC98-F797D5378BB8}" destId="{EB669D37-2AC3-4CBF-AF56-9AA04727DCEB}" srcOrd="0" destOrd="0" presId="urn:microsoft.com/office/officeart/2005/8/layout/chevron1"/>
    <dgm:cxn modelId="{B9343FD3-DBD1-4AC5-B57D-BD7A148E7364}" srcId="{2D4891F9-02BB-4744-BC98-F797D5378BB8}" destId="{EFB44D52-ED59-4BE7-95AF-4906E13EAD04}" srcOrd="6" destOrd="0" parTransId="{7FB964F2-72C0-4E4A-9CF6-8D927F09C94C}" sibTransId="{574EB713-A710-49F8-9597-5CA4C1BCC855}"/>
    <dgm:cxn modelId="{8B4B40D3-1ED9-4E3D-90D2-ABB2C75D8B58}" type="presOf" srcId="{8AAB4D2F-F059-4C7E-95EC-E4DB878DB7B0}" destId="{9661ACF9-6E2F-4AA1-B632-865A87605FBF}" srcOrd="0" destOrd="0" presId="urn:microsoft.com/office/officeart/2005/8/layout/chevron1"/>
    <dgm:cxn modelId="{4D188CFA-6CCF-4FDB-A5BA-D0D69FDF2833}" srcId="{2D4891F9-02BB-4744-BC98-F797D5378BB8}" destId="{FB27F4F0-75A5-448F-A8CF-DD2976A11483}" srcOrd="5" destOrd="0" parTransId="{A9337E4C-98D1-4CB2-A3F1-CB7A2154FF35}" sibTransId="{3D29A1BE-6275-4F01-A404-CAEFF0BD9E2A}"/>
    <dgm:cxn modelId="{7D465116-238F-4FBD-92CE-41DCE3A86CB7}" type="presParOf" srcId="{EB669D37-2AC3-4CBF-AF56-9AA04727DCEB}" destId="{F3E1A825-B159-4C34-89E0-F529F7E3B2A5}" srcOrd="0" destOrd="0" presId="urn:microsoft.com/office/officeart/2005/8/layout/chevron1"/>
    <dgm:cxn modelId="{6B1E9D0F-AC11-474A-81DF-3B7753BCF901}" type="presParOf" srcId="{EB669D37-2AC3-4CBF-AF56-9AA04727DCEB}" destId="{C2D8501D-F8B7-4C1C-93D1-71C0A7666FC4}" srcOrd="1" destOrd="0" presId="urn:microsoft.com/office/officeart/2005/8/layout/chevron1"/>
    <dgm:cxn modelId="{C73B4678-DE98-405B-BB84-A3A59682E940}" type="presParOf" srcId="{EB669D37-2AC3-4CBF-AF56-9AA04727DCEB}" destId="{9661ACF9-6E2F-4AA1-B632-865A87605FBF}" srcOrd="2" destOrd="0" presId="urn:microsoft.com/office/officeart/2005/8/layout/chevron1"/>
    <dgm:cxn modelId="{01554358-1CFD-42DD-8B29-A3EE409D0F82}" type="presParOf" srcId="{EB669D37-2AC3-4CBF-AF56-9AA04727DCEB}" destId="{0FBAD907-0F15-4838-9E30-B903AAE25FA1}" srcOrd="3" destOrd="0" presId="urn:microsoft.com/office/officeart/2005/8/layout/chevron1"/>
    <dgm:cxn modelId="{AD5904EB-7925-4304-B07D-1E1B7E7A6B4C}" type="presParOf" srcId="{EB669D37-2AC3-4CBF-AF56-9AA04727DCEB}" destId="{C30DE2D3-3607-4DA2-882B-05D80B0B4BC3}" srcOrd="4" destOrd="0" presId="urn:microsoft.com/office/officeart/2005/8/layout/chevron1"/>
    <dgm:cxn modelId="{29BC41C6-66A8-4358-97C3-9DC660DF917D}" type="presParOf" srcId="{EB669D37-2AC3-4CBF-AF56-9AA04727DCEB}" destId="{A175CAFE-81F9-4573-AB54-AE9DB9F314F6}" srcOrd="5" destOrd="0" presId="urn:microsoft.com/office/officeart/2005/8/layout/chevron1"/>
    <dgm:cxn modelId="{9EB3A924-73F1-4651-AB8C-B7C9473763B1}" type="presParOf" srcId="{EB669D37-2AC3-4CBF-AF56-9AA04727DCEB}" destId="{2DC4F51C-7158-4316-8A9B-C866CC41E42A}" srcOrd="6" destOrd="0" presId="urn:microsoft.com/office/officeart/2005/8/layout/chevron1"/>
    <dgm:cxn modelId="{E4CC8A43-3D82-456F-9BC7-A272F377FD3B}" type="presParOf" srcId="{EB669D37-2AC3-4CBF-AF56-9AA04727DCEB}" destId="{AB5C77F6-1DA7-4623-8AE0-61978979B13E}" srcOrd="7" destOrd="0" presId="urn:microsoft.com/office/officeart/2005/8/layout/chevron1"/>
    <dgm:cxn modelId="{27AE1223-0954-40EB-AC0F-06721B24EC2B}" type="presParOf" srcId="{EB669D37-2AC3-4CBF-AF56-9AA04727DCEB}" destId="{733A4756-8C5C-4214-832B-90402EA063F4}" srcOrd="8" destOrd="0" presId="urn:microsoft.com/office/officeart/2005/8/layout/chevron1"/>
    <dgm:cxn modelId="{4F87BCFE-93D2-456F-BF27-A79DAE64EEE2}" type="presParOf" srcId="{EB669D37-2AC3-4CBF-AF56-9AA04727DCEB}" destId="{E7C9E767-6D64-460D-9318-3BD5D55F0C36}" srcOrd="9" destOrd="0" presId="urn:microsoft.com/office/officeart/2005/8/layout/chevron1"/>
    <dgm:cxn modelId="{A697FF60-EE68-4874-9E58-B4AE6CEE4FFB}" type="presParOf" srcId="{EB669D37-2AC3-4CBF-AF56-9AA04727DCEB}" destId="{7FA1EC39-CCC5-496F-8476-ED4A88B8D2DF}" srcOrd="10" destOrd="0" presId="urn:microsoft.com/office/officeart/2005/8/layout/chevron1"/>
    <dgm:cxn modelId="{67F3A12F-A4E9-457E-B185-A3616007F678}" type="presParOf" srcId="{EB669D37-2AC3-4CBF-AF56-9AA04727DCEB}" destId="{C00C3344-EF23-4532-833E-B55E4B3CE4F5}" srcOrd="11" destOrd="0" presId="urn:microsoft.com/office/officeart/2005/8/layout/chevron1"/>
    <dgm:cxn modelId="{6E23F6A3-E659-4AFC-BBE5-28EE4AFE4E37}" type="presParOf" srcId="{EB669D37-2AC3-4CBF-AF56-9AA04727DCEB}" destId="{F0EF1AF7-9E50-4C53-86EF-D863DF7A9230}" srcOrd="12"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4891F9-02BB-4744-BC98-F797D5378BB8}" type="doc">
      <dgm:prSet loTypeId="urn:microsoft.com/office/officeart/2005/8/layout/chevron1" loCatId="process" qsTypeId="urn:microsoft.com/office/officeart/2005/8/quickstyle/simple1" qsCatId="simple" csTypeId="urn:microsoft.com/office/officeart/2005/8/colors/accent3_2" csCatId="accent3" phldr="1"/>
      <dgm:spPr/>
    </dgm:pt>
    <dgm:pt modelId="{D776028D-2800-426E-BC0F-C58152E47314}">
      <dgm:prSet phldrT="[Text]"/>
      <dgm:spPr>
        <a:solidFill>
          <a:schemeClr val="accent6">
            <a:lumMod val="60000"/>
            <a:lumOff val="40000"/>
          </a:schemeClr>
        </a:solidFill>
      </dgm:spPr>
      <dgm:t>
        <a:bodyPr/>
        <a:lstStyle/>
        <a:p>
          <a:r>
            <a:rPr lang="en-US" b="1"/>
            <a:t>PPP in general</a:t>
          </a:r>
        </a:p>
      </dgm:t>
    </dgm:pt>
    <dgm:pt modelId="{7E771217-B877-4E7F-B702-00F37BC7E118}" type="parTrans" cxnId="{115F5796-205D-4478-8F9F-C6E2C2E6DAA7}">
      <dgm:prSet/>
      <dgm:spPr/>
      <dgm:t>
        <a:bodyPr/>
        <a:lstStyle/>
        <a:p>
          <a:endParaRPr lang="en-US"/>
        </a:p>
      </dgm:t>
    </dgm:pt>
    <dgm:pt modelId="{7B15472F-30FC-4178-B819-5294BBE2DE61}" type="sibTrans" cxnId="{115F5796-205D-4478-8F9F-C6E2C2E6DAA7}">
      <dgm:prSet/>
      <dgm:spPr/>
      <dgm:t>
        <a:bodyPr/>
        <a:lstStyle/>
        <a:p>
          <a:endParaRPr lang="en-US"/>
        </a:p>
      </dgm:t>
    </dgm:pt>
    <dgm:pt modelId="{EFB44D52-ED59-4BE7-95AF-4906E13EAD04}">
      <dgm:prSet phldrT="[Text]"/>
      <dgm:spPr>
        <a:solidFill>
          <a:schemeClr val="accent6">
            <a:lumMod val="60000"/>
            <a:lumOff val="40000"/>
          </a:schemeClr>
        </a:solidFill>
      </dgm:spPr>
      <dgm:t>
        <a:bodyPr/>
        <a:lstStyle/>
        <a:p>
          <a:r>
            <a:rPr lang="en-US" b="1"/>
            <a:t>Competition and state aid</a:t>
          </a:r>
        </a:p>
      </dgm:t>
    </dgm:pt>
    <dgm:pt modelId="{7FB964F2-72C0-4E4A-9CF6-8D927F09C94C}" type="parTrans" cxnId="{B9343FD3-DBD1-4AC5-B57D-BD7A148E7364}">
      <dgm:prSet/>
      <dgm:spPr/>
      <dgm:t>
        <a:bodyPr/>
        <a:lstStyle/>
        <a:p>
          <a:endParaRPr lang="en-US"/>
        </a:p>
      </dgm:t>
    </dgm:pt>
    <dgm:pt modelId="{574EB713-A710-49F8-9597-5CA4C1BCC855}" type="sibTrans" cxnId="{B9343FD3-DBD1-4AC5-B57D-BD7A148E7364}">
      <dgm:prSet/>
      <dgm:spPr/>
      <dgm:t>
        <a:bodyPr/>
        <a:lstStyle/>
        <a:p>
          <a:endParaRPr lang="en-US"/>
        </a:p>
      </dgm:t>
    </dgm:pt>
    <dgm:pt modelId="{22F07FBB-066D-4DAA-A82E-F9ABA111A029}">
      <dgm:prSet/>
      <dgm:spPr>
        <a:solidFill>
          <a:schemeClr val="accent6">
            <a:lumMod val="60000"/>
            <a:lumOff val="40000"/>
          </a:schemeClr>
        </a:solidFill>
      </dgm:spPr>
      <dgm:t>
        <a:bodyPr/>
        <a:lstStyle/>
        <a:p>
          <a:r>
            <a:rPr lang="en-US" b="1"/>
            <a:t>Statistical treatment</a:t>
          </a:r>
        </a:p>
      </dgm:t>
    </dgm:pt>
    <dgm:pt modelId="{A91416BF-0B50-470F-89A2-D597ECCF24E9}" type="parTrans" cxnId="{CCFAFC7A-A2AA-4F81-BEC5-BE575481E5B4}">
      <dgm:prSet/>
      <dgm:spPr/>
      <dgm:t>
        <a:bodyPr/>
        <a:lstStyle/>
        <a:p>
          <a:endParaRPr lang="en-US"/>
        </a:p>
      </dgm:t>
    </dgm:pt>
    <dgm:pt modelId="{6CC54CB3-1DE4-4B5F-843D-46D4A6BDA80D}" type="sibTrans" cxnId="{CCFAFC7A-A2AA-4F81-BEC5-BE575481E5B4}">
      <dgm:prSet/>
      <dgm:spPr/>
      <dgm:t>
        <a:bodyPr/>
        <a:lstStyle/>
        <a:p>
          <a:endParaRPr lang="en-US"/>
        </a:p>
      </dgm:t>
    </dgm:pt>
    <dgm:pt modelId="{855B65E2-E04A-4C69-918E-201C857D95F6}">
      <dgm:prSet/>
      <dgm:spPr>
        <a:solidFill>
          <a:srgbClr val="92D050"/>
        </a:solidFill>
      </dgm:spPr>
      <dgm:t>
        <a:bodyPr/>
        <a:lstStyle/>
        <a:p>
          <a:r>
            <a:rPr lang="en-US" b="1"/>
            <a:t>FEC and</a:t>
          </a:r>
          <a:r>
            <a:rPr lang="lv-LV" b="1"/>
            <a:t> the</a:t>
          </a:r>
          <a:r>
            <a:rPr lang="en-US" b="1"/>
            <a:t> contract price</a:t>
          </a:r>
        </a:p>
      </dgm:t>
    </dgm:pt>
    <dgm:pt modelId="{F1E308F3-8107-4B9D-991E-8E40AC8F75EE}" type="parTrans" cxnId="{ECA2030E-BEAB-4F24-A7B7-A6B676F20EFA}">
      <dgm:prSet/>
      <dgm:spPr/>
      <dgm:t>
        <a:bodyPr/>
        <a:lstStyle/>
        <a:p>
          <a:endParaRPr lang="en-US"/>
        </a:p>
      </dgm:t>
    </dgm:pt>
    <dgm:pt modelId="{9E3B6003-83DF-4A8B-872B-13119254EF67}" type="sibTrans" cxnId="{ECA2030E-BEAB-4F24-A7B7-A6B676F20EFA}">
      <dgm:prSet/>
      <dgm:spPr/>
      <dgm:t>
        <a:bodyPr/>
        <a:lstStyle/>
        <a:p>
          <a:endParaRPr lang="en-US"/>
        </a:p>
      </dgm:t>
    </dgm:pt>
    <dgm:pt modelId="{FB27F4F0-75A5-448F-A8CF-DD2976A11483}">
      <dgm:prSet phldrT="[Text]"/>
      <dgm:spPr>
        <a:solidFill>
          <a:schemeClr val="accent6">
            <a:lumMod val="60000"/>
            <a:lumOff val="40000"/>
          </a:schemeClr>
        </a:solidFill>
      </dgm:spPr>
      <dgm:t>
        <a:bodyPr/>
        <a:lstStyle/>
        <a:p>
          <a:r>
            <a:rPr lang="en-US" b="1"/>
            <a:t>Selecting a private partner</a:t>
          </a:r>
        </a:p>
      </dgm:t>
    </dgm:pt>
    <dgm:pt modelId="{3D29A1BE-6275-4F01-A404-CAEFF0BD9E2A}" type="sibTrans" cxnId="{4D188CFA-6CCF-4FDB-A5BA-D0D69FDF2833}">
      <dgm:prSet/>
      <dgm:spPr/>
      <dgm:t>
        <a:bodyPr/>
        <a:lstStyle/>
        <a:p>
          <a:endParaRPr lang="en-US"/>
        </a:p>
      </dgm:t>
    </dgm:pt>
    <dgm:pt modelId="{A9337E4C-98D1-4CB2-A3F1-CB7A2154FF35}" type="parTrans" cxnId="{4D188CFA-6CCF-4FDB-A5BA-D0D69FDF2833}">
      <dgm:prSet/>
      <dgm:spPr/>
      <dgm:t>
        <a:bodyPr/>
        <a:lstStyle/>
        <a:p>
          <a:endParaRPr lang="en-US"/>
        </a:p>
      </dgm:t>
    </dgm:pt>
    <dgm:pt modelId="{8AAB4D2F-F059-4C7E-95EC-E4DB878DB7B0}">
      <dgm:prSet/>
      <dgm:spPr>
        <a:solidFill>
          <a:schemeClr val="accent6">
            <a:lumMod val="60000"/>
            <a:lumOff val="40000"/>
          </a:schemeClr>
        </a:solidFill>
      </dgm:spPr>
      <dgm:t>
        <a:bodyPr/>
        <a:lstStyle/>
        <a:p>
          <a:r>
            <a:rPr lang="en-US" b="1"/>
            <a:t>PPP arrangements and models</a:t>
          </a:r>
        </a:p>
      </dgm:t>
    </dgm:pt>
    <dgm:pt modelId="{167AAC3F-9E4E-4160-9CE7-079DF27D9821}" type="parTrans" cxnId="{12CC558B-3C64-4623-B860-A0653C73DA09}">
      <dgm:prSet/>
      <dgm:spPr/>
      <dgm:t>
        <a:bodyPr/>
        <a:lstStyle/>
        <a:p>
          <a:endParaRPr lang="en-US"/>
        </a:p>
      </dgm:t>
    </dgm:pt>
    <dgm:pt modelId="{D91072F5-9D43-40A2-B7DA-9490D45CF03E}" type="sibTrans" cxnId="{12CC558B-3C64-4623-B860-A0653C73DA09}">
      <dgm:prSet/>
      <dgm:spPr/>
      <dgm:t>
        <a:bodyPr/>
        <a:lstStyle/>
        <a:p>
          <a:endParaRPr lang="en-US"/>
        </a:p>
      </dgm:t>
    </dgm:pt>
    <dgm:pt modelId="{2C10EB53-A34F-4B55-8BE6-EE065BABD930}">
      <dgm:prSet/>
      <dgm:spPr>
        <a:solidFill>
          <a:schemeClr val="accent6">
            <a:lumMod val="60000"/>
            <a:lumOff val="40000"/>
          </a:schemeClr>
        </a:solidFill>
      </dgm:spPr>
      <dgm:t>
        <a:bodyPr/>
        <a:lstStyle/>
        <a:p>
          <a:r>
            <a:rPr lang="en-US" b="1"/>
            <a:t>PPP project step by step</a:t>
          </a:r>
        </a:p>
      </dgm:t>
    </dgm:pt>
    <dgm:pt modelId="{3EA60A0F-0828-451A-B58B-550AF5C37AEE}" type="parTrans" cxnId="{09EE5D42-3886-41F3-AE4B-5A1A4722CCFC}">
      <dgm:prSet/>
      <dgm:spPr/>
      <dgm:t>
        <a:bodyPr/>
        <a:lstStyle/>
        <a:p>
          <a:endParaRPr lang="en-US"/>
        </a:p>
      </dgm:t>
    </dgm:pt>
    <dgm:pt modelId="{9B0921A5-2947-44F0-B1A5-702367D2F526}" type="sibTrans" cxnId="{09EE5D42-3886-41F3-AE4B-5A1A4722CCFC}">
      <dgm:prSet/>
      <dgm:spPr/>
      <dgm:t>
        <a:bodyPr/>
        <a:lstStyle/>
        <a:p>
          <a:endParaRPr lang="en-US"/>
        </a:p>
      </dgm:t>
    </dgm:pt>
    <dgm:pt modelId="{EB669D37-2AC3-4CBF-AF56-9AA04727DCEB}" type="pres">
      <dgm:prSet presAssocID="{2D4891F9-02BB-4744-BC98-F797D5378BB8}" presName="Name0" presStyleCnt="0">
        <dgm:presLayoutVars>
          <dgm:dir/>
          <dgm:animLvl val="lvl"/>
          <dgm:resizeHandles val="exact"/>
        </dgm:presLayoutVars>
      </dgm:prSet>
      <dgm:spPr/>
    </dgm:pt>
    <dgm:pt modelId="{F3E1A825-B159-4C34-89E0-F529F7E3B2A5}" type="pres">
      <dgm:prSet presAssocID="{D776028D-2800-426E-BC0F-C58152E47314}" presName="parTxOnly" presStyleLbl="node1" presStyleIdx="0" presStyleCnt="7">
        <dgm:presLayoutVars>
          <dgm:chMax val="0"/>
          <dgm:chPref val="0"/>
          <dgm:bulletEnabled val="1"/>
        </dgm:presLayoutVars>
      </dgm:prSet>
      <dgm:spPr/>
    </dgm:pt>
    <dgm:pt modelId="{C2D8501D-F8B7-4C1C-93D1-71C0A7666FC4}" type="pres">
      <dgm:prSet presAssocID="{7B15472F-30FC-4178-B819-5294BBE2DE61}" presName="parTxOnlySpace" presStyleCnt="0"/>
      <dgm:spPr/>
    </dgm:pt>
    <dgm:pt modelId="{9661ACF9-6E2F-4AA1-B632-865A87605FBF}" type="pres">
      <dgm:prSet presAssocID="{8AAB4D2F-F059-4C7E-95EC-E4DB878DB7B0}" presName="parTxOnly" presStyleLbl="node1" presStyleIdx="1" presStyleCnt="7">
        <dgm:presLayoutVars>
          <dgm:chMax val="0"/>
          <dgm:chPref val="0"/>
          <dgm:bulletEnabled val="1"/>
        </dgm:presLayoutVars>
      </dgm:prSet>
      <dgm:spPr/>
    </dgm:pt>
    <dgm:pt modelId="{0FBAD907-0F15-4838-9E30-B903AAE25FA1}" type="pres">
      <dgm:prSet presAssocID="{D91072F5-9D43-40A2-B7DA-9490D45CF03E}" presName="parTxOnlySpace" presStyleCnt="0"/>
      <dgm:spPr/>
    </dgm:pt>
    <dgm:pt modelId="{C30DE2D3-3607-4DA2-882B-05D80B0B4BC3}" type="pres">
      <dgm:prSet presAssocID="{2C10EB53-A34F-4B55-8BE6-EE065BABD930}" presName="parTxOnly" presStyleLbl="node1" presStyleIdx="2" presStyleCnt="7">
        <dgm:presLayoutVars>
          <dgm:chMax val="0"/>
          <dgm:chPref val="0"/>
          <dgm:bulletEnabled val="1"/>
        </dgm:presLayoutVars>
      </dgm:prSet>
      <dgm:spPr/>
    </dgm:pt>
    <dgm:pt modelId="{A175CAFE-81F9-4573-AB54-AE9DB9F314F6}" type="pres">
      <dgm:prSet presAssocID="{9B0921A5-2947-44F0-B1A5-702367D2F526}" presName="parTxOnlySpace" presStyleCnt="0"/>
      <dgm:spPr/>
    </dgm:pt>
    <dgm:pt modelId="{2DC4F51C-7158-4316-8A9B-C866CC41E42A}" type="pres">
      <dgm:prSet presAssocID="{855B65E2-E04A-4C69-918E-201C857D95F6}" presName="parTxOnly" presStyleLbl="node1" presStyleIdx="3" presStyleCnt="7">
        <dgm:presLayoutVars>
          <dgm:chMax val="0"/>
          <dgm:chPref val="0"/>
          <dgm:bulletEnabled val="1"/>
        </dgm:presLayoutVars>
      </dgm:prSet>
      <dgm:spPr/>
    </dgm:pt>
    <dgm:pt modelId="{AB5C77F6-1DA7-4623-8AE0-61978979B13E}" type="pres">
      <dgm:prSet presAssocID="{9E3B6003-83DF-4A8B-872B-13119254EF67}" presName="parTxOnlySpace" presStyleCnt="0"/>
      <dgm:spPr/>
    </dgm:pt>
    <dgm:pt modelId="{733A4756-8C5C-4214-832B-90402EA063F4}" type="pres">
      <dgm:prSet presAssocID="{22F07FBB-066D-4DAA-A82E-F9ABA111A029}" presName="parTxOnly" presStyleLbl="node1" presStyleIdx="4" presStyleCnt="7">
        <dgm:presLayoutVars>
          <dgm:chMax val="0"/>
          <dgm:chPref val="0"/>
          <dgm:bulletEnabled val="1"/>
        </dgm:presLayoutVars>
      </dgm:prSet>
      <dgm:spPr/>
    </dgm:pt>
    <dgm:pt modelId="{E7C9E767-6D64-460D-9318-3BD5D55F0C36}" type="pres">
      <dgm:prSet presAssocID="{6CC54CB3-1DE4-4B5F-843D-46D4A6BDA80D}" presName="parTxOnlySpace" presStyleCnt="0"/>
      <dgm:spPr/>
    </dgm:pt>
    <dgm:pt modelId="{7FA1EC39-CCC5-496F-8476-ED4A88B8D2DF}" type="pres">
      <dgm:prSet presAssocID="{FB27F4F0-75A5-448F-A8CF-DD2976A11483}" presName="parTxOnly" presStyleLbl="node1" presStyleIdx="5" presStyleCnt="7">
        <dgm:presLayoutVars>
          <dgm:chMax val="0"/>
          <dgm:chPref val="0"/>
          <dgm:bulletEnabled val="1"/>
        </dgm:presLayoutVars>
      </dgm:prSet>
      <dgm:spPr/>
    </dgm:pt>
    <dgm:pt modelId="{C00C3344-EF23-4532-833E-B55E4B3CE4F5}" type="pres">
      <dgm:prSet presAssocID="{3D29A1BE-6275-4F01-A404-CAEFF0BD9E2A}" presName="parTxOnlySpace" presStyleCnt="0"/>
      <dgm:spPr/>
    </dgm:pt>
    <dgm:pt modelId="{F0EF1AF7-9E50-4C53-86EF-D863DF7A9230}" type="pres">
      <dgm:prSet presAssocID="{EFB44D52-ED59-4BE7-95AF-4906E13EAD04}" presName="parTxOnly" presStyleLbl="node1" presStyleIdx="6" presStyleCnt="7">
        <dgm:presLayoutVars>
          <dgm:chMax val="0"/>
          <dgm:chPref val="0"/>
          <dgm:bulletEnabled val="1"/>
        </dgm:presLayoutVars>
      </dgm:prSet>
      <dgm:spPr/>
    </dgm:pt>
  </dgm:ptLst>
  <dgm:cxnLst>
    <dgm:cxn modelId="{ECA2030E-BEAB-4F24-A7B7-A6B676F20EFA}" srcId="{2D4891F9-02BB-4744-BC98-F797D5378BB8}" destId="{855B65E2-E04A-4C69-918E-201C857D95F6}" srcOrd="3" destOrd="0" parTransId="{F1E308F3-8107-4B9D-991E-8E40AC8F75EE}" sibTransId="{9E3B6003-83DF-4A8B-872B-13119254EF67}"/>
    <dgm:cxn modelId="{E6FC785C-5C79-4CB9-97B0-38C9221EDAD3}" type="presOf" srcId="{FB27F4F0-75A5-448F-A8CF-DD2976A11483}" destId="{7FA1EC39-CCC5-496F-8476-ED4A88B8D2DF}" srcOrd="0" destOrd="0" presId="urn:microsoft.com/office/officeart/2005/8/layout/chevron1"/>
    <dgm:cxn modelId="{09EE5D42-3886-41F3-AE4B-5A1A4722CCFC}" srcId="{2D4891F9-02BB-4744-BC98-F797D5378BB8}" destId="{2C10EB53-A34F-4B55-8BE6-EE065BABD930}" srcOrd="2" destOrd="0" parTransId="{3EA60A0F-0828-451A-B58B-550AF5C37AEE}" sibTransId="{9B0921A5-2947-44F0-B1A5-702367D2F526}"/>
    <dgm:cxn modelId="{B253FC65-901E-43B1-B944-9E47F18CEA3A}" type="presOf" srcId="{22F07FBB-066D-4DAA-A82E-F9ABA111A029}" destId="{733A4756-8C5C-4214-832B-90402EA063F4}" srcOrd="0" destOrd="0" presId="urn:microsoft.com/office/officeart/2005/8/layout/chevron1"/>
    <dgm:cxn modelId="{CCFAFC7A-A2AA-4F81-BEC5-BE575481E5B4}" srcId="{2D4891F9-02BB-4744-BC98-F797D5378BB8}" destId="{22F07FBB-066D-4DAA-A82E-F9ABA111A029}" srcOrd="4" destOrd="0" parTransId="{A91416BF-0B50-470F-89A2-D597ECCF24E9}" sibTransId="{6CC54CB3-1DE4-4B5F-843D-46D4A6BDA80D}"/>
    <dgm:cxn modelId="{12CC558B-3C64-4623-B860-A0653C73DA09}" srcId="{2D4891F9-02BB-4744-BC98-F797D5378BB8}" destId="{8AAB4D2F-F059-4C7E-95EC-E4DB878DB7B0}" srcOrd="1" destOrd="0" parTransId="{167AAC3F-9E4E-4160-9CE7-079DF27D9821}" sibTransId="{D91072F5-9D43-40A2-B7DA-9490D45CF03E}"/>
    <dgm:cxn modelId="{EC98FC8D-D339-4239-86B7-82A9A8234363}" type="presOf" srcId="{2C10EB53-A34F-4B55-8BE6-EE065BABD930}" destId="{C30DE2D3-3607-4DA2-882B-05D80B0B4BC3}" srcOrd="0" destOrd="0" presId="urn:microsoft.com/office/officeart/2005/8/layout/chevron1"/>
    <dgm:cxn modelId="{115F5796-205D-4478-8F9F-C6E2C2E6DAA7}" srcId="{2D4891F9-02BB-4744-BC98-F797D5378BB8}" destId="{D776028D-2800-426E-BC0F-C58152E47314}" srcOrd="0" destOrd="0" parTransId="{7E771217-B877-4E7F-B702-00F37BC7E118}" sibTransId="{7B15472F-30FC-4178-B819-5294BBE2DE61}"/>
    <dgm:cxn modelId="{7045EAAD-4469-4E90-92BC-578274B09A8D}" type="presOf" srcId="{855B65E2-E04A-4C69-918E-201C857D95F6}" destId="{2DC4F51C-7158-4316-8A9B-C866CC41E42A}" srcOrd="0" destOrd="0" presId="urn:microsoft.com/office/officeart/2005/8/layout/chevron1"/>
    <dgm:cxn modelId="{E976D0B3-2D87-443B-9AE3-73117D473083}" type="presOf" srcId="{EFB44D52-ED59-4BE7-95AF-4906E13EAD04}" destId="{F0EF1AF7-9E50-4C53-86EF-D863DF7A9230}" srcOrd="0" destOrd="0" presId="urn:microsoft.com/office/officeart/2005/8/layout/chevron1"/>
    <dgm:cxn modelId="{8807D7C2-35CB-45E3-9707-F3F6E2EEEEB9}" type="presOf" srcId="{D776028D-2800-426E-BC0F-C58152E47314}" destId="{F3E1A825-B159-4C34-89E0-F529F7E3B2A5}" srcOrd="0" destOrd="0" presId="urn:microsoft.com/office/officeart/2005/8/layout/chevron1"/>
    <dgm:cxn modelId="{4314A4D0-0C4F-4E2C-AE82-D7AA6FC0D4AC}" type="presOf" srcId="{2D4891F9-02BB-4744-BC98-F797D5378BB8}" destId="{EB669D37-2AC3-4CBF-AF56-9AA04727DCEB}" srcOrd="0" destOrd="0" presId="urn:microsoft.com/office/officeart/2005/8/layout/chevron1"/>
    <dgm:cxn modelId="{B9343FD3-DBD1-4AC5-B57D-BD7A148E7364}" srcId="{2D4891F9-02BB-4744-BC98-F797D5378BB8}" destId="{EFB44D52-ED59-4BE7-95AF-4906E13EAD04}" srcOrd="6" destOrd="0" parTransId="{7FB964F2-72C0-4E4A-9CF6-8D927F09C94C}" sibTransId="{574EB713-A710-49F8-9597-5CA4C1BCC855}"/>
    <dgm:cxn modelId="{8B4B40D3-1ED9-4E3D-90D2-ABB2C75D8B58}" type="presOf" srcId="{8AAB4D2F-F059-4C7E-95EC-E4DB878DB7B0}" destId="{9661ACF9-6E2F-4AA1-B632-865A87605FBF}" srcOrd="0" destOrd="0" presId="urn:microsoft.com/office/officeart/2005/8/layout/chevron1"/>
    <dgm:cxn modelId="{4D188CFA-6CCF-4FDB-A5BA-D0D69FDF2833}" srcId="{2D4891F9-02BB-4744-BC98-F797D5378BB8}" destId="{FB27F4F0-75A5-448F-A8CF-DD2976A11483}" srcOrd="5" destOrd="0" parTransId="{A9337E4C-98D1-4CB2-A3F1-CB7A2154FF35}" sibTransId="{3D29A1BE-6275-4F01-A404-CAEFF0BD9E2A}"/>
    <dgm:cxn modelId="{7D465116-238F-4FBD-92CE-41DCE3A86CB7}" type="presParOf" srcId="{EB669D37-2AC3-4CBF-AF56-9AA04727DCEB}" destId="{F3E1A825-B159-4C34-89E0-F529F7E3B2A5}" srcOrd="0" destOrd="0" presId="urn:microsoft.com/office/officeart/2005/8/layout/chevron1"/>
    <dgm:cxn modelId="{6B1E9D0F-AC11-474A-81DF-3B7753BCF901}" type="presParOf" srcId="{EB669D37-2AC3-4CBF-AF56-9AA04727DCEB}" destId="{C2D8501D-F8B7-4C1C-93D1-71C0A7666FC4}" srcOrd="1" destOrd="0" presId="urn:microsoft.com/office/officeart/2005/8/layout/chevron1"/>
    <dgm:cxn modelId="{C73B4678-DE98-405B-BB84-A3A59682E940}" type="presParOf" srcId="{EB669D37-2AC3-4CBF-AF56-9AA04727DCEB}" destId="{9661ACF9-6E2F-4AA1-B632-865A87605FBF}" srcOrd="2" destOrd="0" presId="urn:microsoft.com/office/officeart/2005/8/layout/chevron1"/>
    <dgm:cxn modelId="{01554358-1CFD-42DD-8B29-A3EE409D0F82}" type="presParOf" srcId="{EB669D37-2AC3-4CBF-AF56-9AA04727DCEB}" destId="{0FBAD907-0F15-4838-9E30-B903AAE25FA1}" srcOrd="3" destOrd="0" presId="urn:microsoft.com/office/officeart/2005/8/layout/chevron1"/>
    <dgm:cxn modelId="{AD5904EB-7925-4304-B07D-1E1B7E7A6B4C}" type="presParOf" srcId="{EB669D37-2AC3-4CBF-AF56-9AA04727DCEB}" destId="{C30DE2D3-3607-4DA2-882B-05D80B0B4BC3}" srcOrd="4" destOrd="0" presId="urn:microsoft.com/office/officeart/2005/8/layout/chevron1"/>
    <dgm:cxn modelId="{29BC41C6-66A8-4358-97C3-9DC660DF917D}" type="presParOf" srcId="{EB669D37-2AC3-4CBF-AF56-9AA04727DCEB}" destId="{A175CAFE-81F9-4573-AB54-AE9DB9F314F6}" srcOrd="5" destOrd="0" presId="urn:microsoft.com/office/officeart/2005/8/layout/chevron1"/>
    <dgm:cxn modelId="{9EB3A924-73F1-4651-AB8C-B7C9473763B1}" type="presParOf" srcId="{EB669D37-2AC3-4CBF-AF56-9AA04727DCEB}" destId="{2DC4F51C-7158-4316-8A9B-C866CC41E42A}" srcOrd="6" destOrd="0" presId="urn:microsoft.com/office/officeart/2005/8/layout/chevron1"/>
    <dgm:cxn modelId="{E4CC8A43-3D82-456F-9BC7-A272F377FD3B}" type="presParOf" srcId="{EB669D37-2AC3-4CBF-AF56-9AA04727DCEB}" destId="{AB5C77F6-1DA7-4623-8AE0-61978979B13E}" srcOrd="7" destOrd="0" presId="urn:microsoft.com/office/officeart/2005/8/layout/chevron1"/>
    <dgm:cxn modelId="{27AE1223-0954-40EB-AC0F-06721B24EC2B}" type="presParOf" srcId="{EB669D37-2AC3-4CBF-AF56-9AA04727DCEB}" destId="{733A4756-8C5C-4214-832B-90402EA063F4}" srcOrd="8" destOrd="0" presId="urn:microsoft.com/office/officeart/2005/8/layout/chevron1"/>
    <dgm:cxn modelId="{4F87BCFE-93D2-456F-BF27-A79DAE64EEE2}" type="presParOf" srcId="{EB669D37-2AC3-4CBF-AF56-9AA04727DCEB}" destId="{E7C9E767-6D64-460D-9318-3BD5D55F0C36}" srcOrd="9" destOrd="0" presId="urn:microsoft.com/office/officeart/2005/8/layout/chevron1"/>
    <dgm:cxn modelId="{A697FF60-EE68-4874-9E58-B4AE6CEE4FFB}" type="presParOf" srcId="{EB669D37-2AC3-4CBF-AF56-9AA04727DCEB}" destId="{7FA1EC39-CCC5-496F-8476-ED4A88B8D2DF}" srcOrd="10" destOrd="0" presId="urn:microsoft.com/office/officeart/2005/8/layout/chevron1"/>
    <dgm:cxn modelId="{67F3A12F-A4E9-457E-B185-A3616007F678}" type="presParOf" srcId="{EB669D37-2AC3-4CBF-AF56-9AA04727DCEB}" destId="{C00C3344-EF23-4532-833E-B55E4B3CE4F5}" srcOrd="11" destOrd="0" presId="urn:microsoft.com/office/officeart/2005/8/layout/chevron1"/>
    <dgm:cxn modelId="{6E23F6A3-E659-4AFC-BBE5-28EE4AFE4E37}" type="presParOf" srcId="{EB669D37-2AC3-4CBF-AF56-9AA04727DCEB}" destId="{F0EF1AF7-9E50-4C53-86EF-D863DF7A9230}" srcOrd="12" destOrd="0" presId="urn:microsoft.com/office/officeart/2005/8/layout/chevr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4891F9-02BB-4744-BC98-F797D5378BB8}" type="doc">
      <dgm:prSet loTypeId="urn:microsoft.com/office/officeart/2005/8/layout/chevron1" loCatId="process" qsTypeId="urn:microsoft.com/office/officeart/2005/8/quickstyle/simple1" qsCatId="simple" csTypeId="urn:microsoft.com/office/officeart/2005/8/colors/accent3_2" csCatId="accent3" phldr="1"/>
      <dgm:spPr/>
    </dgm:pt>
    <dgm:pt modelId="{D776028D-2800-426E-BC0F-C58152E47314}">
      <dgm:prSet phldrT="[Text]"/>
      <dgm:spPr>
        <a:solidFill>
          <a:schemeClr val="accent6">
            <a:lumMod val="60000"/>
            <a:lumOff val="40000"/>
          </a:schemeClr>
        </a:solidFill>
      </dgm:spPr>
      <dgm:t>
        <a:bodyPr/>
        <a:lstStyle/>
        <a:p>
          <a:r>
            <a:rPr lang="en-US" b="1"/>
            <a:t>PPP in general</a:t>
          </a:r>
        </a:p>
      </dgm:t>
    </dgm:pt>
    <dgm:pt modelId="{7E771217-B877-4E7F-B702-00F37BC7E118}" type="parTrans" cxnId="{115F5796-205D-4478-8F9F-C6E2C2E6DAA7}">
      <dgm:prSet/>
      <dgm:spPr/>
      <dgm:t>
        <a:bodyPr/>
        <a:lstStyle/>
        <a:p>
          <a:endParaRPr lang="en-US"/>
        </a:p>
      </dgm:t>
    </dgm:pt>
    <dgm:pt modelId="{7B15472F-30FC-4178-B819-5294BBE2DE61}" type="sibTrans" cxnId="{115F5796-205D-4478-8F9F-C6E2C2E6DAA7}">
      <dgm:prSet/>
      <dgm:spPr/>
      <dgm:t>
        <a:bodyPr/>
        <a:lstStyle/>
        <a:p>
          <a:endParaRPr lang="en-US"/>
        </a:p>
      </dgm:t>
    </dgm:pt>
    <dgm:pt modelId="{EFB44D52-ED59-4BE7-95AF-4906E13EAD04}">
      <dgm:prSet phldrT="[Text]"/>
      <dgm:spPr>
        <a:solidFill>
          <a:schemeClr val="accent6">
            <a:lumMod val="60000"/>
            <a:lumOff val="40000"/>
          </a:schemeClr>
        </a:solidFill>
      </dgm:spPr>
      <dgm:t>
        <a:bodyPr/>
        <a:lstStyle/>
        <a:p>
          <a:r>
            <a:rPr lang="en-US" b="1"/>
            <a:t>Competition and state aid</a:t>
          </a:r>
        </a:p>
      </dgm:t>
    </dgm:pt>
    <dgm:pt modelId="{7FB964F2-72C0-4E4A-9CF6-8D927F09C94C}" type="parTrans" cxnId="{B9343FD3-DBD1-4AC5-B57D-BD7A148E7364}">
      <dgm:prSet/>
      <dgm:spPr/>
      <dgm:t>
        <a:bodyPr/>
        <a:lstStyle/>
        <a:p>
          <a:endParaRPr lang="en-US"/>
        </a:p>
      </dgm:t>
    </dgm:pt>
    <dgm:pt modelId="{574EB713-A710-49F8-9597-5CA4C1BCC855}" type="sibTrans" cxnId="{B9343FD3-DBD1-4AC5-B57D-BD7A148E7364}">
      <dgm:prSet/>
      <dgm:spPr/>
      <dgm:t>
        <a:bodyPr/>
        <a:lstStyle/>
        <a:p>
          <a:endParaRPr lang="en-US"/>
        </a:p>
      </dgm:t>
    </dgm:pt>
    <dgm:pt modelId="{22F07FBB-066D-4DAA-A82E-F9ABA111A029}">
      <dgm:prSet/>
      <dgm:spPr>
        <a:solidFill>
          <a:srgbClr val="92D050"/>
        </a:solidFill>
      </dgm:spPr>
      <dgm:t>
        <a:bodyPr/>
        <a:lstStyle/>
        <a:p>
          <a:r>
            <a:rPr lang="en-US" b="1"/>
            <a:t>Statistical treatment</a:t>
          </a:r>
        </a:p>
      </dgm:t>
    </dgm:pt>
    <dgm:pt modelId="{A91416BF-0B50-470F-89A2-D597ECCF24E9}" type="parTrans" cxnId="{CCFAFC7A-A2AA-4F81-BEC5-BE575481E5B4}">
      <dgm:prSet/>
      <dgm:spPr/>
      <dgm:t>
        <a:bodyPr/>
        <a:lstStyle/>
        <a:p>
          <a:endParaRPr lang="en-US"/>
        </a:p>
      </dgm:t>
    </dgm:pt>
    <dgm:pt modelId="{6CC54CB3-1DE4-4B5F-843D-46D4A6BDA80D}" type="sibTrans" cxnId="{CCFAFC7A-A2AA-4F81-BEC5-BE575481E5B4}">
      <dgm:prSet/>
      <dgm:spPr/>
      <dgm:t>
        <a:bodyPr/>
        <a:lstStyle/>
        <a:p>
          <a:endParaRPr lang="en-US"/>
        </a:p>
      </dgm:t>
    </dgm:pt>
    <dgm:pt modelId="{855B65E2-E04A-4C69-918E-201C857D95F6}">
      <dgm:prSet/>
      <dgm:spPr>
        <a:solidFill>
          <a:schemeClr val="accent6">
            <a:lumMod val="60000"/>
            <a:lumOff val="40000"/>
          </a:schemeClr>
        </a:solidFill>
      </dgm:spPr>
      <dgm:t>
        <a:bodyPr/>
        <a:lstStyle/>
        <a:p>
          <a:r>
            <a:rPr lang="en-US" b="1"/>
            <a:t>FEC and</a:t>
          </a:r>
          <a:r>
            <a:rPr lang="lv-LV" b="1"/>
            <a:t> the</a:t>
          </a:r>
          <a:r>
            <a:rPr lang="en-US" b="1"/>
            <a:t> contract price</a:t>
          </a:r>
        </a:p>
      </dgm:t>
    </dgm:pt>
    <dgm:pt modelId="{F1E308F3-8107-4B9D-991E-8E40AC8F75EE}" type="parTrans" cxnId="{ECA2030E-BEAB-4F24-A7B7-A6B676F20EFA}">
      <dgm:prSet/>
      <dgm:spPr/>
      <dgm:t>
        <a:bodyPr/>
        <a:lstStyle/>
        <a:p>
          <a:endParaRPr lang="en-US"/>
        </a:p>
      </dgm:t>
    </dgm:pt>
    <dgm:pt modelId="{9E3B6003-83DF-4A8B-872B-13119254EF67}" type="sibTrans" cxnId="{ECA2030E-BEAB-4F24-A7B7-A6B676F20EFA}">
      <dgm:prSet/>
      <dgm:spPr/>
      <dgm:t>
        <a:bodyPr/>
        <a:lstStyle/>
        <a:p>
          <a:endParaRPr lang="en-US"/>
        </a:p>
      </dgm:t>
    </dgm:pt>
    <dgm:pt modelId="{FB27F4F0-75A5-448F-A8CF-DD2976A11483}">
      <dgm:prSet phldrT="[Text]"/>
      <dgm:spPr>
        <a:solidFill>
          <a:schemeClr val="accent6">
            <a:lumMod val="60000"/>
            <a:lumOff val="40000"/>
          </a:schemeClr>
        </a:solidFill>
      </dgm:spPr>
      <dgm:t>
        <a:bodyPr/>
        <a:lstStyle/>
        <a:p>
          <a:r>
            <a:rPr lang="en-US" b="1"/>
            <a:t>Selecting a private partner</a:t>
          </a:r>
        </a:p>
      </dgm:t>
    </dgm:pt>
    <dgm:pt modelId="{3D29A1BE-6275-4F01-A404-CAEFF0BD9E2A}" type="sibTrans" cxnId="{4D188CFA-6CCF-4FDB-A5BA-D0D69FDF2833}">
      <dgm:prSet/>
      <dgm:spPr/>
      <dgm:t>
        <a:bodyPr/>
        <a:lstStyle/>
        <a:p>
          <a:endParaRPr lang="en-US"/>
        </a:p>
      </dgm:t>
    </dgm:pt>
    <dgm:pt modelId="{A9337E4C-98D1-4CB2-A3F1-CB7A2154FF35}" type="parTrans" cxnId="{4D188CFA-6CCF-4FDB-A5BA-D0D69FDF2833}">
      <dgm:prSet/>
      <dgm:spPr/>
      <dgm:t>
        <a:bodyPr/>
        <a:lstStyle/>
        <a:p>
          <a:endParaRPr lang="en-US"/>
        </a:p>
      </dgm:t>
    </dgm:pt>
    <dgm:pt modelId="{8AAB4D2F-F059-4C7E-95EC-E4DB878DB7B0}">
      <dgm:prSet/>
      <dgm:spPr>
        <a:solidFill>
          <a:schemeClr val="accent6">
            <a:lumMod val="60000"/>
            <a:lumOff val="40000"/>
          </a:schemeClr>
        </a:solidFill>
      </dgm:spPr>
      <dgm:t>
        <a:bodyPr/>
        <a:lstStyle/>
        <a:p>
          <a:r>
            <a:rPr lang="en-US" b="1"/>
            <a:t>PPP arrangements and models</a:t>
          </a:r>
        </a:p>
      </dgm:t>
    </dgm:pt>
    <dgm:pt modelId="{167AAC3F-9E4E-4160-9CE7-079DF27D9821}" type="parTrans" cxnId="{12CC558B-3C64-4623-B860-A0653C73DA09}">
      <dgm:prSet/>
      <dgm:spPr/>
      <dgm:t>
        <a:bodyPr/>
        <a:lstStyle/>
        <a:p>
          <a:endParaRPr lang="en-US"/>
        </a:p>
      </dgm:t>
    </dgm:pt>
    <dgm:pt modelId="{D91072F5-9D43-40A2-B7DA-9490D45CF03E}" type="sibTrans" cxnId="{12CC558B-3C64-4623-B860-A0653C73DA09}">
      <dgm:prSet/>
      <dgm:spPr/>
      <dgm:t>
        <a:bodyPr/>
        <a:lstStyle/>
        <a:p>
          <a:endParaRPr lang="en-US"/>
        </a:p>
      </dgm:t>
    </dgm:pt>
    <dgm:pt modelId="{2C10EB53-A34F-4B55-8BE6-EE065BABD930}">
      <dgm:prSet/>
      <dgm:spPr>
        <a:solidFill>
          <a:schemeClr val="accent6">
            <a:lumMod val="60000"/>
            <a:lumOff val="40000"/>
          </a:schemeClr>
        </a:solidFill>
      </dgm:spPr>
      <dgm:t>
        <a:bodyPr/>
        <a:lstStyle/>
        <a:p>
          <a:r>
            <a:rPr lang="en-US" b="1"/>
            <a:t>PPP project step by step</a:t>
          </a:r>
        </a:p>
      </dgm:t>
    </dgm:pt>
    <dgm:pt modelId="{3EA60A0F-0828-451A-B58B-550AF5C37AEE}" type="parTrans" cxnId="{09EE5D42-3886-41F3-AE4B-5A1A4722CCFC}">
      <dgm:prSet/>
      <dgm:spPr/>
      <dgm:t>
        <a:bodyPr/>
        <a:lstStyle/>
        <a:p>
          <a:endParaRPr lang="en-US"/>
        </a:p>
      </dgm:t>
    </dgm:pt>
    <dgm:pt modelId="{9B0921A5-2947-44F0-B1A5-702367D2F526}" type="sibTrans" cxnId="{09EE5D42-3886-41F3-AE4B-5A1A4722CCFC}">
      <dgm:prSet/>
      <dgm:spPr/>
      <dgm:t>
        <a:bodyPr/>
        <a:lstStyle/>
        <a:p>
          <a:endParaRPr lang="en-US"/>
        </a:p>
      </dgm:t>
    </dgm:pt>
    <dgm:pt modelId="{EB669D37-2AC3-4CBF-AF56-9AA04727DCEB}" type="pres">
      <dgm:prSet presAssocID="{2D4891F9-02BB-4744-BC98-F797D5378BB8}" presName="Name0" presStyleCnt="0">
        <dgm:presLayoutVars>
          <dgm:dir/>
          <dgm:animLvl val="lvl"/>
          <dgm:resizeHandles val="exact"/>
        </dgm:presLayoutVars>
      </dgm:prSet>
      <dgm:spPr/>
    </dgm:pt>
    <dgm:pt modelId="{F3E1A825-B159-4C34-89E0-F529F7E3B2A5}" type="pres">
      <dgm:prSet presAssocID="{D776028D-2800-426E-BC0F-C58152E47314}" presName="parTxOnly" presStyleLbl="node1" presStyleIdx="0" presStyleCnt="7">
        <dgm:presLayoutVars>
          <dgm:chMax val="0"/>
          <dgm:chPref val="0"/>
          <dgm:bulletEnabled val="1"/>
        </dgm:presLayoutVars>
      </dgm:prSet>
      <dgm:spPr/>
    </dgm:pt>
    <dgm:pt modelId="{C2D8501D-F8B7-4C1C-93D1-71C0A7666FC4}" type="pres">
      <dgm:prSet presAssocID="{7B15472F-30FC-4178-B819-5294BBE2DE61}" presName="parTxOnlySpace" presStyleCnt="0"/>
      <dgm:spPr/>
    </dgm:pt>
    <dgm:pt modelId="{9661ACF9-6E2F-4AA1-B632-865A87605FBF}" type="pres">
      <dgm:prSet presAssocID="{8AAB4D2F-F059-4C7E-95EC-E4DB878DB7B0}" presName="parTxOnly" presStyleLbl="node1" presStyleIdx="1" presStyleCnt="7">
        <dgm:presLayoutVars>
          <dgm:chMax val="0"/>
          <dgm:chPref val="0"/>
          <dgm:bulletEnabled val="1"/>
        </dgm:presLayoutVars>
      </dgm:prSet>
      <dgm:spPr/>
    </dgm:pt>
    <dgm:pt modelId="{0FBAD907-0F15-4838-9E30-B903AAE25FA1}" type="pres">
      <dgm:prSet presAssocID="{D91072F5-9D43-40A2-B7DA-9490D45CF03E}" presName="parTxOnlySpace" presStyleCnt="0"/>
      <dgm:spPr/>
    </dgm:pt>
    <dgm:pt modelId="{C30DE2D3-3607-4DA2-882B-05D80B0B4BC3}" type="pres">
      <dgm:prSet presAssocID="{2C10EB53-A34F-4B55-8BE6-EE065BABD930}" presName="parTxOnly" presStyleLbl="node1" presStyleIdx="2" presStyleCnt="7">
        <dgm:presLayoutVars>
          <dgm:chMax val="0"/>
          <dgm:chPref val="0"/>
          <dgm:bulletEnabled val="1"/>
        </dgm:presLayoutVars>
      </dgm:prSet>
      <dgm:spPr/>
    </dgm:pt>
    <dgm:pt modelId="{A175CAFE-81F9-4573-AB54-AE9DB9F314F6}" type="pres">
      <dgm:prSet presAssocID="{9B0921A5-2947-44F0-B1A5-702367D2F526}" presName="parTxOnlySpace" presStyleCnt="0"/>
      <dgm:spPr/>
    </dgm:pt>
    <dgm:pt modelId="{2DC4F51C-7158-4316-8A9B-C866CC41E42A}" type="pres">
      <dgm:prSet presAssocID="{855B65E2-E04A-4C69-918E-201C857D95F6}" presName="parTxOnly" presStyleLbl="node1" presStyleIdx="3" presStyleCnt="7">
        <dgm:presLayoutVars>
          <dgm:chMax val="0"/>
          <dgm:chPref val="0"/>
          <dgm:bulletEnabled val="1"/>
        </dgm:presLayoutVars>
      </dgm:prSet>
      <dgm:spPr/>
    </dgm:pt>
    <dgm:pt modelId="{AB5C77F6-1DA7-4623-8AE0-61978979B13E}" type="pres">
      <dgm:prSet presAssocID="{9E3B6003-83DF-4A8B-872B-13119254EF67}" presName="parTxOnlySpace" presStyleCnt="0"/>
      <dgm:spPr/>
    </dgm:pt>
    <dgm:pt modelId="{733A4756-8C5C-4214-832B-90402EA063F4}" type="pres">
      <dgm:prSet presAssocID="{22F07FBB-066D-4DAA-A82E-F9ABA111A029}" presName="parTxOnly" presStyleLbl="node1" presStyleIdx="4" presStyleCnt="7">
        <dgm:presLayoutVars>
          <dgm:chMax val="0"/>
          <dgm:chPref val="0"/>
          <dgm:bulletEnabled val="1"/>
        </dgm:presLayoutVars>
      </dgm:prSet>
      <dgm:spPr/>
    </dgm:pt>
    <dgm:pt modelId="{E7C9E767-6D64-460D-9318-3BD5D55F0C36}" type="pres">
      <dgm:prSet presAssocID="{6CC54CB3-1DE4-4B5F-843D-46D4A6BDA80D}" presName="parTxOnlySpace" presStyleCnt="0"/>
      <dgm:spPr/>
    </dgm:pt>
    <dgm:pt modelId="{7FA1EC39-CCC5-496F-8476-ED4A88B8D2DF}" type="pres">
      <dgm:prSet presAssocID="{FB27F4F0-75A5-448F-A8CF-DD2976A11483}" presName="parTxOnly" presStyleLbl="node1" presStyleIdx="5" presStyleCnt="7">
        <dgm:presLayoutVars>
          <dgm:chMax val="0"/>
          <dgm:chPref val="0"/>
          <dgm:bulletEnabled val="1"/>
        </dgm:presLayoutVars>
      </dgm:prSet>
      <dgm:spPr/>
    </dgm:pt>
    <dgm:pt modelId="{C00C3344-EF23-4532-833E-B55E4B3CE4F5}" type="pres">
      <dgm:prSet presAssocID="{3D29A1BE-6275-4F01-A404-CAEFF0BD9E2A}" presName="parTxOnlySpace" presStyleCnt="0"/>
      <dgm:spPr/>
    </dgm:pt>
    <dgm:pt modelId="{F0EF1AF7-9E50-4C53-86EF-D863DF7A9230}" type="pres">
      <dgm:prSet presAssocID="{EFB44D52-ED59-4BE7-95AF-4906E13EAD04}" presName="parTxOnly" presStyleLbl="node1" presStyleIdx="6" presStyleCnt="7">
        <dgm:presLayoutVars>
          <dgm:chMax val="0"/>
          <dgm:chPref val="0"/>
          <dgm:bulletEnabled val="1"/>
        </dgm:presLayoutVars>
      </dgm:prSet>
      <dgm:spPr/>
    </dgm:pt>
  </dgm:ptLst>
  <dgm:cxnLst>
    <dgm:cxn modelId="{ECA2030E-BEAB-4F24-A7B7-A6B676F20EFA}" srcId="{2D4891F9-02BB-4744-BC98-F797D5378BB8}" destId="{855B65E2-E04A-4C69-918E-201C857D95F6}" srcOrd="3" destOrd="0" parTransId="{F1E308F3-8107-4B9D-991E-8E40AC8F75EE}" sibTransId="{9E3B6003-83DF-4A8B-872B-13119254EF67}"/>
    <dgm:cxn modelId="{E6FC785C-5C79-4CB9-97B0-38C9221EDAD3}" type="presOf" srcId="{FB27F4F0-75A5-448F-A8CF-DD2976A11483}" destId="{7FA1EC39-CCC5-496F-8476-ED4A88B8D2DF}" srcOrd="0" destOrd="0" presId="urn:microsoft.com/office/officeart/2005/8/layout/chevron1"/>
    <dgm:cxn modelId="{09EE5D42-3886-41F3-AE4B-5A1A4722CCFC}" srcId="{2D4891F9-02BB-4744-BC98-F797D5378BB8}" destId="{2C10EB53-A34F-4B55-8BE6-EE065BABD930}" srcOrd="2" destOrd="0" parTransId="{3EA60A0F-0828-451A-B58B-550AF5C37AEE}" sibTransId="{9B0921A5-2947-44F0-B1A5-702367D2F526}"/>
    <dgm:cxn modelId="{B253FC65-901E-43B1-B944-9E47F18CEA3A}" type="presOf" srcId="{22F07FBB-066D-4DAA-A82E-F9ABA111A029}" destId="{733A4756-8C5C-4214-832B-90402EA063F4}" srcOrd="0" destOrd="0" presId="urn:microsoft.com/office/officeart/2005/8/layout/chevron1"/>
    <dgm:cxn modelId="{CCFAFC7A-A2AA-4F81-BEC5-BE575481E5B4}" srcId="{2D4891F9-02BB-4744-BC98-F797D5378BB8}" destId="{22F07FBB-066D-4DAA-A82E-F9ABA111A029}" srcOrd="4" destOrd="0" parTransId="{A91416BF-0B50-470F-89A2-D597ECCF24E9}" sibTransId="{6CC54CB3-1DE4-4B5F-843D-46D4A6BDA80D}"/>
    <dgm:cxn modelId="{12CC558B-3C64-4623-B860-A0653C73DA09}" srcId="{2D4891F9-02BB-4744-BC98-F797D5378BB8}" destId="{8AAB4D2F-F059-4C7E-95EC-E4DB878DB7B0}" srcOrd="1" destOrd="0" parTransId="{167AAC3F-9E4E-4160-9CE7-079DF27D9821}" sibTransId="{D91072F5-9D43-40A2-B7DA-9490D45CF03E}"/>
    <dgm:cxn modelId="{EC98FC8D-D339-4239-86B7-82A9A8234363}" type="presOf" srcId="{2C10EB53-A34F-4B55-8BE6-EE065BABD930}" destId="{C30DE2D3-3607-4DA2-882B-05D80B0B4BC3}" srcOrd="0" destOrd="0" presId="urn:microsoft.com/office/officeart/2005/8/layout/chevron1"/>
    <dgm:cxn modelId="{115F5796-205D-4478-8F9F-C6E2C2E6DAA7}" srcId="{2D4891F9-02BB-4744-BC98-F797D5378BB8}" destId="{D776028D-2800-426E-BC0F-C58152E47314}" srcOrd="0" destOrd="0" parTransId="{7E771217-B877-4E7F-B702-00F37BC7E118}" sibTransId="{7B15472F-30FC-4178-B819-5294BBE2DE61}"/>
    <dgm:cxn modelId="{7045EAAD-4469-4E90-92BC-578274B09A8D}" type="presOf" srcId="{855B65E2-E04A-4C69-918E-201C857D95F6}" destId="{2DC4F51C-7158-4316-8A9B-C866CC41E42A}" srcOrd="0" destOrd="0" presId="urn:microsoft.com/office/officeart/2005/8/layout/chevron1"/>
    <dgm:cxn modelId="{E976D0B3-2D87-443B-9AE3-73117D473083}" type="presOf" srcId="{EFB44D52-ED59-4BE7-95AF-4906E13EAD04}" destId="{F0EF1AF7-9E50-4C53-86EF-D863DF7A9230}" srcOrd="0" destOrd="0" presId="urn:microsoft.com/office/officeart/2005/8/layout/chevron1"/>
    <dgm:cxn modelId="{8807D7C2-35CB-45E3-9707-F3F6E2EEEEB9}" type="presOf" srcId="{D776028D-2800-426E-BC0F-C58152E47314}" destId="{F3E1A825-B159-4C34-89E0-F529F7E3B2A5}" srcOrd="0" destOrd="0" presId="urn:microsoft.com/office/officeart/2005/8/layout/chevron1"/>
    <dgm:cxn modelId="{4314A4D0-0C4F-4E2C-AE82-D7AA6FC0D4AC}" type="presOf" srcId="{2D4891F9-02BB-4744-BC98-F797D5378BB8}" destId="{EB669D37-2AC3-4CBF-AF56-9AA04727DCEB}" srcOrd="0" destOrd="0" presId="urn:microsoft.com/office/officeart/2005/8/layout/chevron1"/>
    <dgm:cxn modelId="{B9343FD3-DBD1-4AC5-B57D-BD7A148E7364}" srcId="{2D4891F9-02BB-4744-BC98-F797D5378BB8}" destId="{EFB44D52-ED59-4BE7-95AF-4906E13EAD04}" srcOrd="6" destOrd="0" parTransId="{7FB964F2-72C0-4E4A-9CF6-8D927F09C94C}" sibTransId="{574EB713-A710-49F8-9597-5CA4C1BCC855}"/>
    <dgm:cxn modelId="{8B4B40D3-1ED9-4E3D-90D2-ABB2C75D8B58}" type="presOf" srcId="{8AAB4D2F-F059-4C7E-95EC-E4DB878DB7B0}" destId="{9661ACF9-6E2F-4AA1-B632-865A87605FBF}" srcOrd="0" destOrd="0" presId="urn:microsoft.com/office/officeart/2005/8/layout/chevron1"/>
    <dgm:cxn modelId="{4D188CFA-6CCF-4FDB-A5BA-D0D69FDF2833}" srcId="{2D4891F9-02BB-4744-BC98-F797D5378BB8}" destId="{FB27F4F0-75A5-448F-A8CF-DD2976A11483}" srcOrd="5" destOrd="0" parTransId="{A9337E4C-98D1-4CB2-A3F1-CB7A2154FF35}" sibTransId="{3D29A1BE-6275-4F01-A404-CAEFF0BD9E2A}"/>
    <dgm:cxn modelId="{7D465116-238F-4FBD-92CE-41DCE3A86CB7}" type="presParOf" srcId="{EB669D37-2AC3-4CBF-AF56-9AA04727DCEB}" destId="{F3E1A825-B159-4C34-89E0-F529F7E3B2A5}" srcOrd="0" destOrd="0" presId="urn:microsoft.com/office/officeart/2005/8/layout/chevron1"/>
    <dgm:cxn modelId="{6B1E9D0F-AC11-474A-81DF-3B7753BCF901}" type="presParOf" srcId="{EB669D37-2AC3-4CBF-AF56-9AA04727DCEB}" destId="{C2D8501D-F8B7-4C1C-93D1-71C0A7666FC4}" srcOrd="1" destOrd="0" presId="urn:microsoft.com/office/officeart/2005/8/layout/chevron1"/>
    <dgm:cxn modelId="{C73B4678-DE98-405B-BB84-A3A59682E940}" type="presParOf" srcId="{EB669D37-2AC3-4CBF-AF56-9AA04727DCEB}" destId="{9661ACF9-6E2F-4AA1-B632-865A87605FBF}" srcOrd="2" destOrd="0" presId="urn:microsoft.com/office/officeart/2005/8/layout/chevron1"/>
    <dgm:cxn modelId="{01554358-1CFD-42DD-8B29-A3EE409D0F82}" type="presParOf" srcId="{EB669D37-2AC3-4CBF-AF56-9AA04727DCEB}" destId="{0FBAD907-0F15-4838-9E30-B903AAE25FA1}" srcOrd="3" destOrd="0" presId="urn:microsoft.com/office/officeart/2005/8/layout/chevron1"/>
    <dgm:cxn modelId="{AD5904EB-7925-4304-B07D-1E1B7E7A6B4C}" type="presParOf" srcId="{EB669D37-2AC3-4CBF-AF56-9AA04727DCEB}" destId="{C30DE2D3-3607-4DA2-882B-05D80B0B4BC3}" srcOrd="4" destOrd="0" presId="urn:microsoft.com/office/officeart/2005/8/layout/chevron1"/>
    <dgm:cxn modelId="{29BC41C6-66A8-4358-97C3-9DC660DF917D}" type="presParOf" srcId="{EB669D37-2AC3-4CBF-AF56-9AA04727DCEB}" destId="{A175CAFE-81F9-4573-AB54-AE9DB9F314F6}" srcOrd="5" destOrd="0" presId="urn:microsoft.com/office/officeart/2005/8/layout/chevron1"/>
    <dgm:cxn modelId="{9EB3A924-73F1-4651-AB8C-B7C9473763B1}" type="presParOf" srcId="{EB669D37-2AC3-4CBF-AF56-9AA04727DCEB}" destId="{2DC4F51C-7158-4316-8A9B-C866CC41E42A}" srcOrd="6" destOrd="0" presId="urn:microsoft.com/office/officeart/2005/8/layout/chevron1"/>
    <dgm:cxn modelId="{E4CC8A43-3D82-456F-9BC7-A272F377FD3B}" type="presParOf" srcId="{EB669D37-2AC3-4CBF-AF56-9AA04727DCEB}" destId="{AB5C77F6-1DA7-4623-8AE0-61978979B13E}" srcOrd="7" destOrd="0" presId="urn:microsoft.com/office/officeart/2005/8/layout/chevron1"/>
    <dgm:cxn modelId="{27AE1223-0954-40EB-AC0F-06721B24EC2B}" type="presParOf" srcId="{EB669D37-2AC3-4CBF-AF56-9AA04727DCEB}" destId="{733A4756-8C5C-4214-832B-90402EA063F4}" srcOrd="8" destOrd="0" presId="urn:microsoft.com/office/officeart/2005/8/layout/chevron1"/>
    <dgm:cxn modelId="{4F87BCFE-93D2-456F-BF27-A79DAE64EEE2}" type="presParOf" srcId="{EB669D37-2AC3-4CBF-AF56-9AA04727DCEB}" destId="{E7C9E767-6D64-460D-9318-3BD5D55F0C36}" srcOrd="9" destOrd="0" presId="urn:microsoft.com/office/officeart/2005/8/layout/chevron1"/>
    <dgm:cxn modelId="{A697FF60-EE68-4874-9E58-B4AE6CEE4FFB}" type="presParOf" srcId="{EB669D37-2AC3-4CBF-AF56-9AA04727DCEB}" destId="{7FA1EC39-CCC5-496F-8476-ED4A88B8D2DF}" srcOrd="10" destOrd="0" presId="urn:microsoft.com/office/officeart/2005/8/layout/chevron1"/>
    <dgm:cxn modelId="{67F3A12F-A4E9-457E-B185-A3616007F678}" type="presParOf" srcId="{EB669D37-2AC3-4CBF-AF56-9AA04727DCEB}" destId="{C00C3344-EF23-4532-833E-B55E4B3CE4F5}" srcOrd="11" destOrd="0" presId="urn:microsoft.com/office/officeart/2005/8/layout/chevron1"/>
    <dgm:cxn modelId="{6E23F6A3-E659-4AFC-BBE5-28EE4AFE4E37}" type="presParOf" srcId="{EB669D37-2AC3-4CBF-AF56-9AA04727DCEB}" destId="{F0EF1AF7-9E50-4C53-86EF-D863DF7A9230}" srcOrd="12" destOrd="0" presId="urn:microsoft.com/office/officeart/2005/8/layout/chevro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D4891F9-02BB-4744-BC98-F797D5378BB8}" type="doc">
      <dgm:prSet loTypeId="urn:microsoft.com/office/officeart/2005/8/layout/chevron1" loCatId="process" qsTypeId="urn:microsoft.com/office/officeart/2005/8/quickstyle/simple1" qsCatId="simple" csTypeId="urn:microsoft.com/office/officeart/2005/8/colors/accent3_2" csCatId="accent3" phldr="1"/>
      <dgm:spPr/>
    </dgm:pt>
    <dgm:pt modelId="{D776028D-2800-426E-BC0F-C58152E47314}">
      <dgm:prSet phldrT="[Text]"/>
      <dgm:spPr>
        <a:solidFill>
          <a:schemeClr val="accent6">
            <a:lumMod val="60000"/>
            <a:lumOff val="40000"/>
          </a:schemeClr>
        </a:solidFill>
      </dgm:spPr>
      <dgm:t>
        <a:bodyPr/>
        <a:lstStyle/>
        <a:p>
          <a:r>
            <a:rPr lang="en-US" b="1"/>
            <a:t>PPP in general</a:t>
          </a:r>
        </a:p>
      </dgm:t>
    </dgm:pt>
    <dgm:pt modelId="{7E771217-B877-4E7F-B702-00F37BC7E118}" type="parTrans" cxnId="{115F5796-205D-4478-8F9F-C6E2C2E6DAA7}">
      <dgm:prSet/>
      <dgm:spPr/>
      <dgm:t>
        <a:bodyPr/>
        <a:lstStyle/>
        <a:p>
          <a:endParaRPr lang="en-US"/>
        </a:p>
      </dgm:t>
    </dgm:pt>
    <dgm:pt modelId="{7B15472F-30FC-4178-B819-5294BBE2DE61}" type="sibTrans" cxnId="{115F5796-205D-4478-8F9F-C6E2C2E6DAA7}">
      <dgm:prSet/>
      <dgm:spPr/>
      <dgm:t>
        <a:bodyPr/>
        <a:lstStyle/>
        <a:p>
          <a:endParaRPr lang="en-US"/>
        </a:p>
      </dgm:t>
    </dgm:pt>
    <dgm:pt modelId="{EFB44D52-ED59-4BE7-95AF-4906E13EAD04}">
      <dgm:prSet phldrT="[Text]"/>
      <dgm:spPr>
        <a:solidFill>
          <a:schemeClr val="accent6">
            <a:lumMod val="60000"/>
            <a:lumOff val="40000"/>
          </a:schemeClr>
        </a:solidFill>
      </dgm:spPr>
      <dgm:t>
        <a:bodyPr/>
        <a:lstStyle/>
        <a:p>
          <a:r>
            <a:rPr lang="en-US" b="1"/>
            <a:t>Competition and state aid</a:t>
          </a:r>
        </a:p>
      </dgm:t>
    </dgm:pt>
    <dgm:pt modelId="{7FB964F2-72C0-4E4A-9CF6-8D927F09C94C}" type="parTrans" cxnId="{B9343FD3-DBD1-4AC5-B57D-BD7A148E7364}">
      <dgm:prSet/>
      <dgm:spPr/>
      <dgm:t>
        <a:bodyPr/>
        <a:lstStyle/>
        <a:p>
          <a:endParaRPr lang="en-US"/>
        </a:p>
      </dgm:t>
    </dgm:pt>
    <dgm:pt modelId="{574EB713-A710-49F8-9597-5CA4C1BCC855}" type="sibTrans" cxnId="{B9343FD3-DBD1-4AC5-B57D-BD7A148E7364}">
      <dgm:prSet/>
      <dgm:spPr/>
      <dgm:t>
        <a:bodyPr/>
        <a:lstStyle/>
        <a:p>
          <a:endParaRPr lang="en-US"/>
        </a:p>
      </dgm:t>
    </dgm:pt>
    <dgm:pt modelId="{22F07FBB-066D-4DAA-A82E-F9ABA111A029}">
      <dgm:prSet/>
      <dgm:spPr>
        <a:solidFill>
          <a:schemeClr val="accent6">
            <a:lumMod val="60000"/>
            <a:lumOff val="40000"/>
          </a:schemeClr>
        </a:solidFill>
      </dgm:spPr>
      <dgm:t>
        <a:bodyPr/>
        <a:lstStyle/>
        <a:p>
          <a:r>
            <a:rPr lang="en-US" b="1"/>
            <a:t>Statistical treatment</a:t>
          </a:r>
        </a:p>
      </dgm:t>
    </dgm:pt>
    <dgm:pt modelId="{A91416BF-0B50-470F-89A2-D597ECCF24E9}" type="parTrans" cxnId="{CCFAFC7A-A2AA-4F81-BEC5-BE575481E5B4}">
      <dgm:prSet/>
      <dgm:spPr/>
      <dgm:t>
        <a:bodyPr/>
        <a:lstStyle/>
        <a:p>
          <a:endParaRPr lang="en-US"/>
        </a:p>
      </dgm:t>
    </dgm:pt>
    <dgm:pt modelId="{6CC54CB3-1DE4-4B5F-843D-46D4A6BDA80D}" type="sibTrans" cxnId="{CCFAFC7A-A2AA-4F81-BEC5-BE575481E5B4}">
      <dgm:prSet/>
      <dgm:spPr/>
      <dgm:t>
        <a:bodyPr/>
        <a:lstStyle/>
        <a:p>
          <a:endParaRPr lang="en-US"/>
        </a:p>
      </dgm:t>
    </dgm:pt>
    <dgm:pt modelId="{855B65E2-E04A-4C69-918E-201C857D95F6}">
      <dgm:prSet/>
      <dgm:spPr>
        <a:solidFill>
          <a:schemeClr val="accent6">
            <a:lumMod val="60000"/>
            <a:lumOff val="40000"/>
          </a:schemeClr>
        </a:solidFill>
      </dgm:spPr>
      <dgm:t>
        <a:bodyPr/>
        <a:lstStyle/>
        <a:p>
          <a:r>
            <a:rPr lang="en-US" b="1"/>
            <a:t>FEC and</a:t>
          </a:r>
          <a:r>
            <a:rPr lang="lv-LV" b="1"/>
            <a:t> the</a:t>
          </a:r>
          <a:r>
            <a:rPr lang="en-US" b="1"/>
            <a:t> contract price</a:t>
          </a:r>
        </a:p>
      </dgm:t>
    </dgm:pt>
    <dgm:pt modelId="{F1E308F3-8107-4B9D-991E-8E40AC8F75EE}" type="parTrans" cxnId="{ECA2030E-BEAB-4F24-A7B7-A6B676F20EFA}">
      <dgm:prSet/>
      <dgm:spPr/>
      <dgm:t>
        <a:bodyPr/>
        <a:lstStyle/>
        <a:p>
          <a:endParaRPr lang="en-US"/>
        </a:p>
      </dgm:t>
    </dgm:pt>
    <dgm:pt modelId="{9E3B6003-83DF-4A8B-872B-13119254EF67}" type="sibTrans" cxnId="{ECA2030E-BEAB-4F24-A7B7-A6B676F20EFA}">
      <dgm:prSet/>
      <dgm:spPr/>
      <dgm:t>
        <a:bodyPr/>
        <a:lstStyle/>
        <a:p>
          <a:endParaRPr lang="en-US"/>
        </a:p>
      </dgm:t>
    </dgm:pt>
    <dgm:pt modelId="{FB27F4F0-75A5-448F-A8CF-DD2976A11483}">
      <dgm:prSet phldrT="[Text]"/>
      <dgm:spPr>
        <a:solidFill>
          <a:srgbClr val="92D050"/>
        </a:solidFill>
      </dgm:spPr>
      <dgm:t>
        <a:bodyPr/>
        <a:lstStyle/>
        <a:p>
          <a:r>
            <a:rPr lang="en-US" b="1"/>
            <a:t>Selecting a private partner</a:t>
          </a:r>
        </a:p>
      </dgm:t>
    </dgm:pt>
    <dgm:pt modelId="{3D29A1BE-6275-4F01-A404-CAEFF0BD9E2A}" type="sibTrans" cxnId="{4D188CFA-6CCF-4FDB-A5BA-D0D69FDF2833}">
      <dgm:prSet/>
      <dgm:spPr/>
      <dgm:t>
        <a:bodyPr/>
        <a:lstStyle/>
        <a:p>
          <a:endParaRPr lang="en-US"/>
        </a:p>
      </dgm:t>
    </dgm:pt>
    <dgm:pt modelId="{A9337E4C-98D1-4CB2-A3F1-CB7A2154FF35}" type="parTrans" cxnId="{4D188CFA-6CCF-4FDB-A5BA-D0D69FDF2833}">
      <dgm:prSet/>
      <dgm:spPr/>
      <dgm:t>
        <a:bodyPr/>
        <a:lstStyle/>
        <a:p>
          <a:endParaRPr lang="en-US"/>
        </a:p>
      </dgm:t>
    </dgm:pt>
    <dgm:pt modelId="{8AAB4D2F-F059-4C7E-95EC-E4DB878DB7B0}">
      <dgm:prSet/>
      <dgm:spPr>
        <a:solidFill>
          <a:schemeClr val="accent6">
            <a:lumMod val="60000"/>
            <a:lumOff val="40000"/>
          </a:schemeClr>
        </a:solidFill>
      </dgm:spPr>
      <dgm:t>
        <a:bodyPr/>
        <a:lstStyle/>
        <a:p>
          <a:r>
            <a:rPr lang="en-US" b="1"/>
            <a:t>PPP arrangements and models</a:t>
          </a:r>
        </a:p>
      </dgm:t>
    </dgm:pt>
    <dgm:pt modelId="{167AAC3F-9E4E-4160-9CE7-079DF27D9821}" type="parTrans" cxnId="{12CC558B-3C64-4623-B860-A0653C73DA09}">
      <dgm:prSet/>
      <dgm:spPr/>
      <dgm:t>
        <a:bodyPr/>
        <a:lstStyle/>
        <a:p>
          <a:endParaRPr lang="en-US"/>
        </a:p>
      </dgm:t>
    </dgm:pt>
    <dgm:pt modelId="{D91072F5-9D43-40A2-B7DA-9490D45CF03E}" type="sibTrans" cxnId="{12CC558B-3C64-4623-B860-A0653C73DA09}">
      <dgm:prSet/>
      <dgm:spPr/>
      <dgm:t>
        <a:bodyPr/>
        <a:lstStyle/>
        <a:p>
          <a:endParaRPr lang="en-US"/>
        </a:p>
      </dgm:t>
    </dgm:pt>
    <dgm:pt modelId="{2C10EB53-A34F-4B55-8BE6-EE065BABD930}">
      <dgm:prSet/>
      <dgm:spPr>
        <a:solidFill>
          <a:schemeClr val="accent6">
            <a:lumMod val="60000"/>
            <a:lumOff val="40000"/>
          </a:schemeClr>
        </a:solidFill>
      </dgm:spPr>
      <dgm:t>
        <a:bodyPr/>
        <a:lstStyle/>
        <a:p>
          <a:r>
            <a:rPr lang="en-US" b="1"/>
            <a:t>PPP project step by step</a:t>
          </a:r>
        </a:p>
      </dgm:t>
    </dgm:pt>
    <dgm:pt modelId="{3EA60A0F-0828-451A-B58B-550AF5C37AEE}" type="parTrans" cxnId="{09EE5D42-3886-41F3-AE4B-5A1A4722CCFC}">
      <dgm:prSet/>
      <dgm:spPr/>
      <dgm:t>
        <a:bodyPr/>
        <a:lstStyle/>
        <a:p>
          <a:endParaRPr lang="en-US"/>
        </a:p>
      </dgm:t>
    </dgm:pt>
    <dgm:pt modelId="{9B0921A5-2947-44F0-B1A5-702367D2F526}" type="sibTrans" cxnId="{09EE5D42-3886-41F3-AE4B-5A1A4722CCFC}">
      <dgm:prSet/>
      <dgm:spPr/>
      <dgm:t>
        <a:bodyPr/>
        <a:lstStyle/>
        <a:p>
          <a:endParaRPr lang="en-US"/>
        </a:p>
      </dgm:t>
    </dgm:pt>
    <dgm:pt modelId="{EB669D37-2AC3-4CBF-AF56-9AA04727DCEB}" type="pres">
      <dgm:prSet presAssocID="{2D4891F9-02BB-4744-BC98-F797D5378BB8}" presName="Name0" presStyleCnt="0">
        <dgm:presLayoutVars>
          <dgm:dir/>
          <dgm:animLvl val="lvl"/>
          <dgm:resizeHandles val="exact"/>
        </dgm:presLayoutVars>
      </dgm:prSet>
      <dgm:spPr/>
    </dgm:pt>
    <dgm:pt modelId="{F3E1A825-B159-4C34-89E0-F529F7E3B2A5}" type="pres">
      <dgm:prSet presAssocID="{D776028D-2800-426E-BC0F-C58152E47314}" presName="parTxOnly" presStyleLbl="node1" presStyleIdx="0" presStyleCnt="7">
        <dgm:presLayoutVars>
          <dgm:chMax val="0"/>
          <dgm:chPref val="0"/>
          <dgm:bulletEnabled val="1"/>
        </dgm:presLayoutVars>
      </dgm:prSet>
      <dgm:spPr/>
    </dgm:pt>
    <dgm:pt modelId="{C2D8501D-F8B7-4C1C-93D1-71C0A7666FC4}" type="pres">
      <dgm:prSet presAssocID="{7B15472F-30FC-4178-B819-5294BBE2DE61}" presName="parTxOnlySpace" presStyleCnt="0"/>
      <dgm:spPr/>
    </dgm:pt>
    <dgm:pt modelId="{9661ACF9-6E2F-4AA1-B632-865A87605FBF}" type="pres">
      <dgm:prSet presAssocID="{8AAB4D2F-F059-4C7E-95EC-E4DB878DB7B0}" presName="parTxOnly" presStyleLbl="node1" presStyleIdx="1" presStyleCnt="7">
        <dgm:presLayoutVars>
          <dgm:chMax val="0"/>
          <dgm:chPref val="0"/>
          <dgm:bulletEnabled val="1"/>
        </dgm:presLayoutVars>
      </dgm:prSet>
      <dgm:spPr/>
    </dgm:pt>
    <dgm:pt modelId="{0FBAD907-0F15-4838-9E30-B903AAE25FA1}" type="pres">
      <dgm:prSet presAssocID="{D91072F5-9D43-40A2-B7DA-9490D45CF03E}" presName="parTxOnlySpace" presStyleCnt="0"/>
      <dgm:spPr/>
    </dgm:pt>
    <dgm:pt modelId="{C30DE2D3-3607-4DA2-882B-05D80B0B4BC3}" type="pres">
      <dgm:prSet presAssocID="{2C10EB53-A34F-4B55-8BE6-EE065BABD930}" presName="parTxOnly" presStyleLbl="node1" presStyleIdx="2" presStyleCnt="7">
        <dgm:presLayoutVars>
          <dgm:chMax val="0"/>
          <dgm:chPref val="0"/>
          <dgm:bulletEnabled val="1"/>
        </dgm:presLayoutVars>
      </dgm:prSet>
      <dgm:spPr/>
    </dgm:pt>
    <dgm:pt modelId="{A175CAFE-81F9-4573-AB54-AE9DB9F314F6}" type="pres">
      <dgm:prSet presAssocID="{9B0921A5-2947-44F0-B1A5-702367D2F526}" presName="parTxOnlySpace" presStyleCnt="0"/>
      <dgm:spPr/>
    </dgm:pt>
    <dgm:pt modelId="{2DC4F51C-7158-4316-8A9B-C866CC41E42A}" type="pres">
      <dgm:prSet presAssocID="{855B65E2-E04A-4C69-918E-201C857D95F6}" presName="parTxOnly" presStyleLbl="node1" presStyleIdx="3" presStyleCnt="7">
        <dgm:presLayoutVars>
          <dgm:chMax val="0"/>
          <dgm:chPref val="0"/>
          <dgm:bulletEnabled val="1"/>
        </dgm:presLayoutVars>
      </dgm:prSet>
      <dgm:spPr/>
    </dgm:pt>
    <dgm:pt modelId="{AB5C77F6-1DA7-4623-8AE0-61978979B13E}" type="pres">
      <dgm:prSet presAssocID="{9E3B6003-83DF-4A8B-872B-13119254EF67}" presName="parTxOnlySpace" presStyleCnt="0"/>
      <dgm:spPr/>
    </dgm:pt>
    <dgm:pt modelId="{733A4756-8C5C-4214-832B-90402EA063F4}" type="pres">
      <dgm:prSet presAssocID="{22F07FBB-066D-4DAA-A82E-F9ABA111A029}" presName="parTxOnly" presStyleLbl="node1" presStyleIdx="4" presStyleCnt="7">
        <dgm:presLayoutVars>
          <dgm:chMax val="0"/>
          <dgm:chPref val="0"/>
          <dgm:bulletEnabled val="1"/>
        </dgm:presLayoutVars>
      </dgm:prSet>
      <dgm:spPr/>
    </dgm:pt>
    <dgm:pt modelId="{E7C9E767-6D64-460D-9318-3BD5D55F0C36}" type="pres">
      <dgm:prSet presAssocID="{6CC54CB3-1DE4-4B5F-843D-46D4A6BDA80D}" presName="parTxOnlySpace" presStyleCnt="0"/>
      <dgm:spPr/>
    </dgm:pt>
    <dgm:pt modelId="{7FA1EC39-CCC5-496F-8476-ED4A88B8D2DF}" type="pres">
      <dgm:prSet presAssocID="{FB27F4F0-75A5-448F-A8CF-DD2976A11483}" presName="parTxOnly" presStyleLbl="node1" presStyleIdx="5" presStyleCnt="7">
        <dgm:presLayoutVars>
          <dgm:chMax val="0"/>
          <dgm:chPref val="0"/>
          <dgm:bulletEnabled val="1"/>
        </dgm:presLayoutVars>
      </dgm:prSet>
      <dgm:spPr/>
    </dgm:pt>
    <dgm:pt modelId="{C00C3344-EF23-4532-833E-B55E4B3CE4F5}" type="pres">
      <dgm:prSet presAssocID="{3D29A1BE-6275-4F01-A404-CAEFF0BD9E2A}" presName="parTxOnlySpace" presStyleCnt="0"/>
      <dgm:spPr/>
    </dgm:pt>
    <dgm:pt modelId="{F0EF1AF7-9E50-4C53-86EF-D863DF7A9230}" type="pres">
      <dgm:prSet presAssocID="{EFB44D52-ED59-4BE7-95AF-4906E13EAD04}" presName="parTxOnly" presStyleLbl="node1" presStyleIdx="6" presStyleCnt="7">
        <dgm:presLayoutVars>
          <dgm:chMax val="0"/>
          <dgm:chPref val="0"/>
          <dgm:bulletEnabled val="1"/>
        </dgm:presLayoutVars>
      </dgm:prSet>
      <dgm:spPr/>
    </dgm:pt>
  </dgm:ptLst>
  <dgm:cxnLst>
    <dgm:cxn modelId="{ECA2030E-BEAB-4F24-A7B7-A6B676F20EFA}" srcId="{2D4891F9-02BB-4744-BC98-F797D5378BB8}" destId="{855B65E2-E04A-4C69-918E-201C857D95F6}" srcOrd="3" destOrd="0" parTransId="{F1E308F3-8107-4B9D-991E-8E40AC8F75EE}" sibTransId="{9E3B6003-83DF-4A8B-872B-13119254EF67}"/>
    <dgm:cxn modelId="{E6FC785C-5C79-4CB9-97B0-38C9221EDAD3}" type="presOf" srcId="{FB27F4F0-75A5-448F-A8CF-DD2976A11483}" destId="{7FA1EC39-CCC5-496F-8476-ED4A88B8D2DF}" srcOrd="0" destOrd="0" presId="urn:microsoft.com/office/officeart/2005/8/layout/chevron1"/>
    <dgm:cxn modelId="{09EE5D42-3886-41F3-AE4B-5A1A4722CCFC}" srcId="{2D4891F9-02BB-4744-BC98-F797D5378BB8}" destId="{2C10EB53-A34F-4B55-8BE6-EE065BABD930}" srcOrd="2" destOrd="0" parTransId="{3EA60A0F-0828-451A-B58B-550AF5C37AEE}" sibTransId="{9B0921A5-2947-44F0-B1A5-702367D2F526}"/>
    <dgm:cxn modelId="{B253FC65-901E-43B1-B944-9E47F18CEA3A}" type="presOf" srcId="{22F07FBB-066D-4DAA-A82E-F9ABA111A029}" destId="{733A4756-8C5C-4214-832B-90402EA063F4}" srcOrd="0" destOrd="0" presId="urn:microsoft.com/office/officeart/2005/8/layout/chevron1"/>
    <dgm:cxn modelId="{CCFAFC7A-A2AA-4F81-BEC5-BE575481E5B4}" srcId="{2D4891F9-02BB-4744-BC98-F797D5378BB8}" destId="{22F07FBB-066D-4DAA-A82E-F9ABA111A029}" srcOrd="4" destOrd="0" parTransId="{A91416BF-0B50-470F-89A2-D597ECCF24E9}" sibTransId="{6CC54CB3-1DE4-4B5F-843D-46D4A6BDA80D}"/>
    <dgm:cxn modelId="{12CC558B-3C64-4623-B860-A0653C73DA09}" srcId="{2D4891F9-02BB-4744-BC98-F797D5378BB8}" destId="{8AAB4D2F-F059-4C7E-95EC-E4DB878DB7B0}" srcOrd="1" destOrd="0" parTransId="{167AAC3F-9E4E-4160-9CE7-079DF27D9821}" sibTransId="{D91072F5-9D43-40A2-B7DA-9490D45CF03E}"/>
    <dgm:cxn modelId="{EC98FC8D-D339-4239-86B7-82A9A8234363}" type="presOf" srcId="{2C10EB53-A34F-4B55-8BE6-EE065BABD930}" destId="{C30DE2D3-3607-4DA2-882B-05D80B0B4BC3}" srcOrd="0" destOrd="0" presId="urn:microsoft.com/office/officeart/2005/8/layout/chevron1"/>
    <dgm:cxn modelId="{115F5796-205D-4478-8F9F-C6E2C2E6DAA7}" srcId="{2D4891F9-02BB-4744-BC98-F797D5378BB8}" destId="{D776028D-2800-426E-BC0F-C58152E47314}" srcOrd="0" destOrd="0" parTransId="{7E771217-B877-4E7F-B702-00F37BC7E118}" sibTransId="{7B15472F-30FC-4178-B819-5294BBE2DE61}"/>
    <dgm:cxn modelId="{7045EAAD-4469-4E90-92BC-578274B09A8D}" type="presOf" srcId="{855B65E2-E04A-4C69-918E-201C857D95F6}" destId="{2DC4F51C-7158-4316-8A9B-C866CC41E42A}" srcOrd="0" destOrd="0" presId="urn:microsoft.com/office/officeart/2005/8/layout/chevron1"/>
    <dgm:cxn modelId="{E976D0B3-2D87-443B-9AE3-73117D473083}" type="presOf" srcId="{EFB44D52-ED59-4BE7-95AF-4906E13EAD04}" destId="{F0EF1AF7-9E50-4C53-86EF-D863DF7A9230}" srcOrd="0" destOrd="0" presId="urn:microsoft.com/office/officeart/2005/8/layout/chevron1"/>
    <dgm:cxn modelId="{8807D7C2-35CB-45E3-9707-F3F6E2EEEEB9}" type="presOf" srcId="{D776028D-2800-426E-BC0F-C58152E47314}" destId="{F3E1A825-B159-4C34-89E0-F529F7E3B2A5}" srcOrd="0" destOrd="0" presId="urn:microsoft.com/office/officeart/2005/8/layout/chevron1"/>
    <dgm:cxn modelId="{4314A4D0-0C4F-4E2C-AE82-D7AA6FC0D4AC}" type="presOf" srcId="{2D4891F9-02BB-4744-BC98-F797D5378BB8}" destId="{EB669D37-2AC3-4CBF-AF56-9AA04727DCEB}" srcOrd="0" destOrd="0" presId="urn:microsoft.com/office/officeart/2005/8/layout/chevron1"/>
    <dgm:cxn modelId="{B9343FD3-DBD1-4AC5-B57D-BD7A148E7364}" srcId="{2D4891F9-02BB-4744-BC98-F797D5378BB8}" destId="{EFB44D52-ED59-4BE7-95AF-4906E13EAD04}" srcOrd="6" destOrd="0" parTransId="{7FB964F2-72C0-4E4A-9CF6-8D927F09C94C}" sibTransId="{574EB713-A710-49F8-9597-5CA4C1BCC855}"/>
    <dgm:cxn modelId="{8B4B40D3-1ED9-4E3D-90D2-ABB2C75D8B58}" type="presOf" srcId="{8AAB4D2F-F059-4C7E-95EC-E4DB878DB7B0}" destId="{9661ACF9-6E2F-4AA1-B632-865A87605FBF}" srcOrd="0" destOrd="0" presId="urn:microsoft.com/office/officeart/2005/8/layout/chevron1"/>
    <dgm:cxn modelId="{4D188CFA-6CCF-4FDB-A5BA-D0D69FDF2833}" srcId="{2D4891F9-02BB-4744-BC98-F797D5378BB8}" destId="{FB27F4F0-75A5-448F-A8CF-DD2976A11483}" srcOrd="5" destOrd="0" parTransId="{A9337E4C-98D1-4CB2-A3F1-CB7A2154FF35}" sibTransId="{3D29A1BE-6275-4F01-A404-CAEFF0BD9E2A}"/>
    <dgm:cxn modelId="{7D465116-238F-4FBD-92CE-41DCE3A86CB7}" type="presParOf" srcId="{EB669D37-2AC3-4CBF-AF56-9AA04727DCEB}" destId="{F3E1A825-B159-4C34-89E0-F529F7E3B2A5}" srcOrd="0" destOrd="0" presId="urn:microsoft.com/office/officeart/2005/8/layout/chevron1"/>
    <dgm:cxn modelId="{6B1E9D0F-AC11-474A-81DF-3B7753BCF901}" type="presParOf" srcId="{EB669D37-2AC3-4CBF-AF56-9AA04727DCEB}" destId="{C2D8501D-F8B7-4C1C-93D1-71C0A7666FC4}" srcOrd="1" destOrd="0" presId="urn:microsoft.com/office/officeart/2005/8/layout/chevron1"/>
    <dgm:cxn modelId="{C73B4678-DE98-405B-BB84-A3A59682E940}" type="presParOf" srcId="{EB669D37-2AC3-4CBF-AF56-9AA04727DCEB}" destId="{9661ACF9-6E2F-4AA1-B632-865A87605FBF}" srcOrd="2" destOrd="0" presId="urn:microsoft.com/office/officeart/2005/8/layout/chevron1"/>
    <dgm:cxn modelId="{01554358-1CFD-42DD-8B29-A3EE409D0F82}" type="presParOf" srcId="{EB669D37-2AC3-4CBF-AF56-9AA04727DCEB}" destId="{0FBAD907-0F15-4838-9E30-B903AAE25FA1}" srcOrd="3" destOrd="0" presId="urn:microsoft.com/office/officeart/2005/8/layout/chevron1"/>
    <dgm:cxn modelId="{AD5904EB-7925-4304-B07D-1E1B7E7A6B4C}" type="presParOf" srcId="{EB669D37-2AC3-4CBF-AF56-9AA04727DCEB}" destId="{C30DE2D3-3607-4DA2-882B-05D80B0B4BC3}" srcOrd="4" destOrd="0" presId="urn:microsoft.com/office/officeart/2005/8/layout/chevron1"/>
    <dgm:cxn modelId="{29BC41C6-66A8-4358-97C3-9DC660DF917D}" type="presParOf" srcId="{EB669D37-2AC3-4CBF-AF56-9AA04727DCEB}" destId="{A175CAFE-81F9-4573-AB54-AE9DB9F314F6}" srcOrd="5" destOrd="0" presId="urn:microsoft.com/office/officeart/2005/8/layout/chevron1"/>
    <dgm:cxn modelId="{9EB3A924-73F1-4651-AB8C-B7C9473763B1}" type="presParOf" srcId="{EB669D37-2AC3-4CBF-AF56-9AA04727DCEB}" destId="{2DC4F51C-7158-4316-8A9B-C866CC41E42A}" srcOrd="6" destOrd="0" presId="urn:microsoft.com/office/officeart/2005/8/layout/chevron1"/>
    <dgm:cxn modelId="{E4CC8A43-3D82-456F-9BC7-A272F377FD3B}" type="presParOf" srcId="{EB669D37-2AC3-4CBF-AF56-9AA04727DCEB}" destId="{AB5C77F6-1DA7-4623-8AE0-61978979B13E}" srcOrd="7" destOrd="0" presId="urn:microsoft.com/office/officeart/2005/8/layout/chevron1"/>
    <dgm:cxn modelId="{27AE1223-0954-40EB-AC0F-06721B24EC2B}" type="presParOf" srcId="{EB669D37-2AC3-4CBF-AF56-9AA04727DCEB}" destId="{733A4756-8C5C-4214-832B-90402EA063F4}" srcOrd="8" destOrd="0" presId="urn:microsoft.com/office/officeart/2005/8/layout/chevron1"/>
    <dgm:cxn modelId="{4F87BCFE-93D2-456F-BF27-A79DAE64EEE2}" type="presParOf" srcId="{EB669D37-2AC3-4CBF-AF56-9AA04727DCEB}" destId="{E7C9E767-6D64-460D-9318-3BD5D55F0C36}" srcOrd="9" destOrd="0" presId="urn:microsoft.com/office/officeart/2005/8/layout/chevron1"/>
    <dgm:cxn modelId="{A697FF60-EE68-4874-9E58-B4AE6CEE4FFB}" type="presParOf" srcId="{EB669D37-2AC3-4CBF-AF56-9AA04727DCEB}" destId="{7FA1EC39-CCC5-496F-8476-ED4A88B8D2DF}" srcOrd="10" destOrd="0" presId="urn:microsoft.com/office/officeart/2005/8/layout/chevron1"/>
    <dgm:cxn modelId="{67F3A12F-A4E9-457E-B185-A3616007F678}" type="presParOf" srcId="{EB669D37-2AC3-4CBF-AF56-9AA04727DCEB}" destId="{C00C3344-EF23-4532-833E-B55E4B3CE4F5}" srcOrd="11" destOrd="0" presId="urn:microsoft.com/office/officeart/2005/8/layout/chevron1"/>
    <dgm:cxn modelId="{6E23F6A3-E659-4AFC-BBE5-28EE4AFE4E37}" type="presParOf" srcId="{EB669D37-2AC3-4CBF-AF56-9AA04727DCEB}" destId="{F0EF1AF7-9E50-4C53-86EF-D863DF7A9230}" srcOrd="12" destOrd="0" presId="urn:microsoft.com/office/officeart/2005/8/layout/chevron1"/>
  </dgm:cxnLst>
  <dgm:bg>
    <a:noFill/>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D4891F9-02BB-4744-BC98-F797D5378BB8}" type="doc">
      <dgm:prSet loTypeId="urn:microsoft.com/office/officeart/2005/8/layout/chevron1" loCatId="process" qsTypeId="urn:microsoft.com/office/officeart/2005/8/quickstyle/simple1" qsCatId="simple" csTypeId="urn:microsoft.com/office/officeart/2005/8/colors/accent3_2" csCatId="accent3" phldr="1"/>
      <dgm:spPr/>
    </dgm:pt>
    <dgm:pt modelId="{D776028D-2800-426E-BC0F-C58152E47314}">
      <dgm:prSet phldrT="[Text]"/>
      <dgm:spPr>
        <a:solidFill>
          <a:schemeClr val="accent6">
            <a:lumMod val="60000"/>
            <a:lumOff val="40000"/>
          </a:schemeClr>
        </a:solidFill>
      </dgm:spPr>
      <dgm:t>
        <a:bodyPr/>
        <a:lstStyle/>
        <a:p>
          <a:r>
            <a:rPr lang="en-US" b="1"/>
            <a:t>PPP in general</a:t>
          </a:r>
        </a:p>
      </dgm:t>
    </dgm:pt>
    <dgm:pt modelId="{7E771217-B877-4E7F-B702-00F37BC7E118}" type="parTrans" cxnId="{115F5796-205D-4478-8F9F-C6E2C2E6DAA7}">
      <dgm:prSet/>
      <dgm:spPr/>
      <dgm:t>
        <a:bodyPr/>
        <a:lstStyle/>
        <a:p>
          <a:endParaRPr lang="en-US"/>
        </a:p>
      </dgm:t>
    </dgm:pt>
    <dgm:pt modelId="{7B15472F-30FC-4178-B819-5294BBE2DE61}" type="sibTrans" cxnId="{115F5796-205D-4478-8F9F-C6E2C2E6DAA7}">
      <dgm:prSet/>
      <dgm:spPr/>
      <dgm:t>
        <a:bodyPr/>
        <a:lstStyle/>
        <a:p>
          <a:endParaRPr lang="en-US"/>
        </a:p>
      </dgm:t>
    </dgm:pt>
    <dgm:pt modelId="{EFB44D52-ED59-4BE7-95AF-4906E13EAD04}">
      <dgm:prSet phldrT="[Text]"/>
      <dgm:spPr>
        <a:solidFill>
          <a:srgbClr val="92D050"/>
        </a:solidFill>
      </dgm:spPr>
      <dgm:t>
        <a:bodyPr/>
        <a:lstStyle/>
        <a:p>
          <a:r>
            <a:rPr lang="en-US" b="1"/>
            <a:t>Competition and state aid</a:t>
          </a:r>
        </a:p>
      </dgm:t>
    </dgm:pt>
    <dgm:pt modelId="{7FB964F2-72C0-4E4A-9CF6-8D927F09C94C}" type="parTrans" cxnId="{B9343FD3-DBD1-4AC5-B57D-BD7A148E7364}">
      <dgm:prSet/>
      <dgm:spPr/>
      <dgm:t>
        <a:bodyPr/>
        <a:lstStyle/>
        <a:p>
          <a:endParaRPr lang="en-US"/>
        </a:p>
      </dgm:t>
    </dgm:pt>
    <dgm:pt modelId="{574EB713-A710-49F8-9597-5CA4C1BCC855}" type="sibTrans" cxnId="{B9343FD3-DBD1-4AC5-B57D-BD7A148E7364}">
      <dgm:prSet/>
      <dgm:spPr/>
      <dgm:t>
        <a:bodyPr/>
        <a:lstStyle/>
        <a:p>
          <a:endParaRPr lang="en-US"/>
        </a:p>
      </dgm:t>
    </dgm:pt>
    <dgm:pt modelId="{22F07FBB-066D-4DAA-A82E-F9ABA111A029}">
      <dgm:prSet/>
      <dgm:spPr>
        <a:solidFill>
          <a:schemeClr val="accent6">
            <a:lumMod val="60000"/>
            <a:lumOff val="40000"/>
          </a:schemeClr>
        </a:solidFill>
      </dgm:spPr>
      <dgm:t>
        <a:bodyPr/>
        <a:lstStyle/>
        <a:p>
          <a:r>
            <a:rPr lang="en-US" b="1"/>
            <a:t>Statistical treatment</a:t>
          </a:r>
        </a:p>
      </dgm:t>
    </dgm:pt>
    <dgm:pt modelId="{A91416BF-0B50-470F-89A2-D597ECCF24E9}" type="parTrans" cxnId="{CCFAFC7A-A2AA-4F81-BEC5-BE575481E5B4}">
      <dgm:prSet/>
      <dgm:spPr/>
      <dgm:t>
        <a:bodyPr/>
        <a:lstStyle/>
        <a:p>
          <a:endParaRPr lang="en-US"/>
        </a:p>
      </dgm:t>
    </dgm:pt>
    <dgm:pt modelId="{6CC54CB3-1DE4-4B5F-843D-46D4A6BDA80D}" type="sibTrans" cxnId="{CCFAFC7A-A2AA-4F81-BEC5-BE575481E5B4}">
      <dgm:prSet/>
      <dgm:spPr/>
      <dgm:t>
        <a:bodyPr/>
        <a:lstStyle/>
        <a:p>
          <a:endParaRPr lang="en-US"/>
        </a:p>
      </dgm:t>
    </dgm:pt>
    <dgm:pt modelId="{855B65E2-E04A-4C69-918E-201C857D95F6}">
      <dgm:prSet/>
      <dgm:spPr>
        <a:solidFill>
          <a:schemeClr val="accent6">
            <a:lumMod val="60000"/>
            <a:lumOff val="40000"/>
          </a:schemeClr>
        </a:solidFill>
      </dgm:spPr>
      <dgm:t>
        <a:bodyPr/>
        <a:lstStyle/>
        <a:p>
          <a:r>
            <a:rPr lang="en-US" b="1"/>
            <a:t>FEC and</a:t>
          </a:r>
          <a:r>
            <a:rPr lang="lv-LV" b="1"/>
            <a:t> the</a:t>
          </a:r>
          <a:r>
            <a:rPr lang="en-US" b="1"/>
            <a:t> contract price</a:t>
          </a:r>
        </a:p>
      </dgm:t>
    </dgm:pt>
    <dgm:pt modelId="{F1E308F3-8107-4B9D-991E-8E40AC8F75EE}" type="parTrans" cxnId="{ECA2030E-BEAB-4F24-A7B7-A6B676F20EFA}">
      <dgm:prSet/>
      <dgm:spPr/>
      <dgm:t>
        <a:bodyPr/>
        <a:lstStyle/>
        <a:p>
          <a:endParaRPr lang="en-US"/>
        </a:p>
      </dgm:t>
    </dgm:pt>
    <dgm:pt modelId="{9E3B6003-83DF-4A8B-872B-13119254EF67}" type="sibTrans" cxnId="{ECA2030E-BEAB-4F24-A7B7-A6B676F20EFA}">
      <dgm:prSet/>
      <dgm:spPr/>
      <dgm:t>
        <a:bodyPr/>
        <a:lstStyle/>
        <a:p>
          <a:endParaRPr lang="en-US"/>
        </a:p>
      </dgm:t>
    </dgm:pt>
    <dgm:pt modelId="{FB27F4F0-75A5-448F-A8CF-DD2976A11483}">
      <dgm:prSet phldrT="[Text]"/>
      <dgm:spPr>
        <a:solidFill>
          <a:schemeClr val="accent6">
            <a:lumMod val="60000"/>
            <a:lumOff val="40000"/>
          </a:schemeClr>
        </a:solidFill>
      </dgm:spPr>
      <dgm:t>
        <a:bodyPr/>
        <a:lstStyle/>
        <a:p>
          <a:r>
            <a:rPr lang="en-US" b="1"/>
            <a:t>Selecting a private partner</a:t>
          </a:r>
        </a:p>
      </dgm:t>
    </dgm:pt>
    <dgm:pt modelId="{3D29A1BE-6275-4F01-A404-CAEFF0BD9E2A}" type="sibTrans" cxnId="{4D188CFA-6CCF-4FDB-A5BA-D0D69FDF2833}">
      <dgm:prSet/>
      <dgm:spPr/>
      <dgm:t>
        <a:bodyPr/>
        <a:lstStyle/>
        <a:p>
          <a:endParaRPr lang="en-US"/>
        </a:p>
      </dgm:t>
    </dgm:pt>
    <dgm:pt modelId="{A9337E4C-98D1-4CB2-A3F1-CB7A2154FF35}" type="parTrans" cxnId="{4D188CFA-6CCF-4FDB-A5BA-D0D69FDF2833}">
      <dgm:prSet/>
      <dgm:spPr/>
      <dgm:t>
        <a:bodyPr/>
        <a:lstStyle/>
        <a:p>
          <a:endParaRPr lang="en-US"/>
        </a:p>
      </dgm:t>
    </dgm:pt>
    <dgm:pt modelId="{8AAB4D2F-F059-4C7E-95EC-E4DB878DB7B0}">
      <dgm:prSet/>
      <dgm:spPr>
        <a:solidFill>
          <a:schemeClr val="accent6">
            <a:lumMod val="60000"/>
            <a:lumOff val="40000"/>
          </a:schemeClr>
        </a:solidFill>
      </dgm:spPr>
      <dgm:t>
        <a:bodyPr/>
        <a:lstStyle/>
        <a:p>
          <a:r>
            <a:rPr lang="en-US" b="1"/>
            <a:t>PPP arrangements and models</a:t>
          </a:r>
        </a:p>
      </dgm:t>
    </dgm:pt>
    <dgm:pt modelId="{167AAC3F-9E4E-4160-9CE7-079DF27D9821}" type="parTrans" cxnId="{12CC558B-3C64-4623-B860-A0653C73DA09}">
      <dgm:prSet/>
      <dgm:spPr/>
      <dgm:t>
        <a:bodyPr/>
        <a:lstStyle/>
        <a:p>
          <a:endParaRPr lang="en-US"/>
        </a:p>
      </dgm:t>
    </dgm:pt>
    <dgm:pt modelId="{D91072F5-9D43-40A2-B7DA-9490D45CF03E}" type="sibTrans" cxnId="{12CC558B-3C64-4623-B860-A0653C73DA09}">
      <dgm:prSet/>
      <dgm:spPr/>
      <dgm:t>
        <a:bodyPr/>
        <a:lstStyle/>
        <a:p>
          <a:endParaRPr lang="en-US"/>
        </a:p>
      </dgm:t>
    </dgm:pt>
    <dgm:pt modelId="{2C10EB53-A34F-4B55-8BE6-EE065BABD930}">
      <dgm:prSet/>
      <dgm:spPr>
        <a:solidFill>
          <a:schemeClr val="accent6">
            <a:lumMod val="60000"/>
            <a:lumOff val="40000"/>
          </a:schemeClr>
        </a:solidFill>
      </dgm:spPr>
      <dgm:t>
        <a:bodyPr/>
        <a:lstStyle/>
        <a:p>
          <a:r>
            <a:rPr lang="en-US" b="1"/>
            <a:t>PPP project step by step</a:t>
          </a:r>
        </a:p>
      </dgm:t>
    </dgm:pt>
    <dgm:pt modelId="{3EA60A0F-0828-451A-B58B-550AF5C37AEE}" type="parTrans" cxnId="{09EE5D42-3886-41F3-AE4B-5A1A4722CCFC}">
      <dgm:prSet/>
      <dgm:spPr/>
      <dgm:t>
        <a:bodyPr/>
        <a:lstStyle/>
        <a:p>
          <a:endParaRPr lang="en-US"/>
        </a:p>
      </dgm:t>
    </dgm:pt>
    <dgm:pt modelId="{9B0921A5-2947-44F0-B1A5-702367D2F526}" type="sibTrans" cxnId="{09EE5D42-3886-41F3-AE4B-5A1A4722CCFC}">
      <dgm:prSet/>
      <dgm:spPr/>
      <dgm:t>
        <a:bodyPr/>
        <a:lstStyle/>
        <a:p>
          <a:endParaRPr lang="en-US"/>
        </a:p>
      </dgm:t>
    </dgm:pt>
    <dgm:pt modelId="{EB669D37-2AC3-4CBF-AF56-9AA04727DCEB}" type="pres">
      <dgm:prSet presAssocID="{2D4891F9-02BB-4744-BC98-F797D5378BB8}" presName="Name0" presStyleCnt="0">
        <dgm:presLayoutVars>
          <dgm:dir/>
          <dgm:animLvl val="lvl"/>
          <dgm:resizeHandles val="exact"/>
        </dgm:presLayoutVars>
      </dgm:prSet>
      <dgm:spPr/>
    </dgm:pt>
    <dgm:pt modelId="{F3E1A825-B159-4C34-89E0-F529F7E3B2A5}" type="pres">
      <dgm:prSet presAssocID="{D776028D-2800-426E-BC0F-C58152E47314}" presName="parTxOnly" presStyleLbl="node1" presStyleIdx="0" presStyleCnt="7">
        <dgm:presLayoutVars>
          <dgm:chMax val="0"/>
          <dgm:chPref val="0"/>
          <dgm:bulletEnabled val="1"/>
        </dgm:presLayoutVars>
      </dgm:prSet>
      <dgm:spPr/>
    </dgm:pt>
    <dgm:pt modelId="{C2D8501D-F8B7-4C1C-93D1-71C0A7666FC4}" type="pres">
      <dgm:prSet presAssocID="{7B15472F-30FC-4178-B819-5294BBE2DE61}" presName="parTxOnlySpace" presStyleCnt="0"/>
      <dgm:spPr/>
    </dgm:pt>
    <dgm:pt modelId="{9661ACF9-6E2F-4AA1-B632-865A87605FBF}" type="pres">
      <dgm:prSet presAssocID="{8AAB4D2F-F059-4C7E-95EC-E4DB878DB7B0}" presName="parTxOnly" presStyleLbl="node1" presStyleIdx="1" presStyleCnt="7">
        <dgm:presLayoutVars>
          <dgm:chMax val="0"/>
          <dgm:chPref val="0"/>
          <dgm:bulletEnabled val="1"/>
        </dgm:presLayoutVars>
      </dgm:prSet>
      <dgm:spPr/>
    </dgm:pt>
    <dgm:pt modelId="{0FBAD907-0F15-4838-9E30-B903AAE25FA1}" type="pres">
      <dgm:prSet presAssocID="{D91072F5-9D43-40A2-B7DA-9490D45CF03E}" presName="parTxOnlySpace" presStyleCnt="0"/>
      <dgm:spPr/>
    </dgm:pt>
    <dgm:pt modelId="{C30DE2D3-3607-4DA2-882B-05D80B0B4BC3}" type="pres">
      <dgm:prSet presAssocID="{2C10EB53-A34F-4B55-8BE6-EE065BABD930}" presName="parTxOnly" presStyleLbl="node1" presStyleIdx="2" presStyleCnt="7">
        <dgm:presLayoutVars>
          <dgm:chMax val="0"/>
          <dgm:chPref val="0"/>
          <dgm:bulletEnabled val="1"/>
        </dgm:presLayoutVars>
      </dgm:prSet>
      <dgm:spPr/>
    </dgm:pt>
    <dgm:pt modelId="{A175CAFE-81F9-4573-AB54-AE9DB9F314F6}" type="pres">
      <dgm:prSet presAssocID="{9B0921A5-2947-44F0-B1A5-702367D2F526}" presName="parTxOnlySpace" presStyleCnt="0"/>
      <dgm:spPr/>
    </dgm:pt>
    <dgm:pt modelId="{2DC4F51C-7158-4316-8A9B-C866CC41E42A}" type="pres">
      <dgm:prSet presAssocID="{855B65E2-E04A-4C69-918E-201C857D95F6}" presName="parTxOnly" presStyleLbl="node1" presStyleIdx="3" presStyleCnt="7">
        <dgm:presLayoutVars>
          <dgm:chMax val="0"/>
          <dgm:chPref val="0"/>
          <dgm:bulletEnabled val="1"/>
        </dgm:presLayoutVars>
      </dgm:prSet>
      <dgm:spPr/>
    </dgm:pt>
    <dgm:pt modelId="{AB5C77F6-1DA7-4623-8AE0-61978979B13E}" type="pres">
      <dgm:prSet presAssocID="{9E3B6003-83DF-4A8B-872B-13119254EF67}" presName="parTxOnlySpace" presStyleCnt="0"/>
      <dgm:spPr/>
    </dgm:pt>
    <dgm:pt modelId="{733A4756-8C5C-4214-832B-90402EA063F4}" type="pres">
      <dgm:prSet presAssocID="{22F07FBB-066D-4DAA-A82E-F9ABA111A029}" presName="parTxOnly" presStyleLbl="node1" presStyleIdx="4" presStyleCnt="7">
        <dgm:presLayoutVars>
          <dgm:chMax val="0"/>
          <dgm:chPref val="0"/>
          <dgm:bulletEnabled val="1"/>
        </dgm:presLayoutVars>
      </dgm:prSet>
      <dgm:spPr/>
    </dgm:pt>
    <dgm:pt modelId="{E7C9E767-6D64-460D-9318-3BD5D55F0C36}" type="pres">
      <dgm:prSet presAssocID="{6CC54CB3-1DE4-4B5F-843D-46D4A6BDA80D}" presName="parTxOnlySpace" presStyleCnt="0"/>
      <dgm:spPr/>
    </dgm:pt>
    <dgm:pt modelId="{7FA1EC39-CCC5-496F-8476-ED4A88B8D2DF}" type="pres">
      <dgm:prSet presAssocID="{FB27F4F0-75A5-448F-A8CF-DD2976A11483}" presName="parTxOnly" presStyleLbl="node1" presStyleIdx="5" presStyleCnt="7">
        <dgm:presLayoutVars>
          <dgm:chMax val="0"/>
          <dgm:chPref val="0"/>
          <dgm:bulletEnabled val="1"/>
        </dgm:presLayoutVars>
      </dgm:prSet>
      <dgm:spPr/>
    </dgm:pt>
    <dgm:pt modelId="{C00C3344-EF23-4532-833E-B55E4B3CE4F5}" type="pres">
      <dgm:prSet presAssocID="{3D29A1BE-6275-4F01-A404-CAEFF0BD9E2A}" presName="parTxOnlySpace" presStyleCnt="0"/>
      <dgm:spPr/>
    </dgm:pt>
    <dgm:pt modelId="{F0EF1AF7-9E50-4C53-86EF-D863DF7A9230}" type="pres">
      <dgm:prSet presAssocID="{EFB44D52-ED59-4BE7-95AF-4906E13EAD04}" presName="parTxOnly" presStyleLbl="node1" presStyleIdx="6" presStyleCnt="7">
        <dgm:presLayoutVars>
          <dgm:chMax val="0"/>
          <dgm:chPref val="0"/>
          <dgm:bulletEnabled val="1"/>
        </dgm:presLayoutVars>
      </dgm:prSet>
      <dgm:spPr/>
    </dgm:pt>
  </dgm:ptLst>
  <dgm:cxnLst>
    <dgm:cxn modelId="{ECA2030E-BEAB-4F24-A7B7-A6B676F20EFA}" srcId="{2D4891F9-02BB-4744-BC98-F797D5378BB8}" destId="{855B65E2-E04A-4C69-918E-201C857D95F6}" srcOrd="3" destOrd="0" parTransId="{F1E308F3-8107-4B9D-991E-8E40AC8F75EE}" sibTransId="{9E3B6003-83DF-4A8B-872B-13119254EF67}"/>
    <dgm:cxn modelId="{E6FC785C-5C79-4CB9-97B0-38C9221EDAD3}" type="presOf" srcId="{FB27F4F0-75A5-448F-A8CF-DD2976A11483}" destId="{7FA1EC39-CCC5-496F-8476-ED4A88B8D2DF}" srcOrd="0" destOrd="0" presId="urn:microsoft.com/office/officeart/2005/8/layout/chevron1"/>
    <dgm:cxn modelId="{09EE5D42-3886-41F3-AE4B-5A1A4722CCFC}" srcId="{2D4891F9-02BB-4744-BC98-F797D5378BB8}" destId="{2C10EB53-A34F-4B55-8BE6-EE065BABD930}" srcOrd="2" destOrd="0" parTransId="{3EA60A0F-0828-451A-B58B-550AF5C37AEE}" sibTransId="{9B0921A5-2947-44F0-B1A5-702367D2F526}"/>
    <dgm:cxn modelId="{B253FC65-901E-43B1-B944-9E47F18CEA3A}" type="presOf" srcId="{22F07FBB-066D-4DAA-A82E-F9ABA111A029}" destId="{733A4756-8C5C-4214-832B-90402EA063F4}" srcOrd="0" destOrd="0" presId="urn:microsoft.com/office/officeart/2005/8/layout/chevron1"/>
    <dgm:cxn modelId="{CCFAFC7A-A2AA-4F81-BEC5-BE575481E5B4}" srcId="{2D4891F9-02BB-4744-BC98-F797D5378BB8}" destId="{22F07FBB-066D-4DAA-A82E-F9ABA111A029}" srcOrd="4" destOrd="0" parTransId="{A91416BF-0B50-470F-89A2-D597ECCF24E9}" sibTransId="{6CC54CB3-1DE4-4B5F-843D-46D4A6BDA80D}"/>
    <dgm:cxn modelId="{12CC558B-3C64-4623-B860-A0653C73DA09}" srcId="{2D4891F9-02BB-4744-BC98-F797D5378BB8}" destId="{8AAB4D2F-F059-4C7E-95EC-E4DB878DB7B0}" srcOrd="1" destOrd="0" parTransId="{167AAC3F-9E4E-4160-9CE7-079DF27D9821}" sibTransId="{D91072F5-9D43-40A2-B7DA-9490D45CF03E}"/>
    <dgm:cxn modelId="{EC98FC8D-D339-4239-86B7-82A9A8234363}" type="presOf" srcId="{2C10EB53-A34F-4B55-8BE6-EE065BABD930}" destId="{C30DE2D3-3607-4DA2-882B-05D80B0B4BC3}" srcOrd="0" destOrd="0" presId="urn:microsoft.com/office/officeart/2005/8/layout/chevron1"/>
    <dgm:cxn modelId="{115F5796-205D-4478-8F9F-C6E2C2E6DAA7}" srcId="{2D4891F9-02BB-4744-BC98-F797D5378BB8}" destId="{D776028D-2800-426E-BC0F-C58152E47314}" srcOrd="0" destOrd="0" parTransId="{7E771217-B877-4E7F-B702-00F37BC7E118}" sibTransId="{7B15472F-30FC-4178-B819-5294BBE2DE61}"/>
    <dgm:cxn modelId="{7045EAAD-4469-4E90-92BC-578274B09A8D}" type="presOf" srcId="{855B65E2-E04A-4C69-918E-201C857D95F6}" destId="{2DC4F51C-7158-4316-8A9B-C866CC41E42A}" srcOrd="0" destOrd="0" presId="urn:microsoft.com/office/officeart/2005/8/layout/chevron1"/>
    <dgm:cxn modelId="{E976D0B3-2D87-443B-9AE3-73117D473083}" type="presOf" srcId="{EFB44D52-ED59-4BE7-95AF-4906E13EAD04}" destId="{F0EF1AF7-9E50-4C53-86EF-D863DF7A9230}" srcOrd="0" destOrd="0" presId="urn:microsoft.com/office/officeart/2005/8/layout/chevron1"/>
    <dgm:cxn modelId="{8807D7C2-35CB-45E3-9707-F3F6E2EEEEB9}" type="presOf" srcId="{D776028D-2800-426E-BC0F-C58152E47314}" destId="{F3E1A825-B159-4C34-89E0-F529F7E3B2A5}" srcOrd="0" destOrd="0" presId="urn:microsoft.com/office/officeart/2005/8/layout/chevron1"/>
    <dgm:cxn modelId="{4314A4D0-0C4F-4E2C-AE82-D7AA6FC0D4AC}" type="presOf" srcId="{2D4891F9-02BB-4744-BC98-F797D5378BB8}" destId="{EB669D37-2AC3-4CBF-AF56-9AA04727DCEB}" srcOrd="0" destOrd="0" presId="urn:microsoft.com/office/officeart/2005/8/layout/chevron1"/>
    <dgm:cxn modelId="{B9343FD3-DBD1-4AC5-B57D-BD7A148E7364}" srcId="{2D4891F9-02BB-4744-BC98-F797D5378BB8}" destId="{EFB44D52-ED59-4BE7-95AF-4906E13EAD04}" srcOrd="6" destOrd="0" parTransId="{7FB964F2-72C0-4E4A-9CF6-8D927F09C94C}" sibTransId="{574EB713-A710-49F8-9597-5CA4C1BCC855}"/>
    <dgm:cxn modelId="{8B4B40D3-1ED9-4E3D-90D2-ABB2C75D8B58}" type="presOf" srcId="{8AAB4D2F-F059-4C7E-95EC-E4DB878DB7B0}" destId="{9661ACF9-6E2F-4AA1-B632-865A87605FBF}" srcOrd="0" destOrd="0" presId="urn:microsoft.com/office/officeart/2005/8/layout/chevron1"/>
    <dgm:cxn modelId="{4D188CFA-6CCF-4FDB-A5BA-D0D69FDF2833}" srcId="{2D4891F9-02BB-4744-BC98-F797D5378BB8}" destId="{FB27F4F0-75A5-448F-A8CF-DD2976A11483}" srcOrd="5" destOrd="0" parTransId="{A9337E4C-98D1-4CB2-A3F1-CB7A2154FF35}" sibTransId="{3D29A1BE-6275-4F01-A404-CAEFF0BD9E2A}"/>
    <dgm:cxn modelId="{7D465116-238F-4FBD-92CE-41DCE3A86CB7}" type="presParOf" srcId="{EB669D37-2AC3-4CBF-AF56-9AA04727DCEB}" destId="{F3E1A825-B159-4C34-89E0-F529F7E3B2A5}" srcOrd="0" destOrd="0" presId="urn:microsoft.com/office/officeart/2005/8/layout/chevron1"/>
    <dgm:cxn modelId="{6B1E9D0F-AC11-474A-81DF-3B7753BCF901}" type="presParOf" srcId="{EB669D37-2AC3-4CBF-AF56-9AA04727DCEB}" destId="{C2D8501D-F8B7-4C1C-93D1-71C0A7666FC4}" srcOrd="1" destOrd="0" presId="urn:microsoft.com/office/officeart/2005/8/layout/chevron1"/>
    <dgm:cxn modelId="{C73B4678-DE98-405B-BB84-A3A59682E940}" type="presParOf" srcId="{EB669D37-2AC3-4CBF-AF56-9AA04727DCEB}" destId="{9661ACF9-6E2F-4AA1-B632-865A87605FBF}" srcOrd="2" destOrd="0" presId="urn:microsoft.com/office/officeart/2005/8/layout/chevron1"/>
    <dgm:cxn modelId="{01554358-1CFD-42DD-8B29-A3EE409D0F82}" type="presParOf" srcId="{EB669D37-2AC3-4CBF-AF56-9AA04727DCEB}" destId="{0FBAD907-0F15-4838-9E30-B903AAE25FA1}" srcOrd="3" destOrd="0" presId="urn:microsoft.com/office/officeart/2005/8/layout/chevron1"/>
    <dgm:cxn modelId="{AD5904EB-7925-4304-B07D-1E1B7E7A6B4C}" type="presParOf" srcId="{EB669D37-2AC3-4CBF-AF56-9AA04727DCEB}" destId="{C30DE2D3-3607-4DA2-882B-05D80B0B4BC3}" srcOrd="4" destOrd="0" presId="urn:microsoft.com/office/officeart/2005/8/layout/chevron1"/>
    <dgm:cxn modelId="{29BC41C6-66A8-4358-97C3-9DC660DF917D}" type="presParOf" srcId="{EB669D37-2AC3-4CBF-AF56-9AA04727DCEB}" destId="{A175CAFE-81F9-4573-AB54-AE9DB9F314F6}" srcOrd="5" destOrd="0" presId="urn:microsoft.com/office/officeart/2005/8/layout/chevron1"/>
    <dgm:cxn modelId="{9EB3A924-73F1-4651-AB8C-B7C9473763B1}" type="presParOf" srcId="{EB669D37-2AC3-4CBF-AF56-9AA04727DCEB}" destId="{2DC4F51C-7158-4316-8A9B-C866CC41E42A}" srcOrd="6" destOrd="0" presId="urn:microsoft.com/office/officeart/2005/8/layout/chevron1"/>
    <dgm:cxn modelId="{E4CC8A43-3D82-456F-9BC7-A272F377FD3B}" type="presParOf" srcId="{EB669D37-2AC3-4CBF-AF56-9AA04727DCEB}" destId="{AB5C77F6-1DA7-4623-8AE0-61978979B13E}" srcOrd="7" destOrd="0" presId="urn:microsoft.com/office/officeart/2005/8/layout/chevron1"/>
    <dgm:cxn modelId="{27AE1223-0954-40EB-AC0F-06721B24EC2B}" type="presParOf" srcId="{EB669D37-2AC3-4CBF-AF56-9AA04727DCEB}" destId="{733A4756-8C5C-4214-832B-90402EA063F4}" srcOrd="8" destOrd="0" presId="urn:microsoft.com/office/officeart/2005/8/layout/chevron1"/>
    <dgm:cxn modelId="{4F87BCFE-93D2-456F-BF27-A79DAE64EEE2}" type="presParOf" srcId="{EB669D37-2AC3-4CBF-AF56-9AA04727DCEB}" destId="{E7C9E767-6D64-460D-9318-3BD5D55F0C36}" srcOrd="9" destOrd="0" presId="urn:microsoft.com/office/officeart/2005/8/layout/chevron1"/>
    <dgm:cxn modelId="{A697FF60-EE68-4874-9E58-B4AE6CEE4FFB}" type="presParOf" srcId="{EB669D37-2AC3-4CBF-AF56-9AA04727DCEB}" destId="{7FA1EC39-CCC5-496F-8476-ED4A88B8D2DF}" srcOrd="10" destOrd="0" presId="urn:microsoft.com/office/officeart/2005/8/layout/chevron1"/>
    <dgm:cxn modelId="{67F3A12F-A4E9-457E-B185-A3616007F678}" type="presParOf" srcId="{EB669D37-2AC3-4CBF-AF56-9AA04727DCEB}" destId="{C00C3344-EF23-4532-833E-B55E4B3CE4F5}" srcOrd="11" destOrd="0" presId="urn:microsoft.com/office/officeart/2005/8/layout/chevron1"/>
    <dgm:cxn modelId="{6E23F6A3-E659-4AFC-BBE5-28EE4AFE4E37}" type="presParOf" srcId="{EB669D37-2AC3-4CBF-AF56-9AA04727DCEB}" destId="{F0EF1AF7-9E50-4C53-86EF-D863DF7A9230}" srcOrd="12" destOrd="0" presId="urn:microsoft.com/office/officeart/2005/8/layout/chevron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428D9E4-7EA0-43AF-B7ED-5092F9652DCC}" type="doc">
      <dgm:prSet loTypeId="urn:microsoft.com/office/officeart/2005/8/layout/hProcess7" loCatId="process" qsTypeId="urn:microsoft.com/office/officeart/2005/8/quickstyle/simple1" qsCatId="simple" csTypeId="urn:microsoft.com/office/officeart/2005/8/colors/accent6_1" csCatId="accent6" phldr="1"/>
      <dgm:spPr/>
      <dgm:t>
        <a:bodyPr/>
        <a:lstStyle/>
        <a:p>
          <a:endParaRPr lang="en-US"/>
        </a:p>
      </dgm:t>
    </dgm:pt>
    <dgm:pt modelId="{C9588AD9-FD9A-4523-AC15-9E19F310235C}">
      <dgm:prSet phldrT="[Text]"/>
      <dgm:spPr/>
      <dgm:t>
        <a:bodyPr/>
        <a:lstStyle/>
        <a:p>
          <a:r>
            <a:rPr lang="en-US"/>
            <a:t>Input worksheets</a:t>
          </a:r>
        </a:p>
      </dgm:t>
    </dgm:pt>
    <dgm:pt modelId="{C27A9CC4-E1E4-468D-B415-5B4B1B798606}" type="parTrans" cxnId="{523924F2-9ED9-4049-A8BA-6FDA0B8980F5}">
      <dgm:prSet/>
      <dgm:spPr/>
      <dgm:t>
        <a:bodyPr/>
        <a:lstStyle/>
        <a:p>
          <a:endParaRPr lang="en-US"/>
        </a:p>
      </dgm:t>
    </dgm:pt>
    <dgm:pt modelId="{B40770B3-971E-4625-A2A8-534EB8BCA11D}" type="sibTrans" cxnId="{523924F2-9ED9-4049-A8BA-6FDA0B8980F5}">
      <dgm:prSet/>
      <dgm:spPr/>
      <dgm:t>
        <a:bodyPr/>
        <a:lstStyle/>
        <a:p>
          <a:endParaRPr lang="en-US"/>
        </a:p>
      </dgm:t>
    </dgm:pt>
    <dgm:pt modelId="{8B9749E2-44DD-4A95-A35A-A6FFC7B60C1E}">
      <dgm:prSet phldrT="[Text]"/>
      <dgm:spPr/>
      <dgm:t>
        <a:bodyPr/>
        <a:lstStyle/>
        <a:p>
          <a:r>
            <a:rPr lang="en-US"/>
            <a:t>Terms and dates</a:t>
          </a:r>
        </a:p>
        <a:p>
          <a:r>
            <a:rPr lang="en-US"/>
            <a:t>Macroeconomic assumptions</a:t>
          </a:r>
        </a:p>
        <a:p>
          <a:r>
            <a:rPr lang="en-US"/>
            <a:t>Discount rate</a:t>
          </a:r>
        </a:p>
        <a:p>
          <a:r>
            <a:rPr lang="en-US"/>
            <a:t>Tax rates</a:t>
          </a:r>
        </a:p>
        <a:p>
          <a:r>
            <a:rPr lang="en-US"/>
            <a:t>Financing structure</a:t>
          </a:r>
        </a:p>
        <a:p>
          <a:r>
            <a:rPr lang="en-US"/>
            <a:t>Capital investment plan</a:t>
          </a:r>
        </a:p>
        <a:p>
          <a:r>
            <a:rPr lang="en-US"/>
            <a:t>Cost plan</a:t>
          </a:r>
        </a:p>
        <a:p>
          <a:r>
            <a:rPr lang="en-US"/>
            <a:t>Revenue plan</a:t>
          </a:r>
        </a:p>
        <a:p>
          <a:r>
            <a:rPr lang="en-US"/>
            <a:t>Adjustments to the baseline model</a:t>
          </a:r>
        </a:p>
        <a:p>
          <a:r>
            <a:rPr lang="en-US"/>
            <a:t>Quantifying risks</a:t>
          </a:r>
        </a:p>
        <a:p>
          <a:r>
            <a:rPr lang="en-US"/>
            <a:t>Statistical treatment checklist questions</a:t>
          </a:r>
        </a:p>
      </dgm:t>
    </dgm:pt>
    <dgm:pt modelId="{4F4E435A-DF3E-473C-90D5-A4BF51C28E4C}" type="parTrans" cxnId="{C27B3A3E-CE04-4EBC-B36B-6A01FC707B74}">
      <dgm:prSet/>
      <dgm:spPr/>
      <dgm:t>
        <a:bodyPr/>
        <a:lstStyle/>
        <a:p>
          <a:endParaRPr lang="en-US"/>
        </a:p>
      </dgm:t>
    </dgm:pt>
    <dgm:pt modelId="{AB5358F2-C5F6-452C-8BA4-83F41ED1BA62}" type="sibTrans" cxnId="{C27B3A3E-CE04-4EBC-B36B-6A01FC707B74}">
      <dgm:prSet/>
      <dgm:spPr/>
      <dgm:t>
        <a:bodyPr/>
        <a:lstStyle/>
        <a:p>
          <a:endParaRPr lang="en-US"/>
        </a:p>
      </dgm:t>
    </dgm:pt>
    <dgm:pt modelId="{48D8D6F8-2E2E-4588-8415-55B55503A031}">
      <dgm:prSet phldrT="[Text]"/>
      <dgm:spPr/>
      <dgm:t>
        <a:bodyPr/>
        <a:lstStyle/>
        <a:p>
          <a:r>
            <a:rPr lang="en-US"/>
            <a:t>Calculation worksheets</a:t>
          </a:r>
        </a:p>
      </dgm:t>
    </dgm:pt>
    <dgm:pt modelId="{7C453ACF-D3F9-4603-91D8-D75688CEE222}" type="parTrans" cxnId="{A946852C-207E-4503-B2F9-3B771A4B35A5}">
      <dgm:prSet/>
      <dgm:spPr/>
      <dgm:t>
        <a:bodyPr/>
        <a:lstStyle/>
        <a:p>
          <a:endParaRPr lang="en-US"/>
        </a:p>
      </dgm:t>
    </dgm:pt>
    <dgm:pt modelId="{5686EE5C-BC7A-4807-92E0-47CFD1168EDC}" type="sibTrans" cxnId="{A946852C-207E-4503-B2F9-3B771A4B35A5}">
      <dgm:prSet/>
      <dgm:spPr/>
      <dgm:t>
        <a:bodyPr/>
        <a:lstStyle/>
        <a:p>
          <a:endParaRPr lang="en-US"/>
        </a:p>
      </dgm:t>
    </dgm:pt>
    <dgm:pt modelId="{E0BBF8A4-90FA-426A-BAB4-928F3BC7FD61}">
      <dgm:prSet phldrT="[Text]"/>
      <dgm:spPr/>
      <dgm:t>
        <a:bodyPr/>
        <a:lstStyle/>
        <a:p>
          <a:r>
            <a:rPr lang="en-US"/>
            <a:t>Timetable</a:t>
          </a:r>
        </a:p>
      </dgm:t>
    </dgm:pt>
    <dgm:pt modelId="{EE3961C4-1DC2-4304-8C62-7098703AE8EE}" type="parTrans" cxnId="{5A98AAEA-AAC1-4E3E-9982-C86E4D5E7A4E}">
      <dgm:prSet/>
      <dgm:spPr/>
      <dgm:t>
        <a:bodyPr/>
        <a:lstStyle/>
        <a:p>
          <a:endParaRPr lang="en-US"/>
        </a:p>
      </dgm:t>
    </dgm:pt>
    <dgm:pt modelId="{48301D8C-63C1-40D3-8465-284B8024AD27}" type="sibTrans" cxnId="{5A98AAEA-AAC1-4E3E-9982-C86E4D5E7A4E}">
      <dgm:prSet/>
      <dgm:spPr/>
      <dgm:t>
        <a:bodyPr/>
        <a:lstStyle/>
        <a:p>
          <a:endParaRPr lang="en-US"/>
        </a:p>
      </dgm:t>
    </dgm:pt>
    <dgm:pt modelId="{E5F3CCD4-0D25-4F13-9FBB-7B6990715013}">
      <dgm:prSet phldrT="[Text]"/>
      <dgm:spPr/>
      <dgm:t>
        <a:bodyPr/>
        <a:lstStyle/>
        <a:p>
          <a:r>
            <a:rPr lang="en-US"/>
            <a:t>Results worksheets</a:t>
          </a:r>
        </a:p>
      </dgm:t>
    </dgm:pt>
    <dgm:pt modelId="{0D6E9902-965B-4754-8E06-ED566E8F7A26}" type="parTrans" cxnId="{FF09C83F-5C18-4C8D-A529-75594403B1A3}">
      <dgm:prSet/>
      <dgm:spPr/>
      <dgm:t>
        <a:bodyPr/>
        <a:lstStyle/>
        <a:p>
          <a:endParaRPr lang="en-US"/>
        </a:p>
      </dgm:t>
    </dgm:pt>
    <dgm:pt modelId="{54FDEFEE-A248-44CC-8274-803E87C9EB5A}" type="sibTrans" cxnId="{FF09C83F-5C18-4C8D-A529-75594403B1A3}">
      <dgm:prSet/>
      <dgm:spPr/>
      <dgm:t>
        <a:bodyPr/>
        <a:lstStyle/>
        <a:p>
          <a:endParaRPr lang="en-US"/>
        </a:p>
      </dgm:t>
    </dgm:pt>
    <dgm:pt modelId="{8E2EA73C-86F4-4258-BC66-9EC568228826}">
      <dgm:prSet phldrT="[Text]"/>
      <dgm:spPr/>
      <dgm:t>
        <a:bodyPr/>
        <a:lstStyle/>
        <a:p>
          <a:r>
            <a:rPr lang="en-US"/>
            <a:t>Indicators</a:t>
          </a:r>
        </a:p>
        <a:p>
          <a:r>
            <a:rPr lang="en-US"/>
            <a:t>Timetable</a:t>
          </a:r>
        </a:p>
        <a:p>
          <a:r>
            <a:rPr lang="en-US"/>
            <a:t>Summary</a:t>
          </a:r>
        </a:p>
      </dgm:t>
    </dgm:pt>
    <dgm:pt modelId="{14B1D806-D927-4EE8-9408-E2FAB00628DA}" type="parTrans" cxnId="{E1306443-52A9-47ED-BE06-896C9DEA8140}">
      <dgm:prSet/>
      <dgm:spPr/>
      <dgm:t>
        <a:bodyPr/>
        <a:lstStyle/>
        <a:p>
          <a:endParaRPr lang="en-US"/>
        </a:p>
      </dgm:t>
    </dgm:pt>
    <dgm:pt modelId="{D0910F40-90D3-4299-A3FF-4942B39A4662}" type="sibTrans" cxnId="{E1306443-52A9-47ED-BE06-896C9DEA8140}">
      <dgm:prSet/>
      <dgm:spPr/>
      <dgm:t>
        <a:bodyPr/>
        <a:lstStyle/>
        <a:p>
          <a:endParaRPr lang="en-US"/>
        </a:p>
      </dgm:t>
    </dgm:pt>
    <dgm:pt modelId="{4FDAD0A7-BA57-4DAF-AD5C-73C6D5BEC79D}">
      <dgm:prSet phldrT="[Text]"/>
      <dgm:spPr/>
      <dgm:t>
        <a:bodyPr/>
        <a:lstStyle/>
        <a:p>
          <a:r>
            <a:rPr lang="en-US"/>
            <a:t>Capital investment</a:t>
          </a:r>
        </a:p>
      </dgm:t>
    </dgm:pt>
    <dgm:pt modelId="{72F567BE-30B6-4C4E-AE2B-0FE0D2C1C699}" type="parTrans" cxnId="{0E6BCA59-9C29-4862-9986-53DBB0496396}">
      <dgm:prSet/>
      <dgm:spPr/>
      <dgm:t>
        <a:bodyPr/>
        <a:lstStyle/>
        <a:p>
          <a:endParaRPr lang="en-US"/>
        </a:p>
      </dgm:t>
    </dgm:pt>
    <dgm:pt modelId="{CFE21D38-495E-4F0F-B310-071C0D1A3E4A}" type="sibTrans" cxnId="{0E6BCA59-9C29-4862-9986-53DBB0496396}">
      <dgm:prSet/>
      <dgm:spPr/>
      <dgm:t>
        <a:bodyPr/>
        <a:lstStyle/>
        <a:p>
          <a:endParaRPr lang="en-US"/>
        </a:p>
      </dgm:t>
    </dgm:pt>
    <dgm:pt modelId="{68B00883-533A-4D9A-9FCD-8F00D9430670}">
      <dgm:prSet phldrT="[Text]"/>
      <dgm:spPr/>
      <dgm:t>
        <a:bodyPr/>
        <a:lstStyle/>
        <a:p>
          <a:r>
            <a:rPr lang="en-US"/>
            <a:t>Financing</a:t>
          </a:r>
        </a:p>
      </dgm:t>
    </dgm:pt>
    <dgm:pt modelId="{01DBB8A6-1E47-43A6-A660-224AF6CBCDB4}" type="parTrans" cxnId="{97E983B7-588E-4F43-A741-2D97E339CDEE}">
      <dgm:prSet/>
      <dgm:spPr/>
      <dgm:t>
        <a:bodyPr/>
        <a:lstStyle/>
        <a:p>
          <a:endParaRPr lang="en-US"/>
        </a:p>
      </dgm:t>
    </dgm:pt>
    <dgm:pt modelId="{2C1F7E18-EE6C-4D95-B29C-D6BC80209B1B}" type="sibTrans" cxnId="{97E983B7-588E-4F43-A741-2D97E339CDEE}">
      <dgm:prSet/>
      <dgm:spPr/>
      <dgm:t>
        <a:bodyPr/>
        <a:lstStyle/>
        <a:p>
          <a:endParaRPr lang="en-US"/>
        </a:p>
      </dgm:t>
    </dgm:pt>
    <dgm:pt modelId="{AEE10E75-C441-4E56-9D92-C11EF796F413}">
      <dgm:prSet phldrT="[Text]"/>
      <dgm:spPr/>
      <dgm:t>
        <a:bodyPr/>
        <a:lstStyle/>
        <a:p>
          <a:r>
            <a:rPr lang="en-US"/>
            <a:t>Costs</a:t>
          </a:r>
        </a:p>
      </dgm:t>
    </dgm:pt>
    <dgm:pt modelId="{FC5256EC-85BB-4DCB-B331-334063CCD5B3}" type="parTrans" cxnId="{09F23B61-F3FA-4BB3-9FEE-CD40F1A8DADD}">
      <dgm:prSet/>
      <dgm:spPr/>
      <dgm:t>
        <a:bodyPr/>
        <a:lstStyle/>
        <a:p>
          <a:endParaRPr lang="en-US"/>
        </a:p>
      </dgm:t>
    </dgm:pt>
    <dgm:pt modelId="{D65B9088-DC7B-4877-9D1C-F6B682F57A59}" type="sibTrans" cxnId="{09F23B61-F3FA-4BB3-9FEE-CD40F1A8DADD}">
      <dgm:prSet/>
      <dgm:spPr/>
      <dgm:t>
        <a:bodyPr/>
        <a:lstStyle/>
        <a:p>
          <a:endParaRPr lang="en-US"/>
        </a:p>
      </dgm:t>
    </dgm:pt>
    <dgm:pt modelId="{F869B929-A062-470C-846D-B0498A26B422}">
      <dgm:prSet phldrT="[Text]"/>
      <dgm:spPr/>
      <dgm:t>
        <a:bodyPr/>
        <a:lstStyle/>
        <a:p>
          <a:r>
            <a:rPr lang="en-US"/>
            <a:t>Revenue</a:t>
          </a:r>
        </a:p>
        <a:p>
          <a:r>
            <a:rPr lang="en-US"/>
            <a:t>Cash flows</a:t>
          </a:r>
        </a:p>
        <a:p>
          <a:r>
            <a:rPr lang="en-US"/>
            <a:t>Sensitivity analysis</a:t>
          </a:r>
        </a:p>
        <a:p>
          <a:endParaRPr lang="en-US"/>
        </a:p>
      </dgm:t>
    </dgm:pt>
    <dgm:pt modelId="{C0FCEF8B-2BD0-458E-84A5-8371F9F11CB4}" type="parTrans" cxnId="{5B86C234-2632-4335-A83C-F8007FCDD13F}">
      <dgm:prSet/>
      <dgm:spPr/>
      <dgm:t>
        <a:bodyPr/>
        <a:lstStyle/>
        <a:p>
          <a:endParaRPr lang="en-US"/>
        </a:p>
      </dgm:t>
    </dgm:pt>
    <dgm:pt modelId="{526420F0-4BCF-484E-9910-5D26166C08C9}" type="sibTrans" cxnId="{5B86C234-2632-4335-A83C-F8007FCDD13F}">
      <dgm:prSet/>
      <dgm:spPr/>
      <dgm:t>
        <a:bodyPr/>
        <a:lstStyle/>
        <a:p>
          <a:endParaRPr lang="en-US"/>
        </a:p>
      </dgm:t>
    </dgm:pt>
    <dgm:pt modelId="{449593BF-9F58-469F-906B-5193B200868B}" type="pres">
      <dgm:prSet presAssocID="{3428D9E4-7EA0-43AF-B7ED-5092F9652DCC}" presName="Name0" presStyleCnt="0">
        <dgm:presLayoutVars>
          <dgm:dir/>
          <dgm:animLvl val="lvl"/>
          <dgm:resizeHandles val="exact"/>
        </dgm:presLayoutVars>
      </dgm:prSet>
      <dgm:spPr/>
    </dgm:pt>
    <dgm:pt modelId="{79AE4931-824B-4830-8562-987103374563}" type="pres">
      <dgm:prSet presAssocID="{C9588AD9-FD9A-4523-AC15-9E19F310235C}" presName="compositeNode" presStyleCnt="0">
        <dgm:presLayoutVars>
          <dgm:bulletEnabled val="1"/>
        </dgm:presLayoutVars>
      </dgm:prSet>
      <dgm:spPr/>
    </dgm:pt>
    <dgm:pt modelId="{0F7C4A99-B2B9-4DD0-8CB0-B7AF05DE8224}" type="pres">
      <dgm:prSet presAssocID="{C9588AD9-FD9A-4523-AC15-9E19F310235C}" presName="bgRect" presStyleLbl="node1" presStyleIdx="0" presStyleCnt="3" custScaleY="100000"/>
      <dgm:spPr/>
    </dgm:pt>
    <dgm:pt modelId="{0D3415D3-2C6E-4E5E-BFEE-8BCDFF7188BD}" type="pres">
      <dgm:prSet presAssocID="{C9588AD9-FD9A-4523-AC15-9E19F310235C}" presName="parentNode" presStyleLbl="node1" presStyleIdx="0" presStyleCnt="3">
        <dgm:presLayoutVars>
          <dgm:chMax val="0"/>
          <dgm:bulletEnabled val="1"/>
        </dgm:presLayoutVars>
      </dgm:prSet>
      <dgm:spPr/>
    </dgm:pt>
    <dgm:pt modelId="{47B89654-A2A9-48C2-B5B1-C0CADF35C5E0}" type="pres">
      <dgm:prSet presAssocID="{C9588AD9-FD9A-4523-AC15-9E19F310235C}" presName="childNode" presStyleLbl="node1" presStyleIdx="0" presStyleCnt="3">
        <dgm:presLayoutVars>
          <dgm:bulletEnabled val="1"/>
        </dgm:presLayoutVars>
      </dgm:prSet>
      <dgm:spPr/>
    </dgm:pt>
    <dgm:pt modelId="{EB2C6362-975C-4E37-8285-2549EC4E309B}" type="pres">
      <dgm:prSet presAssocID="{B40770B3-971E-4625-A2A8-534EB8BCA11D}" presName="hSp" presStyleCnt="0"/>
      <dgm:spPr/>
    </dgm:pt>
    <dgm:pt modelId="{152524BC-CAFF-4D5A-9FB4-313C7B03B055}" type="pres">
      <dgm:prSet presAssocID="{B40770B3-971E-4625-A2A8-534EB8BCA11D}" presName="vProcSp" presStyleCnt="0"/>
      <dgm:spPr/>
    </dgm:pt>
    <dgm:pt modelId="{23518D82-E5AA-498E-BFD4-3474EF6E0018}" type="pres">
      <dgm:prSet presAssocID="{B40770B3-971E-4625-A2A8-534EB8BCA11D}" presName="vSp1" presStyleCnt="0"/>
      <dgm:spPr/>
    </dgm:pt>
    <dgm:pt modelId="{C3B0F839-C0B7-40D3-8EC4-84635B8A4B86}" type="pres">
      <dgm:prSet presAssocID="{B40770B3-971E-4625-A2A8-534EB8BCA11D}" presName="simulatedConn" presStyleLbl="solidFgAcc1" presStyleIdx="0" presStyleCnt="2"/>
      <dgm:spPr/>
    </dgm:pt>
    <dgm:pt modelId="{4F523025-0BFB-4B9B-A663-7CE5C6F0448C}" type="pres">
      <dgm:prSet presAssocID="{B40770B3-971E-4625-A2A8-534EB8BCA11D}" presName="vSp2" presStyleCnt="0"/>
      <dgm:spPr/>
    </dgm:pt>
    <dgm:pt modelId="{77738231-5D9F-45F2-875A-371165092F5F}" type="pres">
      <dgm:prSet presAssocID="{B40770B3-971E-4625-A2A8-534EB8BCA11D}" presName="sibTrans" presStyleCnt="0"/>
      <dgm:spPr/>
    </dgm:pt>
    <dgm:pt modelId="{E6C2E4D7-4435-46D4-B1BD-31F4837929CF}" type="pres">
      <dgm:prSet presAssocID="{48D8D6F8-2E2E-4588-8415-55B55503A031}" presName="compositeNode" presStyleCnt="0">
        <dgm:presLayoutVars>
          <dgm:bulletEnabled val="1"/>
        </dgm:presLayoutVars>
      </dgm:prSet>
      <dgm:spPr/>
    </dgm:pt>
    <dgm:pt modelId="{7F821189-93E1-4D5D-933E-DE4FD874E7B4}" type="pres">
      <dgm:prSet presAssocID="{48D8D6F8-2E2E-4588-8415-55B55503A031}" presName="bgRect" presStyleLbl="node1" presStyleIdx="1" presStyleCnt="3"/>
      <dgm:spPr/>
    </dgm:pt>
    <dgm:pt modelId="{72512AED-D84B-4A58-8635-5911552399BE}" type="pres">
      <dgm:prSet presAssocID="{48D8D6F8-2E2E-4588-8415-55B55503A031}" presName="parentNode" presStyleLbl="node1" presStyleIdx="1" presStyleCnt="3">
        <dgm:presLayoutVars>
          <dgm:chMax val="0"/>
          <dgm:bulletEnabled val="1"/>
        </dgm:presLayoutVars>
      </dgm:prSet>
      <dgm:spPr/>
    </dgm:pt>
    <dgm:pt modelId="{A7CB3AA1-833F-4F0F-9599-C6C15C5F2B73}" type="pres">
      <dgm:prSet presAssocID="{48D8D6F8-2E2E-4588-8415-55B55503A031}" presName="childNode" presStyleLbl="node1" presStyleIdx="1" presStyleCnt="3">
        <dgm:presLayoutVars>
          <dgm:bulletEnabled val="1"/>
        </dgm:presLayoutVars>
      </dgm:prSet>
      <dgm:spPr/>
    </dgm:pt>
    <dgm:pt modelId="{DCA1D9DD-0261-4065-B263-41673EFE6C3B}" type="pres">
      <dgm:prSet presAssocID="{5686EE5C-BC7A-4807-92E0-47CFD1168EDC}" presName="hSp" presStyleCnt="0"/>
      <dgm:spPr/>
    </dgm:pt>
    <dgm:pt modelId="{D0A0C6A3-603F-40BB-B687-3801E8C86FEB}" type="pres">
      <dgm:prSet presAssocID="{5686EE5C-BC7A-4807-92E0-47CFD1168EDC}" presName="vProcSp" presStyleCnt="0"/>
      <dgm:spPr/>
    </dgm:pt>
    <dgm:pt modelId="{3DA66B3A-9755-417F-804F-1266C968FBB4}" type="pres">
      <dgm:prSet presAssocID="{5686EE5C-BC7A-4807-92E0-47CFD1168EDC}" presName="vSp1" presStyleCnt="0"/>
      <dgm:spPr/>
    </dgm:pt>
    <dgm:pt modelId="{B067F382-1685-4682-84DD-4B52A5495031}" type="pres">
      <dgm:prSet presAssocID="{5686EE5C-BC7A-4807-92E0-47CFD1168EDC}" presName="simulatedConn" presStyleLbl="solidFgAcc1" presStyleIdx="1" presStyleCnt="2"/>
      <dgm:spPr/>
    </dgm:pt>
    <dgm:pt modelId="{1DBC7F0D-B6E9-4685-96C5-7BDD886C244B}" type="pres">
      <dgm:prSet presAssocID="{5686EE5C-BC7A-4807-92E0-47CFD1168EDC}" presName="vSp2" presStyleCnt="0"/>
      <dgm:spPr/>
    </dgm:pt>
    <dgm:pt modelId="{C21AEBD1-EAE5-4747-A82E-F853EC653299}" type="pres">
      <dgm:prSet presAssocID="{5686EE5C-BC7A-4807-92E0-47CFD1168EDC}" presName="sibTrans" presStyleCnt="0"/>
      <dgm:spPr/>
    </dgm:pt>
    <dgm:pt modelId="{EB67A72C-2023-49C6-88CB-BDD0DB73D038}" type="pres">
      <dgm:prSet presAssocID="{E5F3CCD4-0D25-4F13-9FBB-7B6990715013}" presName="compositeNode" presStyleCnt="0">
        <dgm:presLayoutVars>
          <dgm:bulletEnabled val="1"/>
        </dgm:presLayoutVars>
      </dgm:prSet>
      <dgm:spPr/>
    </dgm:pt>
    <dgm:pt modelId="{03C2D32E-D9EB-4B0D-B86F-08A24C55FC31}" type="pres">
      <dgm:prSet presAssocID="{E5F3CCD4-0D25-4F13-9FBB-7B6990715013}" presName="bgRect" presStyleLbl="node1" presStyleIdx="2" presStyleCnt="3"/>
      <dgm:spPr/>
    </dgm:pt>
    <dgm:pt modelId="{740FAF56-87B6-4A2A-9D4B-33FBB304FCC7}" type="pres">
      <dgm:prSet presAssocID="{E5F3CCD4-0D25-4F13-9FBB-7B6990715013}" presName="parentNode" presStyleLbl="node1" presStyleIdx="2" presStyleCnt="3">
        <dgm:presLayoutVars>
          <dgm:chMax val="0"/>
          <dgm:bulletEnabled val="1"/>
        </dgm:presLayoutVars>
      </dgm:prSet>
      <dgm:spPr/>
    </dgm:pt>
    <dgm:pt modelId="{1043F717-59B7-48E8-BACB-A2C9A58C069A}" type="pres">
      <dgm:prSet presAssocID="{E5F3CCD4-0D25-4F13-9FBB-7B6990715013}" presName="childNode" presStyleLbl="node1" presStyleIdx="2" presStyleCnt="3">
        <dgm:presLayoutVars>
          <dgm:bulletEnabled val="1"/>
        </dgm:presLayoutVars>
      </dgm:prSet>
      <dgm:spPr/>
    </dgm:pt>
  </dgm:ptLst>
  <dgm:cxnLst>
    <dgm:cxn modelId="{E7F8F210-1083-4EFF-8DDE-BDC4B15A35DE}" type="presOf" srcId="{48D8D6F8-2E2E-4588-8415-55B55503A031}" destId="{72512AED-D84B-4A58-8635-5911552399BE}" srcOrd="1" destOrd="0" presId="urn:microsoft.com/office/officeart/2005/8/layout/hProcess7"/>
    <dgm:cxn modelId="{64A26413-8FA6-4EF9-9DB0-D9A533A19B86}" type="presOf" srcId="{8E2EA73C-86F4-4258-BC66-9EC568228826}" destId="{1043F717-59B7-48E8-BACB-A2C9A58C069A}" srcOrd="0" destOrd="0" presId="urn:microsoft.com/office/officeart/2005/8/layout/hProcess7"/>
    <dgm:cxn modelId="{F1F1F017-155F-417E-934F-922BFB880557}" type="presOf" srcId="{F869B929-A062-470C-846D-B0498A26B422}" destId="{A7CB3AA1-833F-4F0F-9599-C6C15C5F2B73}" srcOrd="0" destOrd="4" presId="urn:microsoft.com/office/officeart/2005/8/layout/hProcess7"/>
    <dgm:cxn modelId="{A497701A-0A17-4042-BBE4-D2F201DE4513}" type="presOf" srcId="{C9588AD9-FD9A-4523-AC15-9E19F310235C}" destId="{0D3415D3-2C6E-4E5E-BFEE-8BCDFF7188BD}" srcOrd="1" destOrd="0" presId="urn:microsoft.com/office/officeart/2005/8/layout/hProcess7"/>
    <dgm:cxn modelId="{A946852C-207E-4503-B2F9-3B771A4B35A5}" srcId="{3428D9E4-7EA0-43AF-B7ED-5092F9652DCC}" destId="{48D8D6F8-2E2E-4588-8415-55B55503A031}" srcOrd="1" destOrd="0" parTransId="{7C453ACF-D3F9-4603-91D8-D75688CEE222}" sibTransId="{5686EE5C-BC7A-4807-92E0-47CFD1168EDC}"/>
    <dgm:cxn modelId="{2759F92F-D65A-4097-A1C2-B929C4C41051}" type="presOf" srcId="{AEE10E75-C441-4E56-9D92-C11EF796F413}" destId="{A7CB3AA1-833F-4F0F-9599-C6C15C5F2B73}" srcOrd="0" destOrd="3" presId="urn:microsoft.com/office/officeart/2005/8/layout/hProcess7"/>
    <dgm:cxn modelId="{5B86C234-2632-4335-A83C-F8007FCDD13F}" srcId="{48D8D6F8-2E2E-4588-8415-55B55503A031}" destId="{F869B929-A062-470C-846D-B0498A26B422}" srcOrd="4" destOrd="0" parTransId="{C0FCEF8B-2BD0-458E-84A5-8371F9F11CB4}" sibTransId="{526420F0-4BCF-484E-9910-5D26166C08C9}"/>
    <dgm:cxn modelId="{C27B3A3E-CE04-4EBC-B36B-6A01FC707B74}" srcId="{C9588AD9-FD9A-4523-AC15-9E19F310235C}" destId="{8B9749E2-44DD-4A95-A35A-A6FFC7B60C1E}" srcOrd="0" destOrd="0" parTransId="{4F4E435A-DF3E-473C-90D5-A4BF51C28E4C}" sibTransId="{AB5358F2-C5F6-452C-8BA4-83F41ED1BA62}"/>
    <dgm:cxn modelId="{FF09C83F-5C18-4C8D-A529-75594403B1A3}" srcId="{3428D9E4-7EA0-43AF-B7ED-5092F9652DCC}" destId="{E5F3CCD4-0D25-4F13-9FBB-7B6990715013}" srcOrd="2" destOrd="0" parTransId="{0D6E9902-965B-4754-8E06-ED566E8F7A26}" sibTransId="{54FDEFEE-A248-44CC-8274-803E87C9EB5A}"/>
    <dgm:cxn modelId="{09F23B61-F3FA-4BB3-9FEE-CD40F1A8DADD}" srcId="{48D8D6F8-2E2E-4588-8415-55B55503A031}" destId="{AEE10E75-C441-4E56-9D92-C11EF796F413}" srcOrd="3" destOrd="0" parTransId="{FC5256EC-85BB-4DCB-B331-334063CCD5B3}" sibTransId="{D65B9088-DC7B-4877-9D1C-F6B682F57A59}"/>
    <dgm:cxn modelId="{E1306443-52A9-47ED-BE06-896C9DEA8140}" srcId="{E5F3CCD4-0D25-4F13-9FBB-7B6990715013}" destId="{8E2EA73C-86F4-4258-BC66-9EC568228826}" srcOrd="0" destOrd="0" parTransId="{14B1D806-D927-4EE8-9408-E2FAB00628DA}" sibTransId="{D0910F40-90D3-4299-A3FF-4942B39A4662}"/>
    <dgm:cxn modelId="{77B1D565-F8EA-49D2-A8AB-6D770B68D36B}" type="presOf" srcId="{3428D9E4-7EA0-43AF-B7ED-5092F9652DCC}" destId="{449593BF-9F58-469F-906B-5193B200868B}" srcOrd="0" destOrd="0" presId="urn:microsoft.com/office/officeart/2005/8/layout/hProcess7"/>
    <dgm:cxn modelId="{F3CFEA66-3621-4BBF-ADC5-287ED17C9E97}" type="presOf" srcId="{E0BBF8A4-90FA-426A-BAB4-928F3BC7FD61}" destId="{A7CB3AA1-833F-4F0F-9599-C6C15C5F2B73}" srcOrd="0" destOrd="0" presId="urn:microsoft.com/office/officeart/2005/8/layout/hProcess7"/>
    <dgm:cxn modelId="{2A91CB6E-531D-4424-BD3F-2D20FBE0A1A0}" type="presOf" srcId="{48D8D6F8-2E2E-4588-8415-55B55503A031}" destId="{7F821189-93E1-4D5D-933E-DE4FD874E7B4}" srcOrd="0" destOrd="0" presId="urn:microsoft.com/office/officeart/2005/8/layout/hProcess7"/>
    <dgm:cxn modelId="{D8E5346F-70E8-4992-8EA9-F72C17C882E0}" type="presOf" srcId="{68B00883-533A-4D9A-9FCD-8F00D9430670}" destId="{A7CB3AA1-833F-4F0F-9599-C6C15C5F2B73}" srcOrd="0" destOrd="2" presId="urn:microsoft.com/office/officeart/2005/8/layout/hProcess7"/>
    <dgm:cxn modelId="{66654453-A6DE-4CBF-8D39-0B540C5049DB}" type="presOf" srcId="{E5F3CCD4-0D25-4F13-9FBB-7B6990715013}" destId="{740FAF56-87B6-4A2A-9D4B-33FBB304FCC7}" srcOrd="1" destOrd="0" presId="urn:microsoft.com/office/officeart/2005/8/layout/hProcess7"/>
    <dgm:cxn modelId="{0E6BCA59-9C29-4862-9986-53DBB0496396}" srcId="{48D8D6F8-2E2E-4588-8415-55B55503A031}" destId="{4FDAD0A7-BA57-4DAF-AD5C-73C6D5BEC79D}" srcOrd="1" destOrd="0" parTransId="{72F567BE-30B6-4C4E-AE2B-0FE0D2C1C699}" sibTransId="{CFE21D38-495E-4F0F-B310-071C0D1A3E4A}"/>
    <dgm:cxn modelId="{49A0045A-10BB-4418-951F-9639ACF92AB3}" type="presOf" srcId="{C9588AD9-FD9A-4523-AC15-9E19F310235C}" destId="{0F7C4A99-B2B9-4DD0-8CB0-B7AF05DE8224}" srcOrd="0" destOrd="0" presId="urn:microsoft.com/office/officeart/2005/8/layout/hProcess7"/>
    <dgm:cxn modelId="{8EE00091-6381-423E-AA7C-F7D03DBBAD26}" type="presOf" srcId="{4FDAD0A7-BA57-4DAF-AD5C-73C6D5BEC79D}" destId="{A7CB3AA1-833F-4F0F-9599-C6C15C5F2B73}" srcOrd="0" destOrd="1" presId="urn:microsoft.com/office/officeart/2005/8/layout/hProcess7"/>
    <dgm:cxn modelId="{97E983B7-588E-4F43-A741-2D97E339CDEE}" srcId="{48D8D6F8-2E2E-4588-8415-55B55503A031}" destId="{68B00883-533A-4D9A-9FCD-8F00D9430670}" srcOrd="2" destOrd="0" parTransId="{01DBB8A6-1E47-43A6-A660-224AF6CBCDB4}" sibTransId="{2C1F7E18-EE6C-4D95-B29C-D6BC80209B1B}"/>
    <dgm:cxn modelId="{FB96D0E4-BF2B-4C38-AA5C-E060CF94D3EC}" type="presOf" srcId="{E5F3CCD4-0D25-4F13-9FBB-7B6990715013}" destId="{03C2D32E-D9EB-4B0D-B86F-08A24C55FC31}" srcOrd="0" destOrd="0" presId="urn:microsoft.com/office/officeart/2005/8/layout/hProcess7"/>
    <dgm:cxn modelId="{5A98AAEA-AAC1-4E3E-9982-C86E4D5E7A4E}" srcId="{48D8D6F8-2E2E-4588-8415-55B55503A031}" destId="{E0BBF8A4-90FA-426A-BAB4-928F3BC7FD61}" srcOrd="0" destOrd="0" parTransId="{EE3961C4-1DC2-4304-8C62-7098703AE8EE}" sibTransId="{48301D8C-63C1-40D3-8465-284B8024AD27}"/>
    <dgm:cxn modelId="{1E44BCEE-5A58-40FB-823A-9E7C3E49483E}" type="presOf" srcId="{8B9749E2-44DD-4A95-A35A-A6FFC7B60C1E}" destId="{47B89654-A2A9-48C2-B5B1-C0CADF35C5E0}" srcOrd="0" destOrd="0" presId="urn:microsoft.com/office/officeart/2005/8/layout/hProcess7"/>
    <dgm:cxn modelId="{523924F2-9ED9-4049-A8BA-6FDA0B8980F5}" srcId="{3428D9E4-7EA0-43AF-B7ED-5092F9652DCC}" destId="{C9588AD9-FD9A-4523-AC15-9E19F310235C}" srcOrd="0" destOrd="0" parTransId="{C27A9CC4-E1E4-468D-B415-5B4B1B798606}" sibTransId="{B40770B3-971E-4625-A2A8-534EB8BCA11D}"/>
    <dgm:cxn modelId="{0601558F-A789-4A75-9560-A9FB35A07B5C}" type="presParOf" srcId="{449593BF-9F58-469F-906B-5193B200868B}" destId="{79AE4931-824B-4830-8562-987103374563}" srcOrd="0" destOrd="0" presId="urn:microsoft.com/office/officeart/2005/8/layout/hProcess7"/>
    <dgm:cxn modelId="{D2AD8941-DEC4-4B0F-984F-0C62FAD73705}" type="presParOf" srcId="{79AE4931-824B-4830-8562-987103374563}" destId="{0F7C4A99-B2B9-4DD0-8CB0-B7AF05DE8224}" srcOrd="0" destOrd="0" presId="urn:microsoft.com/office/officeart/2005/8/layout/hProcess7"/>
    <dgm:cxn modelId="{ED2FFCB2-4710-44DF-9C58-807A567A1472}" type="presParOf" srcId="{79AE4931-824B-4830-8562-987103374563}" destId="{0D3415D3-2C6E-4E5E-BFEE-8BCDFF7188BD}" srcOrd="1" destOrd="0" presId="urn:microsoft.com/office/officeart/2005/8/layout/hProcess7"/>
    <dgm:cxn modelId="{A1773283-AB5D-422A-AEFA-482D969CFE0A}" type="presParOf" srcId="{79AE4931-824B-4830-8562-987103374563}" destId="{47B89654-A2A9-48C2-B5B1-C0CADF35C5E0}" srcOrd="2" destOrd="0" presId="urn:microsoft.com/office/officeart/2005/8/layout/hProcess7"/>
    <dgm:cxn modelId="{A4CC666A-146D-45A1-9214-53C09E64C9C6}" type="presParOf" srcId="{449593BF-9F58-469F-906B-5193B200868B}" destId="{EB2C6362-975C-4E37-8285-2549EC4E309B}" srcOrd="1" destOrd="0" presId="urn:microsoft.com/office/officeart/2005/8/layout/hProcess7"/>
    <dgm:cxn modelId="{4D99E044-2D9B-4973-9DD7-3AF8BDA69A6C}" type="presParOf" srcId="{449593BF-9F58-469F-906B-5193B200868B}" destId="{152524BC-CAFF-4D5A-9FB4-313C7B03B055}" srcOrd="2" destOrd="0" presId="urn:microsoft.com/office/officeart/2005/8/layout/hProcess7"/>
    <dgm:cxn modelId="{01B3C36C-CFA0-4CCC-869C-0DAD9E4C04BA}" type="presParOf" srcId="{152524BC-CAFF-4D5A-9FB4-313C7B03B055}" destId="{23518D82-E5AA-498E-BFD4-3474EF6E0018}" srcOrd="0" destOrd="0" presId="urn:microsoft.com/office/officeart/2005/8/layout/hProcess7"/>
    <dgm:cxn modelId="{32E2D0A8-B851-4789-A5BE-98ADAF55B9C5}" type="presParOf" srcId="{152524BC-CAFF-4D5A-9FB4-313C7B03B055}" destId="{C3B0F839-C0B7-40D3-8EC4-84635B8A4B86}" srcOrd="1" destOrd="0" presId="urn:microsoft.com/office/officeart/2005/8/layout/hProcess7"/>
    <dgm:cxn modelId="{57E4ADA3-9FC4-41CB-902A-3784038D29D6}" type="presParOf" srcId="{152524BC-CAFF-4D5A-9FB4-313C7B03B055}" destId="{4F523025-0BFB-4B9B-A663-7CE5C6F0448C}" srcOrd="2" destOrd="0" presId="urn:microsoft.com/office/officeart/2005/8/layout/hProcess7"/>
    <dgm:cxn modelId="{8AA129EB-28CC-4D0E-9CC1-2BA3D6B63B9A}" type="presParOf" srcId="{449593BF-9F58-469F-906B-5193B200868B}" destId="{77738231-5D9F-45F2-875A-371165092F5F}" srcOrd="3" destOrd="0" presId="urn:microsoft.com/office/officeart/2005/8/layout/hProcess7"/>
    <dgm:cxn modelId="{5C74DB0F-5DCE-4AB0-AC0C-28B51268EB55}" type="presParOf" srcId="{449593BF-9F58-469F-906B-5193B200868B}" destId="{E6C2E4D7-4435-46D4-B1BD-31F4837929CF}" srcOrd="4" destOrd="0" presId="urn:microsoft.com/office/officeart/2005/8/layout/hProcess7"/>
    <dgm:cxn modelId="{707A1178-993A-41D1-8C2D-F95F6F321FCF}" type="presParOf" srcId="{E6C2E4D7-4435-46D4-B1BD-31F4837929CF}" destId="{7F821189-93E1-4D5D-933E-DE4FD874E7B4}" srcOrd="0" destOrd="0" presId="urn:microsoft.com/office/officeart/2005/8/layout/hProcess7"/>
    <dgm:cxn modelId="{D8C48316-B43F-454D-A9D9-3AE556B59038}" type="presParOf" srcId="{E6C2E4D7-4435-46D4-B1BD-31F4837929CF}" destId="{72512AED-D84B-4A58-8635-5911552399BE}" srcOrd="1" destOrd="0" presId="urn:microsoft.com/office/officeart/2005/8/layout/hProcess7"/>
    <dgm:cxn modelId="{B83B24BC-1F64-4D05-91BF-6DB63C637952}" type="presParOf" srcId="{E6C2E4D7-4435-46D4-B1BD-31F4837929CF}" destId="{A7CB3AA1-833F-4F0F-9599-C6C15C5F2B73}" srcOrd="2" destOrd="0" presId="urn:microsoft.com/office/officeart/2005/8/layout/hProcess7"/>
    <dgm:cxn modelId="{262691C1-C63C-4A48-9D36-7455299D3AA8}" type="presParOf" srcId="{449593BF-9F58-469F-906B-5193B200868B}" destId="{DCA1D9DD-0261-4065-B263-41673EFE6C3B}" srcOrd="5" destOrd="0" presId="urn:microsoft.com/office/officeart/2005/8/layout/hProcess7"/>
    <dgm:cxn modelId="{4210E140-B34A-4F7B-AD6E-3A749E894892}" type="presParOf" srcId="{449593BF-9F58-469F-906B-5193B200868B}" destId="{D0A0C6A3-603F-40BB-B687-3801E8C86FEB}" srcOrd="6" destOrd="0" presId="urn:microsoft.com/office/officeart/2005/8/layout/hProcess7"/>
    <dgm:cxn modelId="{8DA509B8-68F6-4489-8782-E081E7B6B291}" type="presParOf" srcId="{D0A0C6A3-603F-40BB-B687-3801E8C86FEB}" destId="{3DA66B3A-9755-417F-804F-1266C968FBB4}" srcOrd="0" destOrd="0" presId="urn:microsoft.com/office/officeart/2005/8/layout/hProcess7"/>
    <dgm:cxn modelId="{E7363768-8D36-4D49-BDCF-876C915E6BA2}" type="presParOf" srcId="{D0A0C6A3-603F-40BB-B687-3801E8C86FEB}" destId="{B067F382-1685-4682-84DD-4B52A5495031}" srcOrd="1" destOrd="0" presId="urn:microsoft.com/office/officeart/2005/8/layout/hProcess7"/>
    <dgm:cxn modelId="{51D4871B-2015-434C-A9B9-5F6E9D83ACAA}" type="presParOf" srcId="{D0A0C6A3-603F-40BB-B687-3801E8C86FEB}" destId="{1DBC7F0D-B6E9-4685-96C5-7BDD886C244B}" srcOrd="2" destOrd="0" presId="urn:microsoft.com/office/officeart/2005/8/layout/hProcess7"/>
    <dgm:cxn modelId="{CCB08592-6FC2-42F7-A035-4FA246217724}" type="presParOf" srcId="{449593BF-9F58-469F-906B-5193B200868B}" destId="{C21AEBD1-EAE5-4747-A82E-F853EC653299}" srcOrd="7" destOrd="0" presId="urn:microsoft.com/office/officeart/2005/8/layout/hProcess7"/>
    <dgm:cxn modelId="{2276B835-3210-4F6E-B0DD-922D70657760}" type="presParOf" srcId="{449593BF-9F58-469F-906B-5193B200868B}" destId="{EB67A72C-2023-49C6-88CB-BDD0DB73D038}" srcOrd="8" destOrd="0" presId="urn:microsoft.com/office/officeart/2005/8/layout/hProcess7"/>
    <dgm:cxn modelId="{1AE4AD6D-0B90-484D-9010-04CA8E2BECB9}" type="presParOf" srcId="{EB67A72C-2023-49C6-88CB-BDD0DB73D038}" destId="{03C2D32E-D9EB-4B0D-B86F-08A24C55FC31}" srcOrd="0" destOrd="0" presId="urn:microsoft.com/office/officeart/2005/8/layout/hProcess7"/>
    <dgm:cxn modelId="{04BB149E-A5BB-4A5E-9158-AA8176F6EE9A}" type="presParOf" srcId="{EB67A72C-2023-49C6-88CB-BDD0DB73D038}" destId="{740FAF56-87B6-4A2A-9D4B-33FBB304FCC7}" srcOrd="1" destOrd="0" presId="urn:microsoft.com/office/officeart/2005/8/layout/hProcess7"/>
    <dgm:cxn modelId="{04314C39-59D1-4E15-AA74-EF2416EDF915}" type="presParOf" srcId="{EB67A72C-2023-49C6-88CB-BDD0DB73D038}" destId="{1043F717-59B7-48E8-BACB-A2C9A58C069A}" srcOrd="2" destOrd="0" presId="urn:microsoft.com/office/officeart/2005/8/layout/hProcess7"/>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1A825-B159-4C34-89E0-F529F7E3B2A5}">
      <dsp:nvSpPr>
        <dsp:cNvPr id="0" name=""/>
        <dsp:cNvSpPr/>
      </dsp:nvSpPr>
      <dsp:spPr>
        <a:xfrm>
          <a:off x="0" y="220676"/>
          <a:ext cx="931793" cy="37271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in general</a:t>
          </a:r>
        </a:p>
      </dsp:txBody>
      <dsp:txXfrm>
        <a:off x="186359" y="220676"/>
        <a:ext cx="559076" cy="372717"/>
      </dsp:txXfrm>
    </dsp:sp>
    <dsp:sp modelId="{9661ACF9-6E2F-4AA1-B632-865A87605FBF}">
      <dsp:nvSpPr>
        <dsp:cNvPr id="0" name=""/>
        <dsp:cNvSpPr/>
      </dsp:nvSpPr>
      <dsp:spPr>
        <a:xfrm>
          <a:off x="838614" y="220676"/>
          <a:ext cx="931793" cy="372717"/>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arrangements and models</a:t>
          </a:r>
        </a:p>
      </dsp:txBody>
      <dsp:txXfrm>
        <a:off x="1024973" y="220676"/>
        <a:ext cx="559076" cy="372717"/>
      </dsp:txXfrm>
    </dsp:sp>
    <dsp:sp modelId="{C30DE2D3-3607-4DA2-882B-05D80B0B4BC3}">
      <dsp:nvSpPr>
        <dsp:cNvPr id="0" name=""/>
        <dsp:cNvSpPr/>
      </dsp:nvSpPr>
      <dsp:spPr>
        <a:xfrm>
          <a:off x="1677228" y="220676"/>
          <a:ext cx="931793" cy="372717"/>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project step by step</a:t>
          </a:r>
        </a:p>
      </dsp:txBody>
      <dsp:txXfrm>
        <a:off x="1863587" y="220676"/>
        <a:ext cx="559076" cy="372717"/>
      </dsp:txXfrm>
    </dsp:sp>
    <dsp:sp modelId="{2DC4F51C-7158-4316-8A9B-C866CC41E42A}">
      <dsp:nvSpPr>
        <dsp:cNvPr id="0" name=""/>
        <dsp:cNvSpPr/>
      </dsp:nvSpPr>
      <dsp:spPr>
        <a:xfrm>
          <a:off x="2515842" y="220676"/>
          <a:ext cx="931793" cy="372717"/>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FEC and</a:t>
          </a:r>
          <a:r>
            <a:rPr lang="lv-LV" sz="500" b="1" kern="1200"/>
            <a:t> the</a:t>
          </a:r>
          <a:r>
            <a:rPr lang="en-US" sz="500" b="1" kern="1200"/>
            <a:t> contract price</a:t>
          </a:r>
        </a:p>
      </dsp:txBody>
      <dsp:txXfrm>
        <a:off x="2702201" y="220676"/>
        <a:ext cx="559076" cy="372717"/>
      </dsp:txXfrm>
    </dsp:sp>
    <dsp:sp modelId="{733A4756-8C5C-4214-832B-90402EA063F4}">
      <dsp:nvSpPr>
        <dsp:cNvPr id="0" name=""/>
        <dsp:cNvSpPr/>
      </dsp:nvSpPr>
      <dsp:spPr>
        <a:xfrm>
          <a:off x="3354456" y="220676"/>
          <a:ext cx="931793" cy="372717"/>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Statistical treatment</a:t>
          </a:r>
        </a:p>
      </dsp:txBody>
      <dsp:txXfrm>
        <a:off x="3540815" y="220676"/>
        <a:ext cx="559076" cy="372717"/>
      </dsp:txXfrm>
    </dsp:sp>
    <dsp:sp modelId="{7FA1EC39-CCC5-496F-8476-ED4A88B8D2DF}">
      <dsp:nvSpPr>
        <dsp:cNvPr id="0" name=""/>
        <dsp:cNvSpPr/>
      </dsp:nvSpPr>
      <dsp:spPr>
        <a:xfrm>
          <a:off x="4193070" y="220676"/>
          <a:ext cx="931793" cy="372717"/>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Selecting a private partner</a:t>
          </a:r>
        </a:p>
      </dsp:txBody>
      <dsp:txXfrm>
        <a:off x="4379429" y="220676"/>
        <a:ext cx="559076" cy="372717"/>
      </dsp:txXfrm>
    </dsp:sp>
    <dsp:sp modelId="{F0EF1AF7-9E50-4C53-86EF-D863DF7A9230}">
      <dsp:nvSpPr>
        <dsp:cNvPr id="0" name=""/>
        <dsp:cNvSpPr/>
      </dsp:nvSpPr>
      <dsp:spPr>
        <a:xfrm>
          <a:off x="5031684" y="220676"/>
          <a:ext cx="931793" cy="372717"/>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Competition and state aid</a:t>
          </a:r>
        </a:p>
      </dsp:txBody>
      <dsp:txXfrm>
        <a:off x="5218043" y="220676"/>
        <a:ext cx="559076" cy="3727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1A825-B159-4C34-89E0-F529F7E3B2A5}">
      <dsp:nvSpPr>
        <dsp:cNvPr id="0" name=""/>
        <dsp:cNvSpPr/>
      </dsp:nvSpPr>
      <dsp:spPr>
        <a:xfrm>
          <a:off x="0" y="218936"/>
          <a:ext cx="940490" cy="376196"/>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in general</a:t>
          </a:r>
        </a:p>
      </dsp:txBody>
      <dsp:txXfrm>
        <a:off x="188098" y="218936"/>
        <a:ext cx="564294" cy="376196"/>
      </dsp:txXfrm>
    </dsp:sp>
    <dsp:sp modelId="{9661ACF9-6E2F-4AA1-B632-865A87605FBF}">
      <dsp:nvSpPr>
        <dsp:cNvPr id="0" name=""/>
        <dsp:cNvSpPr/>
      </dsp:nvSpPr>
      <dsp:spPr>
        <a:xfrm>
          <a:off x="846441" y="218936"/>
          <a:ext cx="940490" cy="376196"/>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arrangements and models</a:t>
          </a:r>
        </a:p>
      </dsp:txBody>
      <dsp:txXfrm>
        <a:off x="1034539" y="218936"/>
        <a:ext cx="564294" cy="376196"/>
      </dsp:txXfrm>
    </dsp:sp>
    <dsp:sp modelId="{C30DE2D3-3607-4DA2-882B-05D80B0B4BC3}">
      <dsp:nvSpPr>
        <dsp:cNvPr id="0" name=""/>
        <dsp:cNvSpPr/>
      </dsp:nvSpPr>
      <dsp:spPr>
        <a:xfrm>
          <a:off x="1692882" y="218936"/>
          <a:ext cx="940490" cy="376196"/>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project step by step</a:t>
          </a:r>
        </a:p>
      </dsp:txBody>
      <dsp:txXfrm>
        <a:off x="1880980" y="218936"/>
        <a:ext cx="564294" cy="376196"/>
      </dsp:txXfrm>
    </dsp:sp>
    <dsp:sp modelId="{2DC4F51C-7158-4316-8A9B-C866CC41E42A}">
      <dsp:nvSpPr>
        <dsp:cNvPr id="0" name=""/>
        <dsp:cNvSpPr/>
      </dsp:nvSpPr>
      <dsp:spPr>
        <a:xfrm>
          <a:off x="2539323" y="218936"/>
          <a:ext cx="940490" cy="376196"/>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FEC and</a:t>
          </a:r>
          <a:r>
            <a:rPr lang="lv-LV" sz="500" b="1" kern="1200"/>
            <a:t> the</a:t>
          </a:r>
          <a:r>
            <a:rPr lang="en-US" sz="500" b="1" kern="1200"/>
            <a:t> contract price</a:t>
          </a:r>
        </a:p>
      </dsp:txBody>
      <dsp:txXfrm>
        <a:off x="2727421" y="218936"/>
        <a:ext cx="564294" cy="376196"/>
      </dsp:txXfrm>
    </dsp:sp>
    <dsp:sp modelId="{733A4756-8C5C-4214-832B-90402EA063F4}">
      <dsp:nvSpPr>
        <dsp:cNvPr id="0" name=""/>
        <dsp:cNvSpPr/>
      </dsp:nvSpPr>
      <dsp:spPr>
        <a:xfrm>
          <a:off x="3385764" y="218936"/>
          <a:ext cx="940490" cy="376196"/>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Statistical treatment</a:t>
          </a:r>
        </a:p>
      </dsp:txBody>
      <dsp:txXfrm>
        <a:off x="3573862" y="218936"/>
        <a:ext cx="564294" cy="376196"/>
      </dsp:txXfrm>
    </dsp:sp>
    <dsp:sp modelId="{7FA1EC39-CCC5-496F-8476-ED4A88B8D2DF}">
      <dsp:nvSpPr>
        <dsp:cNvPr id="0" name=""/>
        <dsp:cNvSpPr/>
      </dsp:nvSpPr>
      <dsp:spPr>
        <a:xfrm>
          <a:off x="4232205" y="218936"/>
          <a:ext cx="940490" cy="376196"/>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Selecting a private partner</a:t>
          </a:r>
        </a:p>
      </dsp:txBody>
      <dsp:txXfrm>
        <a:off x="4420303" y="218936"/>
        <a:ext cx="564294" cy="376196"/>
      </dsp:txXfrm>
    </dsp:sp>
    <dsp:sp modelId="{F0EF1AF7-9E50-4C53-86EF-D863DF7A9230}">
      <dsp:nvSpPr>
        <dsp:cNvPr id="0" name=""/>
        <dsp:cNvSpPr/>
      </dsp:nvSpPr>
      <dsp:spPr>
        <a:xfrm>
          <a:off x="5078646" y="218936"/>
          <a:ext cx="940490" cy="376196"/>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Competition and state aid</a:t>
          </a:r>
        </a:p>
      </dsp:txBody>
      <dsp:txXfrm>
        <a:off x="5266744" y="218936"/>
        <a:ext cx="564294" cy="3761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1A825-B159-4C34-89E0-F529F7E3B2A5}">
      <dsp:nvSpPr>
        <dsp:cNvPr id="0" name=""/>
        <dsp:cNvSpPr/>
      </dsp:nvSpPr>
      <dsp:spPr>
        <a:xfrm>
          <a:off x="0" y="218688"/>
          <a:ext cx="941732" cy="376692"/>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in general</a:t>
          </a:r>
        </a:p>
      </dsp:txBody>
      <dsp:txXfrm>
        <a:off x="188346" y="218688"/>
        <a:ext cx="565040" cy="376692"/>
      </dsp:txXfrm>
    </dsp:sp>
    <dsp:sp modelId="{9661ACF9-6E2F-4AA1-B632-865A87605FBF}">
      <dsp:nvSpPr>
        <dsp:cNvPr id="0" name=""/>
        <dsp:cNvSpPr/>
      </dsp:nvSpPr>
      <dsp:spPr>
        <a:xfrm>
          <a:off x="847559" y="218688"/>
          <a:ext cx="941732" cy="376692"/>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arrangements and models</a:t>
          </a:r>
        </a:p>
      </dsp:txBody>
      <dsp:txXfrm>
        <a:off x="1035905" y="218688"/>
        <a:ext cx="565040" cy="376692"/>
      </dsp:txXfrm>
    </dsp:sp>
    <dsp:sp modelId="{C30DE2D3-3607-4DA2-882B-05D80B0B4BC3}">
      <dsp:nvSpPr>
        <dsp:cNvPr id="0" name=""/>
        <dsp:cNvSpPr/>
      </dsp:nvSpPr>
      <dsp:spPr>
        <a:xfrm>
          <a:off x="1695118" y="218688"/>
          <a:ext cx="941732" cy="376692"/>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project step by step</a:t>
          </a:r>
        </a:p>
      </dsp:txBody>
      <dsp:txXfrm>
        <a:off x="1883464" y="218688"/>
        <a:ext cx="565040" cy="376692"/>
      </dsp:txXfrm>
    </dsp:sp>
    <dsp:sp modelId="{2DC4F51C-7158-4316-8A9B-C866CC41E42A}">
      <dsp:nvSpPr>
        <dsp:cNvPr id="0" name=""/>
        <dsp:cNvSpPr/>
      </dsp:nvSpPr>
      <dsp:spPr>
        <a:xfrm>
          <a:off x="2542677" y="218688"/>
          <a:ext cx="941732" cy="376692"/>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FEC and</a:t>
          </a:r>
          <a:r>
            <a:rPr lang="lv-LV" sz="500" b="1" kern="1200"/>
            <a:t> the</a:t>
          </a:r>
          <a:r>
            <a:rPr lang="en-US" sz="500" b="1" kern="1200"/>
            <a:t> contract price</a:t>
          </a:r>
        </a:p>
      </dsp:txBody>
      <dsp:txXfrm>
        <a:off x="2731023" y="218688"/>
        <a:ext cx="565040" cy="376692"/>
      </dsp:txXfrm>
    </dsp:sp>
    <dsp:sp modelId="{733A4756-8C5C-4214-832B-90402EA063F4}">
      <dsp:nvSpPr>
        <dsp:cNvPr id="0" name=""/>
        <dsp:cNvSpPr/>
      </dsp:nvSpPr>
      <dsp:spPr>
        <a:xfrm>
          <a:off x="3390236" y="218688"/>
          <a:ext cx="941732" cy="376692"/>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Statistical treatment</a:t>
          </a:r>
        </a:p>
      </dsp:txBody>
      <dsp:txXfrm>
        <a:off x="3578582" y="218688"/>
        <a:ext cx="565040" cy="376692"/>
      </dsp:txXfrm>
    </dsp:sp>
    <dsp:sp modelId="{7FA1EC39-CCC5-496F-8476-ED4A88B8D2DF}">
      <dsp:nvSpPr>
        <dsp:cNvPr id="0" name=""/>
        <dsp:cNvSpPr/>
      </dsp:nvSpPr>
      <dsp:spPr>
        <a:xfrm>
          <a:off x="4237796" y="218688"/>
          <a:ext cx="941732" cy="376692"/>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Selecting a private partner</a:t>
          </a:r>
        </a:p>
      </dsp:txBody>
      <dsp:txXfrm>
        <a:off x="4426142" y="218688"/>
        <a:ext cx="565040" cy="376692"/>
      </dsp:txXfrm>
    </dsp:sp>
    <dsp:sp modelId="{F0EF1AF7-9E50-4C53-86EF-D863DF7A9230}">
      <dsp:nvSpPr>
        <dsp:cNvPr id="0" name=""/>
        <dsp:cNvSpPr/>
      </dsp:nvSpPr>
      <dsp:spPr>
        <a:xfrm>
          <a:off x="5085355" y="218688"/>
          <a:ext cx="941732" cy="376692"/>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Competition and state aid</a:t>
          </a:r>
        </a:p>
      </dsp:txBody>
      <dsp:txXfrm>
        <a:off x="5273701" y="218688"/>
        <a:ext cx="565040" cy="3766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1A825-B159-4C34-89E0-F529F7E3B2A5}">
      <dsp:nvSpPr>
        <dsp:cNvPr id="0" name=""/>
        <dsp:cNvSpPr/>
      </dsp:nvSpPr>
      <dsp:spPr>
        <a:xfrm>
          <a:off x="0" y="217705"/>
          <a:ext cx="946646" cy="378658"/>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in general</a:t>
          </a:r>
        </a:p>
      </dsp:txBody>
      <dsp:txXfrm>
        <a:off x="189329" y="217705"/>
        <a:ext cx="567988" cy="378658"/>
      </dsp:txXfrm>
    </dsp:sp>
    <dsp:sp modelId="{9661ACF9-6E2F-4AA1-B632-865A87605FBF}">
      <dsp:nvSpPr>
        <dsp:cNvPr id="0" name=""/>
        <dsp:cNvSpPr/>
      </dsp:nvSpPr>
      <dsp:spPr>
        <a:xfrm>
          <a:off x="851981" y="217705"/>
          <a:ext cx="946646" cy="378658"/>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arrangements and models</a:t>
          </a:r>
        </a:p>
      </dsp:txBody>
      <dsp:txXfrm>
        <a:off x="1041310" y="217705"/>
        <a:ext cx="567988" cy="378658"/>
      </dsp:txXfrm>
    </dsp:sp>
    <dsp:sp modelId="{C30DE2D3-3607-4DA2-882B-05D80B0B4BC3}">
      <dsp:nvSpPr>
        <dsp:cNvPr id="0" name=""/>
        <dsp:cNvSpPr/>
      </dsp:nvSpPr>
      <dsp:spPr>
        <a:xfrm>
          <a:off x="1703962" y="217705"/>
          <a:ext cx="946646" cy="378658"/>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project step by step</a:t>
          </a:r>
        </a:p>
      </dsp:txBody>
      <dsp:txXfrm>
        <a:off x="1893291" y="217705"/>
        <a:ext cx="567988" cy="378658"/>
      </dsp:txXfrm>
    </dsp:sp>
    <dsp:sp modelId="{2DC4F51C-7158-4316-8A9B-C866CC41E42A}">
      <dsp:nvSpPr>
        <dsp:cNvPr id="0" name=""/>
        <dsp:cNvSpPr/>
      </dsp:nvSpPr>
      <dsp:spPr>
        <a:xfrm>
          <a:off x="2555944" y="217705"/>
          <a:ext cx="946646" cy="378658"/>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FEC and</a:t>
          </a:r>
          <a:r>
            <a:rPr lang="lv-LV" sz="500" b="1" kern="1200"/>
            <a:t> the</a:t>
          </a:r>
          <a:r>
            <a:rPr lang="en-US" sz="500" b="1" kern="1200"/>
            <a:t> contract price</a:t>
          </a:r>
        </a:p>
      </dsp:txBody>
      <dsp:txXfrm>
        <a:off x="2745273" y="217705"/>
        <a:ext cx="567988" cy="378658"/>
      </dsp:txXfrm>
    </dsp:sp>
    <dsp:sp modelId="{733A4756-8C5C-4214-832B-90402EA063F4}">
      <dsp:nvSpPr>
        <dsp:cNvPr id="0" name=""/>
        <dsp:cNvSpPr/>
      </dsp:nvSpPr>
      <dsp:spPr>
        <a:xfrm>
          <a:off x="3407925" y="217705"/>
          <a:ext cx="946646" cy="378658"/>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Statistical treatment</a:t>
          </a:r>
        </a:p>
      </dsp:txBody>
      <dsp:txXfrm>
        <a:off x="3597254" y="217705"/>
        <a:ext cx="567988" cy="378658"/>
      </dsp:txXfrm>
    </dsp:sp>
    <dsp:sp modelId="{7FA1EC39-CCC5-496F-8476-ED4A88B8D2DF}">
      <dsp:nvSpPr>
        <dsp:cNvPr id="0" name=""/>
        <dsp:cNvSpPr/>
      </dsp:nvSpPr>
      <dsp:spPr>
        <a:xfrm>
          <a:off x="4259907" y="217705"/>
          <a:ext cx="946646" cy="378658"/>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Selecting a private partner</a:t>
          </a:r>
        </a:p>
      </dsp:txBody>
      <dsp:txXfrm>
        <a:off x="4449236" y="217705"/>
        <a:ext cx="567988" cy="378658"/>
      </dsp:txXfrm>
    </dsp:sp>
    <dsp:sp modelId="{F0EF1AF7-9E50-4C53-86EF-D863DF7A9230}">
      <dsp:nvSpPr>
        <dsp:cNvPr id="0" name=""/>
        <dsp:cNvSpPr/>
      </dsp:nvSpPr>
      <dsp:spPr>
        <a:xfrm>
          <a:off x="5111888" y="217705"/>
          <a:ext cx="946646" cy="378658"/>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Competition and state aid</a:t>
          </a:r>
        </a:p>
      </dsp:txBody>
      <dsp:txXfrm>
        <a:off x="5301217" y="217705"/>
        <a:ext cx="567988" cy="3786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1A825-B159-4C34-89E0-F529F7E3B2A5}">
      <dsp:nvSpPr>
        <dsp:cNvPr id="0" name=""/>
        <dsp:cNvSpPr/>
      </dsp:nvSpPr>
      <dsp:spPr>
        <a:xfrm>
          <a:off x="0" y="218729"/>
          <a:ext cx="936762" cy="374705"/>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in general</a:t>
          </a:r>
        </a:p>
      </dsp:txBody>
      <dsp:txXfrm>
        <a:off x="187353" y="218729"/>
        <a:ext cx="562057" cy="374705"/>
      </dsp:txXfrm>
    </dsp:sp>
    <dsp:sp modelId="{9661ACF9-6E2F-4AA1-B632-865A87605FBF}">
      <dsp:nvSpPr>
        <dsp:cNvPr id="0" name=""/>
        <dsp:cNvSpPr/>
      </dsp:nvSpPr>
      <dsp:spPr>
        <a:xfrm>
          <a:off x="843086" y="218729"/>
          <a:ext cx="936762" cy="374705"/>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arrangements and models</a:t>
          </a:r>
        </a:p>
      </dsp:txBody>
      <dsp:txXfrm>
        <a:off x="1030439" y="218729"/>
        <a:ext cx="562057" cy="374705"/>
      </dsp:txXfrm>
    </dsp:sp>
    <dsp:sp modelId="{C30DE2D3-3607-4DA2-882B-05D80B0B4BC3}">
      <dsp:nvSpPr>
        <dsp:cNvPr id="0" name=""/>
        <dsp:cNvSpPr/>
      </dsp:nvSpPr>
      <dsp:spPr>
        <a:xfrm>
          <a:off x="1686173" y="218729"/>
          <a:ext cx="936762" cy="374705"/>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project step by step</a:t>
          </a:r>
        </a:p>
      </dsp:txBody>
      <dsp:txXfrm>
        <a:off x="1873526" y="218729"/>
        <a:ext cx="562057" cy="374705"/>
      </dsp:txXfrm>
    </dsp:sp>
    <dsp:sp modelId="{2DC4F51C-7158-4316-8A9B-C866CC41E42A}">
      <dsp:nvSpPr>
        <dsp:cNvPr id="0" name=""/>
        <dsp:cNvSpPr/>
      </dsp:nvSpPr>
      <dsp:spPr>
        <a:xfrm>
          <a:off x="2529260" y="218729"/>
          <a:ext cx="936762" cy="374705"/>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FEC and</a:t>
          </a:r>
          <a:r>
            <a:rPr lang="lv-LV" sz="500" b="1" kern="1200"/>
            <a:t> the</a:t>
          </a:r>
          <a:r>
            <a:rPr lang="en-US" sz="500" b="1" kern="1200"/>
            <a:t> contract price</a:t>
          </a:r>
        </a:p>
      </dsp:txBody>
      <dsp:txXfrm>
        <a:off x="2716613" y="218729"/>
        <a:ext cx="562057" cy="374705"/>
      </dsp:txXfrm>
    </dsp:sp>
    <dsp:sp modelId="{733A4756-8C5C-4214-832B-90402EA063F4}">
      <dsp:nvSpPr>
        <dsp:cNvPr id="0" name=""/>
        <dsp:cNvSpPr/>
      </dsp:nvSpPr>
      <dsp:spPr>
        <a:xfrm>
          <a:off x="3372346" y="218729"/>
          <a:ext cx="936762" cy="374705"/>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Statistical treatment</a:t>
          </a:r>
        </a:p>
      </dsp:txBody>
      <dsp:txXfrm>
        <a:off x="3559699" y="218729"/>
        <a:ext cx="562057" cy="374705"/>
      </dsp:txXfrm>
    </dsp:sp>
    <dsp:sp modelId="{7FA1EC39-CCC5-496F-8476-ED4A88B8D2DF}">
      <dsp:nvSpPr>
        <dsp:cNvPr id="0" name=""/>
        <dsp:cNvSpPr/>
      </dsp:nvSpPr>
      <dsp:spPr>
        <a:xfrm>
          <a:off x="4215433" y="218729"/>
          <a:ext cx="936762" cy="374705"/>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Selecting a private partner</a:t>
          </a:r>
        </a:p>
      </dsp:txBody>
      <dsp:txXfrm>
        <a:off x="4402786" y="218729"/>
        <a:ext cx="562057" cy="374705"/>
      </dsp:txXfrm>
    </dsp:sp>
    <dsp:sp modelId="{F0EF1AF7-9E50-4C53-86EF-D863DF7A9230}">
      <dsp:nvSpPr>
        <dsp:cNvPr id="0" name=""/>
        <dsp:cNvSpPr/>
      </dsp:nvSpPr>
      <dsp:spPr>
        <a:xfrm>
          <a:off x="5058520" y="218729"/>
          <a:ext cx="936762" cy="374705"/>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Competition and state aid</a:t>
          </a:r>
        </a:p>
      </dsp:txBody>
      <dsp:txXfrm>
        <a:off x="5245873" y="218729"/>
        <a:ext cx="562057" cy="3747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1A825-B159-4C34-89E0-F529F7E3B2A5}">
      <dsp:nvSpPr>
        <dsp:cNvPr id="0" name=""/>
        <dsp:cNvSpPr/>
      </dsp:nvSpPr>
      <dsp:spPr>
        <a:xfrm>
          <a:off x="0" y="218737"/>
          <a:ext cx="936724" cy="374689"/>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in general</a:t>
          </a:r>
        </a:p>
      </dsp:txBody>
      <dsp:txXfrm>
        <a:off x="187345" y="218737"/>
        <a:ext cx="562035" cy="374689"/>
      </dsp:txXfrm>
    </dsp:sp>
    <dsp:sp modelId="{9661ACF9-6E2F-4AA1-B632-865A87605FBF}">
      <dsp:nvSpPr>
        <dsp:cNvPr id="0" name=""/>
        <dsp:cNvSpPr/>
      </dsp:nvSpPr>
      <dsp:spPr>
        <a:xfrm>
          <a:off x="843051" y="218737"/>
          <a:ext cx="936724" cy="374689"/>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arrangements and models</a:t>
          </a:r>
        </a:p>
      </dsp:txBody>
      <dsp:txXfrm>
        <a:off x="1030396" y="218737"/>
        <a:ext cx="562035" cy="374689"/>
      </dsp:txXfrm>
    </dsp:sp>
    <dsp:sp modelId="{C30DE2D3-3607-4DA2-882B-05D80B0B4BC3}">
      <dsp:nvSpPr>
        <dsp:cNvPr id="0" name=""/>
        <dsp:cNvSpPr/>
      </dsp:nvSpPr>
      <dsp:spPr>
        <a:xfrm>
          <a:off x="1686103" y="218737"/>
          <a:ext cx="936724" cy="374689"/>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project step by step</a:t>
          </a:r>
        </a:p>
      </dsp:txBody>
      <dsp:txXfrm>
        <a:off x="1873448" y="218737"/>
        <a:ext cx="562035" cy="374689"/>
      </dsp:txXfrm>
    </dsp:sp>
    <dsp:sp modelId="{2DC4F51C-7158-4316-8A9B-C866CC41E42A}">
      <dsp:nvSpPr>
        <dsp:cNvPr id="0" name=""/>
        <dsp:cNvSpPr/>
      </dsp:nvSpPr>
      <dsp:spPr>
        <a:xfrm>
          <a:off x="2529155" y="218737"/>
          <a:ext cx="936724" cy="374689"/>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FEC and</a:t>
          </a:r>
          <a:r>
            <a:rPr lang="lv-LV" sz="500" b="1" kern="1200"/>
            <a:t> the</a:t>
          </a:r>
          <a:r>
            <a:rPr lang="en-US" sz="500" b="1" kern="1200"/>
            <a:t> contract price</a:t>
          </a:r>
        </a:p>
      </dsp:txBody>
      <dsp:txXfrm>
        <a:off x="2716500" y="218737"/>
        <a:ext cx="562035" cy="374689"/>
      </dsp:txXfrm>
    </dsp:sp>
    <dsp:sp modelId="{733A4756-8C5C-4214-832B-90402EA063F4}">
      <dsp:nvSpPr>
        <dsp:cNvPr id="0" name=""/>
        <dsp:cNvSpPr/>
      </dsp:nvSpPr>
      <dsp:spPr>
        <a:xfrm>
          <a:off x="3372207" y="218737"/>
          <a:ext cx="936724" cy="374689"/>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Statistical treatment</a:t>
          </a:r>
        </a:p>
      </dsp:txBody>
      <dsp:txXfrm>
        <a:off x="3559552" y="218737"/>
        <a:ext cx="562035" cy="374689"/>
      </dsp:txXfrm>
    </dsp:sp>
    <dsp:sp modelId="{7FA1EC39-CCC5-496F-8476-ED4A88B8D2DF}">
      <dsp:nvSpPr>
        <dsp:cNvPr id="0" name=""/>
        <dsp:cNvSpPr/>
      </dsp:nvSpPr>
      <dsp:spPr>
        <a:xfrm>
          <a:off x="4215258" y="218737"/>
          <a:ext cx="936724" cy="374689"/>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Selecting a private partner</a:t>
          </a:r>
        </a:p>
      </dsp:txBody>
      <dsp:txXfrm>
        <a:off x="4402603" y="218737"/>
        <a:ext cx="562035" cy="374689"/>
      </dsp:txXfrm>
    </dsp:sp>
    <dsp:sp modelId="{F0EF1AF7-9E50-4C53-86EF-D863DF7A9230}">
      <dsp:nvSpPr>
        <dsp:cNvPr id="0" name=""/>
        <dsp:cNvSpPr/>
      </dsp:nvSpPr>
      <dsp:spPr>
        <a:xfrm>
          <a:off x="5058310" y="218737"/>
          <a:ext cx="936724" cy="374689"/>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Competition and state aid</a:t>
          </a:r>
        </a:p>
      </dsp:txBody>
      <dsp:txXfrm>
        <a:off x="5245655" y="218737"/>
        <a:ext cx="562035" cy="3746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1A825-B159-4C34-89E0-F529F7E3B2A5}">
      <dsp:nvSpPr>
        <dsp:cNvPr id="0" name=""/>
        <dsp:cNvSpPr/>
      </dsp:nvSpPr>
      <dsp:spPr>
        <a:xfrm>
          <a:off x="0" y="219226"/>
          <a:ext cx="934278" cy="373711"/>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in general</a:t>
          </a:r>
        </a:p>
      </dsp:txBody>
      <dsp:txXfrm>
        <a:off x="186856" y="219226"/>
        <a:ext cx="560567" cy="373711"/>
      </dsp:txXfrm>
    </dsp:sp>
    <dsp:sp modelId="{9661ACF9-6E2F-4AA1-B632-865A87605FBF}">
      <dsp:nvSpPr>
        <dsp:cNvPr id="0" name=""/>
        <dsp:cNvSpPr/>
      </dsp:nvSpPr>
      <dsp:spPr>
        <a:xfrm>
          <a:off x="840850" y="219226"/>
          <a:ext cx="934278" cy="373711"/>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arrangements and models</a:t>
          </a:r>
        </a:p>
      </dsp:txBody>
      <dsp:txXfrm>
        <a:off x="1027706" y="219226"/>
        <a:ext cx="560567" cy="373711"/>
      </dsp:txXfrm>
    </dsp:sp>
    <dsp:sp modelId="{C30DE2D3-3607-4DA2-882B-05D80B0B4BC3}">
      <dsp:nvSpPr>
        <dsp:cNvPr id="0" name=""/>
        <dsp:cNvSpPr/>
      </dsp:nvSpPr>
      <dsp:spPr>
        <a:xfrm>
          <a:off x="1681700" y="219226"/>
          <a:ext cx="934278" cy="373711"/>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PPP project step by step</a:t>
          </a:r>
        </a:p>
      </dsp:txBody>
      <dsp:txXfrm>
        <a:off x="1868556" y="219226"/>
        <a:ext cx="560567" cy="373711"/>
      </dsp:txXfrm>
    </dsp:sp>
    <dsp:sp modelId="{2DC4F51C-7158-4316-8A9B-C866CC41E42A}">
      <dsp:nvSpPr>
        <dsp:cNvPr id="0" name=""/>
        <dsp:cNvSpPr/>
      </dsp:nvSpPr>
      <dsp:spPr>
        <a:xfrm>
          <a:off x="2522550" y="219226"/>
          <a:ext cx="934278" cy="373711"/>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FEC and</a:t>
          </a:r>
          <a:r>
            <a:rPr lang="lv-LV" sz="500" b="1" kern="1200"/>
            <a:t> the</a:t>
          </a:r>
          <a:r>
            <a:rPr lang="en-US" sz="500" b="1" kern="1200"/>
            <a:t> contract price</a:t>
          </a:r>
        </a:p>
      </dsp:txBody>
      <dsp:txXfrm>
        <a:off x="2709406" y="219226"/>
        <a:ext cx="560567" cy="373711"/>
      </dsp:txXfrm>
    </dsp:sp>
    <dsp:sp modelId="{733A4756-8C5C-4214-832B-90402EA063F4}">
      <dsp:nvSpPr>
        <dsp:cNvPr id="0" name=""/>
        <dsp:cNvSpPr/>
      </dsp:nvSpPr>
      <dsp:spPr>
        <a:xfrm>
          <a:off x="3363401" y="219226"/>
          <a:ext cx="934278" cy="373711"/>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Statistical treatment</a:t>
          </a:r>
        </a:p>
      </dsp:txBody>
      <dsp:txXfrm>
        <a:off x="3550257" y="219226"/>
        <a:ext cx="560567" cy="373711"/>
      </dsp:txXfrm>
    </dsp:sp>
    <dsp:sp modelId="{7FA1EC39-CCC5-496F-8476-ED4A88B8D2DF}">
      <dsp:nvSpPr>
        <dsp:cNvPr id="0" name=""/>
        <dsp:cNvSpPr/>
      </dsp:nvSpPr>
      <dsp:spPr>
        <a:xfrm>
          <a:off x="4204251" y="219226"/>
          <a:ext cx="934278" cy="373711"/>
        </a:xfrm>
        <a:prstGeom prst="chevron">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Selecting a private partner</a:t>
          </a:r>
        </a:p>
      </dsp:txBody>
      <dsp:txXfrm>
        <a:off x="4391107" y="219226"/>
        <a:ext cx="560567" cy="373711"/>
      </dsp:txXfrm>
    </dsp:sp>
    <dsp:sp modelId="{F0EF1AF7-9E50-4C53-86EF-D863DF7A9230}">
      <dsp:nvSpPr>
        <dsp:cNvPr id="0" name=""/>
        <dsp:cNvSpPr/>
      </dsp:nvSpPr>
      <dsp:spPr>
        <a:xfrm>
          <a:off x="5045101" y="219226"/>
          <a:ext cx="934278" cy="373711"/>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b="1" kern="1200"/>
            <a:t>Competition and state aid</a:t>
          </a:r>
        </a:p>
      </dsp:txBody>
      <dsp:txXfrm>
        <a:off x="5231957" y="219226"/>
        <a:ext cx="560567" cy="37371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C4A99-B2B9-4DD0-8CB0-B7AF05DE8224}">
      <dsp:nvSpPr>
        <dsp:cNvPr id="0" name=""/>
        <dsp:cNvSpPr/>
      </dsp:nvSpPr>
      <dsp:spPr>
        <a:xfrm>
          <a:off x="384" y="0"/>
          <a:ext cx="1656540" cy="1898650"/>
        </a:xfrm>
        <a:prstGeom prst="roundRect">
          <a:avLst>
            <a:gd name="adj" fmla="val 5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r" defTabSz="444500">
            <a:lnSpc>
              <a:spcPct val="90000"/>
            </a:lnSpc>
            <a:spcBef>
              <a:spcPct val="0"/>
            </a:spcBef>
            <a:spcAft>
              <a:spcPct val="35000"/>
            </a:spcAft>
            <a:buNone/>
          </a:pPr>
          <a:r>
            <a:rPr lang="en-US" sz="1000" kern="1200"/>
            <a:t>Input worksheets</a:t>
          </a:r>
        </a:p>
      </dsp:txBody>
      <dsp:txXfrm rot="16200000">
        <a:off x="-612407" y="612792"/>
        <a:ext cx="1556893" cy="331308"/>
      </dsp:txXfrm>
    </dsp:sp>
    <dsp:sp modelId="{47B89654-A2A9-48C2-B5B1-C0CADF35C5E0}">
      <dsp:nvSpPr>
        <dsp:cNvPr id="0" name=""/>
        <dsp:cNvSpPr/>
      </dsp:nvSpPr>
      <dsp:spPr>
        <a:xfrm>
          <a:off x="331693" y="0"/>
          <a:ext cx="1234122" cy="18986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en-US" sz="700" kern="1200"/>
            <a:t>Terms and dates</a:t>
          </a:r>
        </a:p>
        <a:p>
          <a:pPr marL="0" lvl="0" indent="0" algn="l" defTabSz="311150">
            <a:lnSpc>
              <a:spcPct val="90000"/>
            </a:lnSpc>
            <a:spcBef>
              <a:spcPct val="0"/>
            </a:spcBef>
            <a:spcAft>
              <a:spcPct val="35000"/>
            </a:spcAft>
            <a:buNone/>
          </a:pPr>
          <a:r>
            <a:rPr lang="en-US" sz="700" kern="1200"/>
            <a:t>Macroeconomic assumptions</a:t>
          </a:r>
        </a:p>
        <a:p>
          <a:pPr marL="0" lvl="0" indent="0" algn="l" defTabSz="311150">
            <a:lnSpc>
              <a:spcPct val="90000"/>
            </a:lnSpc>
            <a:spcBef>
              <a:spcPct val="0"/>
            </a:spcBef>
            <a:spcAft>
              <a:spcPct val="35000"/>
            </a:spcAft>
            <a:buNone/>
          </a:pPr>
          <a:r>
            <a:rPr lang="en-US" sz="700" kern="1200"/>
            <a:t>Discount rate</a:t>
          </a:r>
        </a:p>
        <a:p>
          <a:pPr marL="0" lvl="0" indent="0" algn="l" defTabSz="311150">
            <a:lnSpc>
              <a:spcPct val="90000"/>
            </a:lnSpc>
            <a:spcBef>
              <a:spcPct val="0"/>
            </a:spcBef>
            <a:spcAft>
              <a:spcPct val="35000"/>
            </a:spcAft>
            <a:buNone/>
          </a:pPr>
          <a:r>
            <a:rPr lang="en-US" sz="700" kern="1200"/>
            <a:t>Tax rates</a:t>
          </a:r>
        </a:p>
        <a:p>
          <a:pPr marL="0" lvl="0" indent="0" algn="l" defTabSz="311150">
            <a:lnSpc>
              <a:spcPct val="90000"/>
            </a:lnSpc>
            <a:spcBef>
              <a:spcPct val="0"/>
            </a:spcBef>
            <a:spcAft>
              <a:spcPct val="35000"/>
            </a:spcAft>
            <a:buNone/>
          </a:pPr>
          <a:r>
            <a:rPr lang="en-US" sz="700" kern="1200"/>
            <a:t>Financing structure</a:t>
          </a:r>
        </a:p>
        <a:p>
          <a:pPr marL="0" lvl="0" indent="0" algn="l" defTabSz="311150">
            <a:lnSpc>
              <a:spcPct val="90000"/>
            </a:lnSpc>
            <a:spcBef>
              <a:spcPct val="0"/>
            </a:spcBef>
            <a:spcAft>
              <a:spcPct val="35000"/>
            </a:spcAft>
            <a:buNone/>
          </a:pPr>
          <a:r>
            <a:rPr lang="en-US" sz="700" kern="1200"/>
            <a:t>Capital investment plan</a:t>
          </a:r>
        </a:p>
        <a:p>
          <a:pPr marL="0" lvl="0" indent="0" algn="l" defTabSz="311150">
            <a:lnSpc>
              <a:spcPct val="90000"/>
            </a:lnSpc>
            <a:spcBef>
              <a:spcPct val="0"/>
            </a:spcBef>
            <a:spcAft>
              <a:spcPct val="35000"/>
            </a:spcAft>
            <a:buNone/>
          </a:pPr>
          <a:r>
            <a:rPr lang="en-US" sz="700" kern="1200"/>
            <a:t>Cost plan</a:t>
          </a:r>
        </a:p>
        <a:p>
          <a:pPr marL="0" lvl="0" indent="0" algn="l" defTabSz="311150">
            <a:lnSpc>
              <a:spcPct val="90000"/>
            </a:lnSpc>
            <a:spcBef>
              <a:spcPct val="0"/>
            </a:spcBef>
            <a:spcAft>
              <a:spcPct val="35000"/>
            </a:spcAft>
            <a:buNone/>
          </a:pPr>
          <a:r>
            <a:rPr lang="en-US" sz="700" kern="1200"/>
            <a:t>Revenue plan</a:t>
          </a:r>
        </a:p>
        <a:p>
          <a:pPr marL="0" lvl="0" indent="0" algn="l" defTabSz="311150">
            <a:lnSpc>
              <a:spcPct val="90000"/>
            </a:lnSpc>
            <a:spcBef>
              <a:spcPct val="0"/>
            </a:spcBef>
            <a:spcAft>
              <a:spcPct val="35000"/>
            </a:spcAft>
            <a:buNone/>
          </a:pPr>
          <a:r>
            <a:rPr lang="en-US" sz="700" kern="1200"/>
            <a:t>Adjustments to the baseline model</a:t>
          </a:r>
        </a:p>
        <a:p>
          <a:pPr marL="0" lvl="0" indent="0" algn="l" defTabSz="311150">
            <a:lnSpc>
              <a:spcPct val="90000"/>
            </a:lnSpc>
            <a:spcBef>
              <a:spcPct val="0"/>
            </a:spcBef>
            <a:spcAft>
              <a:spcPct val="35000"/>
            </a:spcAft>
            <a:buNone/>
          </a:pPr>
          <a:r>
            <a:rPr lang="en-US" sz="700" kern="1200"/>
            <a:t>Quantifying risks</a:t>
          </a:r>
        </a:p>
        <a:p>
          <a:pPr marL="0" lvl="0" indent="0" algn="l" defTabSz="311150">
            <a:lnSpc>
              <a:spcPct val="90000"/>
            </a:lnSpc>
            <a:spcBef>
              <a:spcPct val="0"/>
            </a:spcBef>
            <a:spcAft>
              <a:spcPct val="35000"/>
            </a:spcAft>
            <a:buNone/>
          </a:pPr>
          <a:r>
            <a:rPr lang="en-US" sz="700" kern="1200"/>
            <a:t>Statistical treatment checklist questions</a:t>
          </a:r>
        </a:p>
      </dsp:txBody>
      <dsp:txXfrm>
        <a:off x="331693" y="0"/>
        <a:ext cx="1234122" cy="1898650"/>
      </dsp:txXfrm>
    </dsp:sp>
    <dsp:sp modelId="{7F821189-93E1-4D5D-933E-DE4FD874E7B4}">
      <dsp:nvSpPr>
        <dsp:cNvPr id="0" name=""/>
        <dsp:cNvSpPr/>
      </dsp:nvSpPr>
      <dsp:spPr>
        <a:xfrm>
          <a:off x="1714904" y="0"/>
          <a:ext cx="1656540" cy="1898650"/>
        </a:xfrm>
        <a:prstGeom prst="roundRect">
          <a:avLst>
            <a:gd name="adj" fmla="val 5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r" defTabSz="444500">
            <a:lnSpc>
              <a:spcPct val="90000"/>
            </a:lnSpc>
            <a:spcBef>
              <a:spcPct val="0"/>
            </a:spcBef>
            <a:spcAft>
              <a:spcPct val="35000"/>
            </a:spcAft>
            <a:buNone/>
          </a:pPr>
          <a:r>
            <a:rPr lang="en-US" sz="1000" kern="1200"/>
            <a:t>Calculation worksheets</a:t>
          </a:r>
        </a:p>
      </dsp:txBody>
      <dsp:txXfrm rot="16200000">
        <a:off x="1102112" y="612792"/>
        <a:ext cx="1556893" cy="331308"/>
      </dsp:txXfrm>
    </dsp:sp>
    <dsp:sp modelId="{C3B0F839-C0B7-40D3-8EC4-84635B8A4B86}">
      <dsp:nvSpPr>
        <dsp:cNvPr id="0" name=""/>
        <dsp:cNvSpPr/>
      </dsp:nvSpPr>
      <dsp:spPr>
        <a:xfrm rot="5400000">
          <a:off x="1583672" y="1503428"/>
          <a:ext cx="279029" cy="248481"/>
        </a:xfrm>
        <a:prstGeom prst="flowChartExtract">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CB3AA1-833F-4F0F-9599-C6C15C5F2B73}">
      <dsp:nvSpPr>
        <dsp:cNvPr id="0" name=""/>
        <dsp:cNvSpPr/>
      </dsp:nvSpPr>
      <dsp:spPr>
        <a:xfrm>
          <a:off x="2046212" y="0"/>
          <a:ext cx="1234122" cy="18986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en-US" sz="700" kern="1200"/>
            <a:t>Timetable</a:t>
          </a:r>
        </a:p>
        <a:p>
          <a:pPr marL="0" lvl="0" indent="0" algn="l" defTabSz="311150">
            <a:lnSpc>
              <a:spcPct val="90000"/>
            </a:lnSpc>
            <a:spcBef>
              <a:spcPct val="0"/>
            </a:spcBef>
            <a:spcAft>
              <a:spcPct val="35000"/>
            </a:spcAft>
            <a:buNone/>
          </a:pPr>
          <a:r>
            <a:rPr lang="en-US" sz="700" kern="1200"/>
            <a:t>Capital investment</a:t>
          </a:r>
        </a:p>
        <a:p>
          <a:pPr marL="0" lvl="0" indent="0" algn="l" defTabSz="311150">
            <a:lnSpc>
              <a:spcPct val="90000"/>
            </a:lnSpc>
            <a:spcBef>
              <a:spcPct val="0"/>
            </a:spcBef>
            <a:spcAft>
              <a:spcPct val="35000"/>
            </a:spcAft>
            <a:buNone/>
          </a:pPr>
          <a:r>
            <a:rPr lang="en-US" sz="700" kern="1200"/>
            <a:t>Financing</a:t>
          </a:r>
        </a:p>
        <a:p>
          <a:pPr marL="0" lvl="0" indent="0" algn="l" defTabSz="311150">
            <a:lnSpc>
              <a:spcPct val="90000"/>
            </a:lnSpc>
            <a:spcBef>
              <a:spcPct val="0"/>
            </a:spcBef>
            <a:spcAft>
              <a:spcPct val="35000"/>
            </a:spcAft>
            <a:buNone/>
          </a:pPr>
          <a:r>
            <a:rPr lang="en-US" sz="700" kern="1200"/>
            <a:t>Costs</a:t>
          </a:r>
        </a:p>
        <a:p>
          <a:pPr marL="0" lvl="0" indent="0" algn="l" defTabSz="311150">
            <a:lnSpc>
              <a:spcPct val="90000"/>
            </a:lnSpc>
            <a:spcBef>
              <a:spcPct val="0"/>
            </a:spcBef>
            <a:spcAft>
              <a:spcPct val="35000"/>
            </a:spcAft>
            <a:buNone/>
          </a:pPr>
          <a:r>
            <a:rPr lang="en-US" sz="700" kern="1200"/>
            <a:t>Revenue</a:t>
          </a:r>
        </a:p>
        <a:p>
          <a:pPr marL="0" lvl="0" indent="0" algn="l" defTabSz="311150">
            <a:lnSpc>
              <a:spcPct val="90000"/>
            </a:lnSpc>
            <a:spcBef>
              <a:spcPct val="0"/>
            </a:spcBef>
            <a:spcAft>
              <a:spcPct val="35000"/>
            </a:spcAft>
            <a:buNone/>
          </a:pPr>
          <a:r>
            <a:rPr lang="en-US" sz="700" kern="1200"/>
            <a:t>Cash flows</a:t>
          </a:r>
        </a:p>
        <a:p>
          <a:pPr marL="0" lvl="0" indent="0" algn="l" defTabSz="311150">
            <a:lnSpc>
              <a:spcPct val="90000"/>
            </a:lnSpc>
            <a:spcBef>
              <a:spcPct val="0"/>
            </a:spcBef>
            <a:spcAft>
              <a:spcPct val="35000"/>
            </a:spcAft>
            <a:buNone/>
          </a:pPr>
          <a:r>
            <a:rPr lang="en-US" sz="700" kern="1200"/>
            <a:t>Sensitivity analysis</a:t>
          </a:r>
        </a:p>
        <a:p>
          <a:pPr marL="0" lvl="0" indent="0" algn="l" defTabSz="311150">
            <a:lnSpc>
              <a:spcPct val="90000"/>
            </a:lnSpc>
            <a:spcBef>
              <a:spcPct val="0"/>
            </a:spcBef>
            <a:spcAft>
              <a:spcPct val="35000"/>
            </a:spcAft>
            <a:buNone/>
          </a:pPr>
          <a:endParaRPr lang="en-US" sz="700" kern="1200"/>
        </a:p>
      </dsp:txBody>
      <dsp:txXfrm>
        <a:off x="2046212" y="0"/>
        <a:ext cx="1234122" cy="1898650"/>
      </dsp:txXfrm>
    </dsp:sp>
    <dsp:sp modelId="{03C2D32E-D9EB-4B0D-B86F-08A24C55FC31}">
      <dsp:nvSpPr>
        <dsp:cNvPr id="0" name=""/>
        <dsp:cNvSpPr/>
      </dsp:nvSpPr>
      <dsp:spPr>
        <a:xfrm>
          <a:off x="3429424" y="0"/>
          <a:ext cx="1656540" cy="1898650"/>
        </a:xfrm>
        <a:prstGeom prst="roundRect">
          <a:avLst>
            <a:gd name="adj" fmla="val 5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r" defTabSz="444500">
            <a:lnSpc>
              <a:spcPct val="90000"/>
            </a:lnSpc>
            <a:spcBef>
              <a:spcPct val="0"/>
            </a:spcBef>
            <a:spcAft>
              <a:spcPct val="35000"/>
            </a:spcAft>
            <a:buNone/>
          </a:pPr>
          <a:r>
            <a:rPr lang="en-US" sz="1000" kern="1200"/>
            <a:t>Results worksheets</a:t>
          </a:r>
        </a:p>
      </dsp:txBody>
      <dsp:txXfrm rot="16200000">
        <a:off x="2816631" y="612792"/>
        <a:ext cx="1556893" cy="331308"/>
      </dsp:txXfrm>
    </dsp:sp>
    <dsp:sp modelId="{B067F382-1685-4682-84DD-4B52A5495031}">
      <dsp:nvSpPr>
        <dsp:cNvPr id="0" name=""/>
        <dsp:cNvSpPr/>
      </dsp:nvSpPr>
      <dsp:spPr>
        <a:xfrm rot="5400000">
          <a:off x="3298192" y="1503428"/>
          <a:ext cx="279029" cy="248481"/>
        </a:xfrm>
        <a:prstGeom prst="flowChartExtract">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43F717-59B7-48E8-BACB-A2C9A58C069A}">
      <dsp:nvSpPr>
        <dsp:cNvPr id="0" name=""/>
        <dsp:cNvSpPr/>
      </dsp:nvSpPr>
      <dsp:spPr>
        <a:xfrm>
          <a:off x="3760732" y="0"/>
          <a:ext cx="1234122" cy="18986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en-US" sz="700" kern="1200"/>
            <a:t>Indicators</a:t>
          </a:r>
        </a:p>
        <a:p>
          <a:pPr marL="0" lvl="0" indent="0" algn="l" defTabSz="311150">
            <a:lnSpc>
              <a:spcPct val="90000"/>
            </a:lnSpc>
            <a:spcBef>
              <a:spcPct val="0"/>
            </a:spcBef>
            <a:spcAft>
              <a:spcPct val="35000"/>
            </a:spcAft>
            <a:buNone/>
          </a:pPr>
          <a:r>
            <a:rPr lang="en-US" sz="700" kern="1200"/>
            <a:t>Timetable</a:t>
          </a:r>
        </a:p>
        <a:p>
          <a:pPr marL="0" lvl="0" indent="0" algn="l" defTabSz="311150">
            <a:lnSpc>
              <a:spcPct val="90000"/>
            </a:lnSpc>
            <a:spcBef>
              <a:spcPct val="0"/>
            </a:spcBef>
            <a:spcAft>
              <a:spcPct val="35000"/>
            </a:spcAft>
            <a:buNone/>
          </a:pPr>
          <a:r>
            <a:rPr lang="en-US" sz="700" kern="1200"/>
            <a:t>Summary</a:t>
          </a:r>
        </a:p>
      </dsp:txBody>
      <dsp:txXfrm>
        <a:off x="3760732" y="0"/>
        <a:ext cx="1234122" cy="18986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b3b213-8566-48ea-9933-efcfa651373a">
      <Terms xmlns="http://schemas.microsoft.com/office/infopath/2007/PartnerControls"/>
    </lcf76f155ced4ddcb4097134ff3c332f>
    <TaxCatchAll xmlns="d68ddbfb-0246-4f41-98f5-4b7b8fdf9644" xsi:nil="true"/>
    <MediaLengthInSeconds xmlns="b7b3b213-8566-48ea-9933-efcfa651373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75A837DF00024DBC7481451BD525B2" ma:contentTypeVersion="13" ma:contentTypeDescription="Create a new document." ma:contentTypeScope="" ma:versionID="57ab5760a422952e7252a84fec7f4ae5">
  <xsd:schema xmlns:xsd="http://www.w3.org/2001/XMLSchema" xmlns:xs="http://www.w3.org/2001/XMLSchema" xmlns:p="http://schemas.microsoft.com/office/2006/metadata/properties" xmlns:ns2="b7b3b213-8566-48ea-9933-efcfa651373a" xmlns:ns3="d68ddbfb-0246-4f41-98f5-4b7b8fdf9644" targetNamespace="http://schemas.microsoft.com/office/2006/metadata/properties" ma:root="true" ma:fieldsID="23c75a8a156ed0304755da8b5ce2a6c8" ns2:_="" ns3:_="">
    <xsd:import namespace="b7b3b213-8566-48ea-9933-efcfa651373a"/>
    <xsd:import namespace="d68ddbfb-0246-4f41-98f5-4b7b8fdf96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3b213-8566-48ea-9933-efcfa6513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8ddbfb-0246-4f41-98f5-4b7b8fdf964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95f5ce6-bedf-444e-a1c0-88d3b9c68b20}" ma:internalName="TaxCatchAll" ma:showField="CatchAllData" ma:web="d68ddbfb-0246-4f41-98f5-4b7b8fdf9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FA826-A38A-4203-A7D0-B5AE66A6A724}">
  <ds:schemaRefs>
    <ds:schemaRef ds:uri="http://schemas.microsoft.com/sharepoint/v3/contenttype/forms"/>
  </ds:schemaRefs>
</ds:datastoreItem>
</file>

<file path=customXml/itemProps2.xml><?xml version="1.0" encoding="utf-8"?>
<ds:datastoreItem xmlns:ds="http://schemas.openxmlformats.org/officeDocument/2006/customXml" ds:itemID="{DF8C205E-76A8-4442-A989-6C46E1D0C612}">
  <ds:schemaRefs>
    <ds:schemaRef ds:uri="http://schemas.openxmlformats.org/officeDocument/2006/bibliography"/>
  </ds:schemaRefs>
</ds:datastoreItem>
</file>

<file path=customXml/itemProps3.xml><?xml version="1.0" encoding="utf-8"?>
<ds:datastoreItem xmlns:ds="http://schemas.openxmlformats.org/officeDocument/2006/customXml" ds:itemID="{15E2CD23-DAD2-4ECF-AD64-1D3444AD2C52}">
  <ds:schemaRefs>
    <ds:schemaRef ds:uri="http://schemas.microsoft.com/office/2006/metadata/properties"/>
    <ds:schemaRef ds:uri="http://schemas.microsoft.com/office/infopath/2007/PartnerControls"/>
    <ds:schemaRef ds:uri="b7b3b213-8566-48ea-9933-efcfa651373a"/>
    <ds:schemaRef ds:uri="d68ddbfb-0246-4f41-98f5-4b7b8fdf9644"/>
  </ds:schemaRefs>
</ds:datastoreItem>
</file>

<file path=customXml/itemProps4.xml><?xml version="1.0" encoding="utf-8"?>
<ds:datastoreItem xmlns:ds="http://schemas.openxmlformats.org/officeDocument/2006/customXml" ds:itemID="{CA63CA44-D7BA-4B07-9796-4F1629822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3b213-8566-48ea-9933-efcfa651373a"/>
    <ds:schemaRef ds:uri="d68ddbfb-0246-4f41-98f5-4b7b8fdf9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53</Pages>
  <Words>80785</Words>
  <Characters>46049</Characters>
  <Application>Microsoft Office Word</Application>
  <DocSecurity>0</DocSecurity>
  <Lines>383</Lines>
  <Paragraphs>253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Deloitte Touche Tohmatsu Services, Inc.</Company>
  <LinksUpToDate>false</LinksUpToDate>
  <CharactersWithSpaces>126581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Saicane, Inga</dc:creator>
  <cp:keywords/>
  <dc:description/>
  <cp:lastModifiedBy>Diāna Stajevska</cp:lastModifiedBy>
  <cp:revision>54</cp:revision>
  <cp:lastPrinted>2019-03-18T11:19:00Z</cp:lastPrinted>
  <dcterms:created xsi:type="dcterms:W3CDTF">2024-10-08T11:21:00Z</dcterms:created>
  <dcterms:modified xsi:type="dcterms:W3CDTF">2024-10-11T08:23:00Z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0x0101002B75A837DF00024DBC7481451BD525B2</vt:lpwstr>
  </property>
  <property fmtid="{D5CDD505-2E9C-101B-9397-08002B2CF9AE}" pid="3" name="AuthorIds_UIVersion_1024">
    <vt:lpwstr>13</vt:lpwstr>
  </property>
  <property fmtid="{D5CDD505-2E9C-101B-9397-08002B2CF9AE}" pid="4" name="Order">
    <vt:r8>202300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