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16D56" w14:textId="77777777" w:rsidR="005B4FC4" w:rsidRPr="00077344" w:rsidRDefault="005B4FC4" w:rsidP="005B4FC4">
      <w:pPr>
        <w:spacing w:after="120"/>
        <w:ind w:left="851" w:hanging="567"/>
        <w:jc w:val="center"/>
        <w:rPr>
          <w:rFonts w:eastAsiaTheme="minorHAnsi"/>
          <w:b/>
        </w:rPr>
      </w:pPr>
      <w:bookmarkStart w:id="0" w:name="_Hlk146791306"/>
      <w:r w:rsidRPr="00077344">
        <w:rPr>
          <w:rFonts w:eastAsiaTheme="minorHAnsi"/>
          <w:b/>
        </w:rPr>
        <w:t xml:space="preserve">Apliecinājums par informētību attiecībā uz interešu konflikta jautājumu regulējumu </w:t>
      </w:r>
    </w:p>
    <w:p w14:paraId="03AC4B85" w14:textId="77777777" w:rsidR="005B4FC4" w:rsidRPr="00FD1D85" w:rsidRDefault="005B4FC4" w:rsidP="005B4FC4">
      <w:pPr>
        <w:spacing w:after="120"/>
        <w:ind w:left="851" w:hanging="567"/>
        <w:jc w:val="center"/>
        <w:rPr>
          <w:b/>
          <w:i/>
        </w:rPr>
      </w:pPr>
      <w:r w:rsidRPr="00FD1D85">
        <w:rPr>
          <w:b/>
        </w:rPr>
        <w:t>un to integrāciju iekšējās kontroles sistēmā</w:t>
      </w:r>
    </w:p>
    <w:bookmarkEnd w:id="0"/>
    <w:p w14:paraId="03D9E78A" w14:textId="77777777" w:rsidR="005B4FC4" w:rsidRPr="009A2F8E" w:rsidRDefault="005B4FC4" w:rsidP="005B4FC4">
      <w:pPr>
        <w:spacing w:after="120"/>
        <w:ind w:left="567" w:hanging="567"/>
        <w:rPr>
          <w:b/>
          <w:i/>
          <w:color w:val="FF0000"/>
          <w:highlight w:val="yellow"/>
        </w:rPr>
      </w:pPr>
    </w:p>
    <w:p w14:paraId="599451C7" w14:textId="77777777" w:rsidR="005B4FC4" w:rsidRPr="00561697" w:rsidRDefault="005B4FC4" w:rsidP="005B4FC4">
      <w:pPr>
        <w:tabs>
          <w:tab w:val="left" w:pos="0"/>
        </w:tabs>
        <w:spacing w:after="120"/>
        <w:ind w:left="851" w:hanging="567"/>
        <w:jc w:val="both"/>
        <w:rPr>
          <w:rFonts w:eastAsia="Times New Roman"/>
          <w:sz w:val="22"/>
          <w:shd w:val="clear" w:color="auto" w:fill="FFFFFF"/>
          <w:lang w:eastAsia="en-US"/>
        </w:rPr>
      </w:pPr>
      <w:r w:rsidRPr="00561697">
        <w:rPr>
          <w:rFonts w:eastAsiaTheme="minorHAnsi"/>
        </w:rPr>
        <w:t>Apliecinu, ka</w:t>
      </w:r>
      <w:r w:rsidRPr="00561697">
        <w:rPr>
          <w:rFonts w:eastAsiaTheme="minorHAnsi"/>
          <w:sz w:val="22"/>
          <w:shd w:val="clear" w:color="auto" w:fill="FFFFFF"/>
          <w:lang w:eastAsia="en-US"/>
        </w:rPr>
        <w:t>:</w:t>
      </w:r>
    </w:p>
    <w:p w14:paraId="2A12256C" w14:textId="77777777" w:rsidR="005B4FC4" w:rsidRPr="00561697" w:rsidDel="00E5562A" w:rsidRDefault="005B4FC4" w:rsidP="005B4FC4">
      <w:pPr>
        <w:numPr>
          <w:ilvl w:val="0"/>
          <w:numId w:val="1"/>
        </w:numPr>
        <w:spacing w:before="120" w:after="120" w:line="254" w:lineRule="auto"/>
        <w:ind w:left="426"/>
        <w:contextualSpacing/>
        <w:jc w:val="both"/>
      </w:pPr>
      <w:r w:rsidRPr="23BA00F2">
        <w:t xml:space="preserve">esmu informēts(-a) par </w:t>
      </w:r>
      <w:r w:rsidRPr="23BA00F2">
        <w:rPr>
          <w:b/>
          <w:bCs/>
        </w:rPr>
        <w:t xml:space="preserve">Eiropas Parlamenta un Padomes 2018. gada 18. jūlija </w:t>
      </w:r>
      <w:r w:rsidRPr="23BA00F2">
        <w:rPr>
          <w:rFonts w:cstheme="minorBidi"/>
          <w:b/>
          <w:bCs/>
          <w:lang w:eastAsia="en-US"/>
        </w:rPr>
        <w:t xml:space="preserve">Regulas </w:t>
      </w:r>
      <w:r w:rsidRPr="23BA00F2">
        <w:rPr>
          <w:b/>
          <w:bCs/>
        </w:rPr>
        <w:t xml:space="preserve">(ES, Euratom) </w:t>
      </w:r>
      <w:r w:rsidRPr="23BA00F2">
        <w:rPr>
          <w:rFonts w:cstheme="minorBidi"/>
          <w:b/>
          <w:bCs/>
          <w:lang w:eastAsia="en-US"/>
        </w:rPr>
        <w:t> 2018/1046</w:t>
      </w:r>
      <w:r w:rsidRPr="23BA00F2">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23BA00F2">
        <w:rPr>
          <w:b/>
          <w:bCs/>
        </w:rPr>
        <w:t>Eiropas Parlamenta un Padomes 2014. gada 26. februāra Direktīvas Nr. </w:t>
      </w:r>
      <w:r w:rsidRPr="23BA00F2">
        <w:rPr>
          <w:rFonts w:cstheme="minorBidi"/>
          <w:b/>
          <w:bCs/>
          <w:lang w:eastAsia="en-US"/>
        </w:rPr>
        <w:t>2014/24/ES</w:t>
      </w:r>
      <w:r w:rsidRPr="23BA00F2">
        <w:t xml:space="preserve"> par publisko iepirkumu un ar ko atceļ Direktīvu 2004/18/EK, kā arī  jāpiemēro nacionālā publiskā iepirkumu regulējošo normatīvo aktu prasības, kas pārņemtas no Direktīvas</w:t>
      </w:r>
      <w:r w:rsidRPr="23BA00F2">
        <w:rPr>
          <w:b/>
          <w:bCs/>
        </w:rPr>
        <w:t xml:space="preserve"> Nr. </w:t>
      </w:r>
      <w:r w:rsidRPr="23BA00F2">
        <w:rPr>
          <w:rFonts w:cstheme="minorBidi"/>
          <w:b/>
          <w:bCs/>
          <w:lang w:eastAsia="en-US"/>
        </w:rPr>
        <w:t xml:space="preserve">2014/24/ES, </w:t>
      </w:r>
      <w:r w:rsidRPr="23BA00F2">
        <w:t xml:space="preserve">   </w:t>
      </w:r>
      <w:r w:rsidRPr="23BA00F2">
        <w:rPr>
          <w:rFonts w:cstheme="minorBidi"/>
          <w:b/>
          <w:bCs/>
          <w:lang w:eastAsia="en-US"/>
        </w:rPr>
        <w:t>likuma “Par interešu konflikta novēršanu valsts amatpersonu darbībā</w:t>
      </w:r>
      <w:r w:rsidRPr="23BA00F2">
        <w:rPr>
          <w:b/>
          <w:bCs/>
        </w:rPr>
        <w:t>”</w:t>
      </w:r>
      <w:r w:rsidRPr="23BA00F2">
        <w:t xml:space="preserve"> un </w:t>
      </w:r>
      <w:r w:rsidRPr="23BA00F2">
        <w:rPr>
          <w:rFonts w:cstheme="minorBidi"/>
          <w:b/>
          <w:bCs/>
          <w:lang w:eastAsia="en-US"/>
        </w:rPr>
        <w:t>Eiropas Komisijas paziņojuma Nr. C/2021/2119</w:t>
      </w:r>
      <w:r w:rsidRPr="23BA00F2">
        <w:t xml:space="preserve"> “Norādījumi par izvairīšanos no interešu konfliktiem un to pārvaldību saskaņā ar Finanšu regulu 2021/C 121/01” prasībām, un apņemos tās ievērot;</w:t>
      </w:r>
    </w:p>
    <w:p w14:paraId="153269D1" w14:textId="77777777" w:rsidR="005B4FC4" w:rsidRPr="00561697" w:rsidRDefault="005B4FC4" w:rsidP="005B4FC4">
      <w:pPr>
        <w:numPr>
          <w:ilvl w:val="0"/>
          <w:numId w:val="1"/>
        </w:numPr>
        <w:spacing w:before="120" w:after="120" w:line="254" w:lineRule="auto"/>
        <w:ind w:left="426"/>
        <w:contextualSpacing/>
        <w:jc w:val="both"/>
        <w:rPr>
          <w:rFonts w:eastAsiaTheme="minorHAnsi"/>
        </w:rPr>
      </w:pPr>
      <w:r w:rsidRPr="23BA00F2">
        <w:t>organizācijā ir izveidota iekšējās kontroles sistēma korupcijas un interešu konflikta riska novēršanai publiskas personas institūcijā atbilstoši Ministru kabineta 2017. gada 17. oktobra noteikumu Nr. 630</w:t>
      </w:r>
      <w:r w:rsidRPr="23BA00F2">
        <w:rPr>
          <w:vertAlign w:val="superscript"/>
        </w:rPr>
        <w:t xml:space="preserve"> </w:t>
      </w:r>
      <w:r w:rsidRPr="23BA00F2">
        <w:t>“Noteikumi par iekšējās kontroles sistēmas pamatprasībām korupcijas un interešu konflikta riska novēršanai publiskas personas institūcijā” prasībām, kas sevī ietver arī:</w:t>
      </w:r>
    </w:p>
    <w:p w14:paraId="4A1238A3"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813AA85" w14:textId="77777777" w:rsidR="005B4FC4" w:rsidRPr="00561697" w:rsidRDefault="005B4FC4" w:rsidP="005B4FC4">
      <w:pPr>
        <w:numPr>
          <w:ilvl w:val="0"/>
          <w:numId w:val="2"/>
        </w:numPr>
        <w:spacing w:before="120" w:after="120" w:line="254" w:lineRule="auto"/>
        <w:ind w:hanging="295"/>
        <w:contextualSpacing/>
        <w:jc w:val="both"/>
        <w:rPr>
          <w:rFonts w:eastAsia="Times New Roman"/>
        </w:rPr>
      </w:pPr>
      <w:r w:rsidRPr="00561697">
        <w:rPr>
          <w:rFonts w:ascii="Calibri" w:eastAsiaTheme="minorHAnsi" w:hAnsi="Calibri" w:cstheme="minorBidi"/>
          <w:i/>
          <w:sz w:val="22"/>
          <w:szCs w:val="22"/>
          <w:lang w:eastAsia="en-US"/>
        </w:rPr>
        <w:t xml:space="preserve"> </w:t>
      </w:r>
      <w:r w:rsidRPr="00561697">
        <w:rPr>
          <w:rFonts w:eastAsia="Times New Roman"/>
          <w:lang w:eastAsia="en-US"/>
        </w:rPr>
        <w:t>pasākumus krāpšanas un korupcijas risku novēršanai</w:t>
      </w:r>
      <w:r w:rsidRPr="00561697">
        <w:rPr>
          <w:rFonts w:eastAsia="Times New Roman"/>
        </w:rPr>
        <w:t>;</w:t>
      </w:r>
    </w:p>
    <w:p w14:paraId="658179F8"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iekšējās informācijas aprites un komunikācijas pasākumus par interešu konflikta, krāpšanas un korupcijas riska novēršanu;</w:t>
      </w:r>
    </w:p>
    <w:p w14:paraId="33310E23"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ētikas kodeksu;</w:t>
      </w:r>
    </w:p>
    <w:p w14:paraId="7BF835E5"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 xml:space="preserve">kārtību, kā darbiniekiem ir jārīkojas gadījumā, ja tie vēlas ziņot par iespējamiem pārkāpumiem (tai skaitā iespējamām </w:t>
      </w:r>
      <w:proofErr w:type="spellStart"/>
      <w:r w:rsidRPr="00561697">
        <w:rPr>
          <w:rFonts w:eastAsiaTheme="minorHAnsi"/>
        </w:rPr>
        <w:t>koruptīvām</w:t>
      </w:r>
      <w:proofErr w:type="spellEnd"/>
      <w:r w:rsidRPr="00561697">
        <w:rPr>
          <w:rFonts w:eastAsiaTheme="minorHAnsi"/>
        </w:rPr>
        <w:t xml:space="preserve"> darbībām), ietverot pasākumus, lai nodrošinātu ziņotāja anonimitāti un aizsardzību;</w:t>
      </w:r>
    </w:p>
    <w:p w14:paraId="7C388295"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pasākumus aizliegto vienošanos riska kontrolei;</w:t>
      </w:r>
    </w:p>
    <w:p w14:paraId="1EF679A7"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70A5C851" w14:textId="77777777" w:rsidR="005B4FC4" w:rsidRPr="00561697" w:rsidRDefault="005B4FC4" w:rsidP="005B4FC4">
      <w:pPr>
        <w:numPr>
          <w:ilvl w:val="0"/>
          <w:numId w:val="2"/>
        </w:numPr>
        <w:spacing w:before="120" w:after="120" w:line="254" w:lineRule="auto"/>
        <w:ind w:hanging="295"/>
        <w:contextualSpacing/>
        <w:jc w:val="both"/>
        <w:rPr>
          <w:rFonts w:eastAsiaTheme="minorHAnsi"/>
        </w:rPr>
      </w:pPr>
      <w:r w:rsidRPr="00561697">
        <w:rPr>
          <w:rFonts w:eastAsiaTheme="minorHAnsi"/>
        </w:rPr>
        <w:t>trauksmes celšanas sistēmu;</w:t>
      </w:r>
    </w:p>
    <w:p w14:paraId="2302C4A9" w14:textId="77777777" w:rsidR="005B4FC4" w:rsidRPr="00561697" w:rsidRDefault="005B4FC4" w:rsidP="005B4FC4">
      <w:pPr>
        <w:numPr>
          <w:ilvl w:val="0"/>
          <w:numId w:val="2"/>
        </w:numPr>
        <w:spacing w:before="120" w:after="120" w:line="254" w:lineRule="auto"/>
        <w:ind w:left="993" w:hanging="284"/>
        <w:contextualSpacing/>
        <w:jc w:val="both"/>
        <w:rPr>
          <w:rFonts w:eastAsiaTheme="minorHAnsi"/>
        </w:rPr>
      </w:pPr>
      <w:r w:rsidRPr="00561697">
        <w:rPr>
          <w:rFonts w:eastAsiaTheme="minorHAnsi"/>
        </w:rPr>
        <w:t>procedūru disciplināratbildības piemērošanai;</w:t>
      </w:r>
    </w:p>
    <w:p w14:paraId="3C3F5D56" w14:textId="77777777" w:rsidR="005B4FC4" w:rsidRPr="00561697" w:rsidRDefault="005B4FC4" w:rsidP="005B4FC4">
      <w:pPr>
        <w:numPr>
          <w:ilvl w:val="0"/>
          <w:numId w:val="2"/>
        </w:numPr>
        <w:spacing w:before="120" w:after="120" w:line="254" w:lineRule="auto"/>
        <w:ind w:left="993" w:hanging="284"/>
        <w:contextualSpacing/>
        <w:jc w:val="both"/>
        <w:rPr>
          <w:rFonts w:eastAsiaTheme="minorHAnsi"/>
        </w:rPr>
      </w:pPr>
      <w:r w:rsidRPr="00561697">
        <w:rPr>
          <w:rFonts w:ascii="Calibri" w:eastAsiaTheme="minorHAnsi" w:hAnsi="Calibri" w:cstheme="minorBidi"/>
          <w:i/>
          <w:sz w:val="22"/>
          <w:szCs w:val="22"/>
          <w:lang w:eastAsia="en-US"/>
        </w:rPr>
        <w:t xml:space="preserve"> </w:t>
      </w:r>
      <w:r w:rsidRPr="00561697">
        <w:rPr>
          <w:rFonts w:eastAsia="Times New Roman"/>
          <w:lang w:eastAsia="en-US"/>
        </w:rPr>
        <w:t>ziņošanas mehānismu kompetentajām iestādēm par potenciāliem administratīviem vai kriminālpārkāpumiem</w:t>
      </w:r>
      <w:r w:rsidRPr="00561697">
        <w:rPr>
          <w:rFonts w:eastAsiaTheme="minorHAnsi"/>
        </w:rPr>
        <w:t>.</w:t>
      </w:r>
    </w:p>
    <w:p w14:paraId="65EC9331" w14:textId="77777777" w:rsidR="005B4FC4" w:rsidRDefault="005B4FC4" w:rsidP="005B4FC4">
      <w:pPr>
        <w:pStyle w:val="NormalWeb"/>
        <w:spacing w:before="0" w:beforeAutospacing="0" w:after="0" w:afterAutospacing="0"/>
        <w:jc w:val="both"/>
        <w:rPr>
          <w:color w:val="FF0000"/>
        </w:rPr>
      </w:pPr>
    </w:p>
    <w:p w14:paraId="58630452" w14:textId="77777777" w:rsidR="003D2A3E" w:rsidRDefault="003D2A3E"/>
    <w:sectPr w:rsidR="003D2A3E" w:rsidSect="005B4FC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16cid:durableId="1966540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72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C4"/>
    <w:rsid w:val="003D2A3E"/>
    <w:rsid w:val="005B4FC4"/>
    <w:rsid w:val="00762E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DA27"/>
  <w15:chartTrackingRefBased/>
  <w15:docId w15:val="{5E6AA8B3-D43A-49C5-A050-E50F3BBD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C4"/>
    <w:pPr>
      <w:spacing w:after="0" w:line="240" w:lineRule="auto"/>
    </w:pPr>
    <w:rPr>
      <w:rFonts w:ascii="Times New Roman" w:eastAsiaTheme="minorEastAsia" w:hAnsi="Times New Roman" w:cs="Times New Roman"/>
      <w:kern w:val="0"/>
      <w:lang w:eastAsia="lv-LV"/>
      <w14:ligatures w14:val="none"/>
    </w:rPr>
  </w:style>
  <w:style w:type="paragraph" w:styleId="Heading1">
    <w:name w:val="heading 1"/>
    <w:basedOn w:val="Normal"/>
    <w:next w:val="Normal"/>
    <w:link w:val="Heading1Char"/>
    <w:uiPriority w:val="9"/>
    <w:qFormat/>
    <w:rsid w:val="005B4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FC4"/>
    <w:rPr>
      <w:rFonts w:eastAsiaTheme="majorEastAsia" w:cstheme="majorBidi"/>
      <w:color w:val="272727" w:themeColor="text1" w:themeTint="D8"/>
    </w:rPr>
  </w:style>
  <w:style w:type="paragraph" w:styleId="Title">
    <w:name w:val="Title"/>
    <w:basedOn w:val="Normal"/>
    <w:next w:val="Normal"/>
    <w:link w:val="TitleChar"/>
    <w:uiPriority w:val="10"/>
    <w:qFormat/>
    <w:rsid w:val="005B4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F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FC4"/>
    <w:pPr>
      <w:spacing w:before="160"/>
      <w:jc w:val="center"/>
    </w:pPr>
    <w:rPr>
      <w:i/>
      <w:iCs/>
      <w:color w:val="404040" w:themeColor="text1" w:themeTint="BF"/>
    </w:rPr>
  </w:style>
  <w:style w:type="character" w:customStyle="1" w:styleId="QuoteChar">
    <w:name w:val="Quote Char"/>
    <w:basedOn w:val="DefaultParagraphFont"/>
    <w:link w:val="Quote"/>
    <w:uiPriority w:val="29"/>
    <w:rsid w:val="005B4FC4"/>
    <w:rPr>
      <w:i/>
      <w:iCs/>
      <w:color w:val="404040" w:themeColor="text1" w:themeTint="BF"/>
    </w:rPr>
  </w:style>
  <w:style w:type="paragraph" w:styleId="ListParagraph">
    <w:name w:val="List Paragraph"/>
    <w:basedOn w:val="Normal"/>
    <w:uiPriority w:val="34"/>
    <w:qFormat/>
    <w:rsid w:val="005B4FC4"/>
    <w:pPr>
      <w:ind w:left="720"/>
      <w:contextualSpacing/>
    </w:pPr>
  </w:style>
  <w:style w:type="character" w:styleId="IntenseEmphasis">
    <w:name w:val="Intense Emphasis"/>
    <w:basedOn w:val="DefaultParagraphFont"/>
    <w:uiPriority w:val="21"/>
    <w:qFormat/>
    <w:rsid w:val="005B4FC4"/>
    <w:rPr>
      <w:i/>
      <w:iCs/>
      <w:color w:val="0F4761" w:themeColor="accent1" w:themeShade="BF"/>
    </w:rPr>
  </w:style>
  <w:style w:type="paragraph" w:styleId="IntenseQuote">
    <w:name w:val="Intense Quote"/>
    <w:basedOn w:val="Normal"/>
    <w:next w:val="Normal"/>
    <w:link w:val="IntenseQuoteChar"/>
    <w:uiPriority w:val="30"/>
    <w:qFormat/>
    <w:rsid w:val="005B4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FC4"/>
    <w:rPr>
      <w:i/>
      <w:iCs/>
      <w:color w:val="0F4761" w:themeColor="accent1" w:themeShade="BF"/>
    </w:rPr>
  </w:style>
  <w:style w:type="character" w:styleId="IntenseReference">
    <w:name w:val="Intense Reference"/>
    <w:basedOn w:val="DefaultParagraphFont"/>
    <w:uiPriority w:val="32"/>
    <w:qFormat/>
    <w:rsid w:val="005B4FC4"/>
    <w:rPr>
      <w:b/>
      <w:bCs/>
      <w:smallCaps/>
      <w:color w:val="0F4761" w:themeColor="accent1" w:themeShade="BF"/>
      <w:spacing w:val="5"/>
    </w:rPr>
  </w:style>
  <w:style w:type="paragraph" w:styleId="NormalWeb">
    <w:name w:val="Normal (Web)"/>
    <w:basedOn w:val="Normal"/>
    <w:uiPriority w:val="99"/>
    <w:unhideWhenUsed/>
    <w:rsid w:val="005B4F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40C0DE7-C028-480F-9167-F137AF4BE1A4}"/>
</file>

<file path=customXml/itemProps2.xml><?xml version="1.0" encoding="utf-8"?>
<ds:datastoreItem xmlns:ds="http://schemas.openxmlformats.org/officeDocument/2006/customXml" ds:itemID="{387DB169-140A-45E7-B11E-25D2910F08AA}"/>
</file>

<file path=customXml/itemProps3.xml><?xml version="1.0" encoding="utf-8"?>
<ds:datastoreItem xmlns:ds="http://schemas.openxmlformats.org/officeDocument/2006/customXml" ds:itemID="{5BD19388-D0A4-4A70-A8EB-D40892947DCC}"/>
</file>

<file path=docProps/app.xml><?xml version="1.0" encoding="utf-8"?>
<Properties xmlns="http://schemas.openxmlformats.org/officeDocument/2006/extended-properties" xmlns:vt="http://schemas.openxmlformats.org/officeDocument/2006/docPropsVTypes">
  <Template>Normal.dotm</Template>
  <TotalTime>1</TotalTime>
  <Pages>1</Pages>
  <Words>1755</Words>
  <Characters>1001</Characters>
  <Application>Microsoft Office Word</Application>
  <DocSecurity>0</DocSecurity>
  <Lines>8</Lines>
  <Paragraphs>5</Paragraphs>
  <ScaleCrop>false</ScaleCrop>
  <Company>CFLA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Jekaterīna Bambāne</dc:creator>
  <cp:keywords/>
  <dc:description/>
  <cp:lastModifiedBy>Jekaterīna Bambāne</cp:lastModifiedBy>
  <cp:revision>1</cp:revision>
  <dcterms:created xsi:type="dcterms:W3CDTF">2024-07-02T12:03:00Z</dcterms:created>
  <dcterms:modified xsi:type="dcterms:W3CDTF">2024-07-02T12:04:00Z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