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5951" w14:textId="77777777" w:rsidR="00E84983" w:rsidRPr="00E6653F" w:rsidRDefault="00E84983" w:rsidP="0032264F">
      <w:pPr>
        <w:jc w:val="center"/>
        <w:rPr>
          <w:rFonts w:ascii="Times New Roman" w:eastAsia="Times New Roman" w:hAnsi="Times New Roman" w:cs="Times New Roman"/>
          <w:b/>
          <w:bCs/>
          <w:sz w:val="24"/>
          <w:szCs w:val="24"/>
          <w:lang w:val="en-US"/>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0E8FF252" w:rsidR="0001751C" w:rsidRPr="001F6A34" w:rsidRDefault="000268CB" w:rsidP="0032264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4.1.1.1</w:t>
      </w:r>
      <w:r w:rsidR="655DEAB1" w:rsidRPr="001F6A34">
        <w:rPr>
          <w:rFonts w:ascii="Times New Roman" w:eastAsia="Times New Roman" w:hAnsi="Times New Roman" w:cs="Times New Roman"/>
          <w:b/>
          <w:bCs/>
          <w:sz w:val="28"/>
          <w:szCs w:val="28"/>
        </w:rPr>
        <w:t>. pasākum</w:t>
      </w:r>
      <w:r w:rsidR="3180AC59" w:rsidRPr="001F6A34">
        <w:rPr>
          <w:rFonts w:ascii="Times New Roman" w:eastAsia="Times New Roman" w:hAnsi="Times New Roman" w:cs="Times New Roman"/>
          <w:b/>
          <w:bCs/>
          <w:sz w:val="28"/>
          <w:szCs w:val="28"/>
        </w:rPr>
        <w:t xml:space="preserve">u </w:t>
      </w:r>
      <w:r w:rsidR="655DEAB1" w:rsidRPr="001F6A34">
        <w:rPr>
          <w:rFonts w:ascii="Times New Roman" w:eastAsia="Times New Roman" w:hAnsi="Times New Roman" w:cs="Times New Roman"/>
          <w:b/>
          <w:bCs/>
          <w:sz w:val="28"/>
          <w:szCs w:val="28"/>
        </w:rPr>
        <w:t>“</w:t>
      </w:r>
      <w:r w:rsidRPr="000268CB">
        <w:rPr>
          <w:rFonts w:ascii="Times New Roman" w:eastAsia="Times New Roman" w:hAnsi="Times New Roman" w:cs="Times New Roman"/>
          <w:b/>
          <w:bCs/>
          <w:sz w:val="28"/>
          <w:szCs w:val="28"/>
        </w:rPr>
        <w:t>Ārstniecības iestāžu infrastruktūras attīstība</w:t>
      </w:r>
      <w:r w:rsidR="655DEAB1" w:rsidRPr="001F6A34">
        <w:rPr>
          <w:rFonts w:ascii="Times New Roman" w:eastAsia="Times New Roman" w:hAnsi="Times New Roman" w:cs="Times New Roman"/>
          <w:b/>
          <w:bCs/>
          <w:sz w:val="28"/>
          <w:szCs w:val="28"/>
        </w:rPr>
        <w:t xml:space="preserve">” </w:t>
      </w:r>
      <w:r w:rsidR="00B611DF">
        <w:rPr>
          <w:rFonts w:ascii="Times New Roman" w:eastAsia="Times New Roman" w:hAnsi="Times New Roman" w:cs="Times New Roman"/>
          <w:b/>
          <w:bCs/>
          <w:sz w:val="28"/>
          <w:szCs w:val="28"/>
        </w:rPr>
        <w:t>otro</w:t>
      </w:r>
      <w:r w:rsidR="00336E7A">
        <w:rPr>
          <w:rFonts w:ascii="Times New Roman" w:eastAsia="Times New Roman" w:hAnsi="Times New Roman" w:cs="Times New Roman"/>
          <w:b/>
          <w:bCs/>
          <w:sz w:val="28"/>
          <w:szCs w:val="28"/>
        </w:rPr>
        <w:t xml:space="preserve"> kārtu</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1F6A34" w:rsidRDefault="0032264F" w:rsidP="00E84983">
      <w:pPr>
        <w:spacing w:after="0" w:line="264" w:lineRule="auto"/>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60CBE287" w14:textId="77777777" w:rsidR="0032264F" w:rsidRPr="001F6A34"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Aģentūra</w:t>
      </w:r>
      <w:r w:rsidRPr="001F6A34">
        <w:rPr>
          <w:rFonts w:ascii="Times New Roman" w:eastAsia="Times New Roman" w:hAnsi="Times New Roman" w:cs="Times New Roman"/>
          <w:sz w:val="24"/>
          <w:szCs w:val="24"/>
        </w:rPr>
        <w:t xml:space="preserve"> – Centrālā finanšu un līgumu aģentūra</w:t>
      </w:r>
    </w:p>
    <w:p w14:paraId="08BE3554" w14:textId="41BA6252" w:rsidR="0032264F" w:rsidRPr="00391551" w:rsidRDefault="0032264F" w:rsidP="00E84983">
      <w:pPr>
        <w:spacing w:after="0" w:line="264" w:lineRule="auto"/>
        <w:jc w:val="both"/>
        <w:rPr>
          <w:rStyle w:val="Hyperlink"/>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Atlases nolikums</w:t>
      </w:r>
      <w:r w:rsidRPr="001F6A34">
        <w:rPr>
          <w:rFonts w:ascii="Times New Roman" w:eastAsia="Times New Roman" w:hAnsi="Times New Roman" w:cs="Times New Roman"/>
          <w:sz w:val="24"/>
          <w:szCs w:val="24"/>
        </w:rPr>
        <w:t xml:space="preserve"> –</w:t>
      </w:r>
      <w:r w:rsidR="00023788">
        <w:rPr>
          <w:rFonts w:ascii="Times New Roman" w:eastAsia="Times New Roman" w:hAnsi="Times New Roman" w:cs="Times New Roman"/>
          <w:sz w:val="24"/>
          <w:szCs w:val="24"/>
        </w:rPr>
        <w:t xml:space="preserve"> </w:t>
      </w:r>
      <w:r w:rsidR="00391551">
        <w:rPr>
          <w:rFonts w:ascii="Times New Roman" w:eastAsia="Times New Roman" w:hAnsi="Times New Roman" w:cs="Times New Roman"/>
          <w:sz w:val="24"/>
          <w:szCs w:val="24"/>
        </w:rPr>
        <w:fldChar w:fldCharType="begin"/>
      </w:r>
      <w:r w:rsidR="00391551">
        <w:rPr>
          <w:rFonts w:ascii="Times New Roman" w:eastAsia="Times New Roman" w:hAnsi="Times New Roman" w:cs="Times New Roman"/>
          <w:sz w:val="24"/>
          <w:szCs w:val="24"/>
        </w:rPr>
        <w:instrText>HYPERLINK "https://www.cfla.gov.lv/lv/media/15411/download?attachment"</w:instrText>
      </w:r>
      <w:r w:rsidR="00391551">
        <w:rPr>
          <w:rFonts w:ascii="Times New Roman" w:eastAsia="Times New Roman" w:hAnsi="Times New Roman" w:cs="Times New Roman"/>
          <w:sz w:val="24"/>
          <w:szCs w:val="24"/>
        </w:rPr>
      </w:r>
      <w:r w:rsidR="00391551">
        <w:rPr>
          <w:rFonts w:ascii="Times New Roman" w:eastAsia="Times New Roman" w:hAnsi="Times New Roman" w:cs="Times New Roman"/>
          <w:sz w:val="24"/>
          <w:szCs w:val="24"/>
        </w:rPr>
        <w:fldChar w:fldCharType="separate"/>
      </w:r>
      <w:r w:rsidR="00253A32" w:rsidRPr="00391551">
        <w:rPr>
          <w:rStyle w:val="Hyperlink"/>
          <w:rFonts w:ascii="Times New Roman" w:eastAsia="Times New Roman" w:hAnsi="Times New Roman" w:cs="Times New Roman"/>
          <w:sz w:val="24"/>
          <w:szCs w:val="24"/>
        </w:rPr>
        <w:t xml:space="preserve">Eiropas Savienības kohēzijas politikas programmas 2021.–2027.gadam 4.1.1. specifiskā atbalsta mērķa </w:t>
      </w:r>
      <w:r w:rsidR="00CA78EC" w:rsidRPr="00CA78EC">
        <w:rPr>
          <w:rStyle w:val="Hyperlink"/>
          <w:rFonts w:ascii="Times New Roman" w:eastAsia="Times New Roman" w:hAnsi="Times New Roman" w:cs="Times New Roman"/>
          <w:sz w:val="24"/>
          <w:szCs w:val="24"/>
        </w:rPr>
        <w:t>"</w:t>
      </w:r>
      <w:r w:rsidR="00253A32" w:rsidRPr="00391551">
        <w:rPr>
          <w:rStyle w:val="Hyperlink"/>
          <w:rFonts w:ascii="Times New Roman" w:eastAsia="Times New Roman" w:hAnsi="Times New Roman" w:cs="Times New Roman"/>
          <w:sz w:val="24"/>
          <w:szCs w:val="24"/>
        </w:rPr>
        <w:t>Nodrošināt vienlīdzīgu piekļuvi veselības aprūpei un stiprināt veselības sistēmu, tostarp primārās veselības aprūpes noturību</w:t>
      </w:r>
      <w:r w:rsidR="00CA78EC" w:rsidRPr="00CA78EC">
        <w:rPr>
          <w:rStyle w:val="Hyperlink"/>
          <w:rFonts w:ascii="Times New Roman" w:eastAsia="Times New Roman" w:hAnsi="Times New Roman" w:cs="Times New Roman"/>
          <w:sz w:val="24"/>
          <w:szCs w:val="24"/>
        </w:rPr>
        <w:t>"</w:t>
      </w:r>
      <w:r w:rsidR="00253A32" w:rsidRPr="00391551">
        <w:rPr>
          <w:rStyle w:val="Hyperlink"/>
          <w:rFonts w:ascii="Times New Roman" w:eastAsia="Times New Roman" w:hAnsi="Times New Roman" w:cs="Times New Roman"/>
          <w:sz w:val="24"/>
          <w:szCs w:val="24"/>
        </w:rPr>
        <w:t xml:space="preserve"> 4.1.1.1. pasākuma </w:t>
      </w:r>
      <w:r w:rsidR="00CA78EC" w:rsidRPr="00CA78EC">
        <w:rPr>
          <w:rStyle w:val="Hyperlink"/>
          <w:rFonts w:ascii="Times New Roman" w:eastAsia="Times New Roman" w:hAnsi="Times New Roman" w:cs="Times New Roman"/>
          <w:sz w:val="24"/>
          <w:szCs w:val="24"/>
        </w:rPr>
        <w:t>"</w:t>
      </w:r>
      <w:r w:rsidR="00253A32" w:rsidRPr="00391551">
        <w:rPr>
          <w:rStyle w:val="Hyperlink"/>
          <w:rFonts w:ascii="Times New Roman" w:eastAsia="Times New Roman" w:hAnsi="Times New Roman" w:cs="Times New Roman"/>
          <w:sz w:val="24"/>
          <w:szCs w:val="24"/>
        </w:rPr>
        <w:t>Ārstniecības iestāžu infrastruktūras attīstība</w:t>
      </w:r>
      <w:r w:rsidR="00CA78EC" w:rsidRPr="00CA78EC">
        <w:rPr>
          <w:rStyle w:val="Hyperlink"/>
          <w:rFonts w:ascii="Times New Roman" w:eastAsia="Times New Roman" w:hAnsi="Times New Roman" w:cs="Times New Roman"/>
          <w:sz w:val="24"/>
          <w:szCs w:val="24"/>
        </w:rPr>
        <w:t>"</w:t>
      </w:r>
      <w:r w:rsidR="00253A32" w:rsidRPr="00391551">
        <w:rPr>
          <w:rStyle w:val="Hyperlink"/>
          <w:rFonts w:ascii="Times New Roman" w:eastAsia="Times New Roman" w:hAnsi="Times New Roman" w:cs="Times New Roman"/>
          <w:sz w:val="24"/>
          <w:szCs w:val="24"/>
        </w:rPr>
        <w:t xml:space="preserve"> (turpmāk –pasākums) </w:t>
      </w:r>
      <w:r w:rsidR="00023788" w:rsidRPr="00391551">
        <w:rPr>
          <w:rStyle w:val="Hyperlink"/>
          <w:rFonts w:ascii="Times New Roman" w:eastAsia="Times New Roman" w:hAnsi="Times New Roman" w:cs="Times New Roman"/>
          <w:sz w:val="24"/>
          <w:szCs w:val="24"/>
        </w:rPr>
        <w:t>otrās</w:t>
      </w:r>
      <w:r w:rsidR="00253A32" w:rsidRPr="00391551">
        <w:rPr>
          <w:rStyle w:val="Hyperlink"/>
          <w:rFonts w:ascii="Times New Roman" w:eastAsia="Times New Roman" w:hAnsi="Times New Roman" w:cs="Times New Roman"/>
          <w:sz w:val="24"/>
          <w:szCs w:val="24"/>
        </w:rPr>
        <w:t xml:space="preserve"> kārtas projektu iesniegumu atlases nolikums</w:t>
      </w:r>
    </w:p>
    <w:p w14:paraId="01552605" w14:textId="1A62BA51" w:rsidR="00671720" w:rsidRDefault="00391551" w:rsidP="00E84983">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00671720" w:rsidRPr="00671720">
        <w:rPr>
          <w:rFonts w:ascii="Times New Roman" w:eastAsia="Times New Roman" w:hAnsi="Times New Roman" w:cs="Times New Roman"/>
          <w:b/>
          <w:bCs/>
          <w:sz w:val="24"/>
          <w:szCs w:val="24"/>
        </w:rPr>
        <w:t>ES</w:t>
      </w:r>
      <w:r w:rsidR="00671720">
        <w:rPr>
          <w:rFonts w:ascii="Times New Roman" w:eastAsia="Times New Roman" w:hAnsi="Times New Roman" w:cs="Times New Roman"/>
          <w:sz w:val="24"/>
          <w:szCs w:val="24"/>
        </w:rPr>
        <w:t xml:space="preserve"> – Eiropas </w:t>
      </w:r>
      <w:r w:rsidR="002377E0">
        <w:rPr>
          <w:rFonts w:ascii="Times New Roman" w:eastAsia="Times New Roman" w:hAnsi="Times New Roman" w:cs="Times New Roman"/>
          <w:sz w:val="24"/>
          <w:szCs w:val="24"/>
        </w:rPr>
        <w:t>S</w:t>
      </w:r>
      <w:r w:rsidR="00671720">
        <w:rPr>
          <w:rFonts w:ascii="Times New Roman" w:eastAsia="Times New Roman" w:hAnsi="Times New Roman" w:cs="Times New Roman"/>
          <w:sz w:val="24"/>
          <w:szCs w:val="24"/>
        </w:rPr>
        <w:t xml:space="preserve">avienība </w:t>
      </w:r>
    </w:p>
    <w:p w14:paraId="482A41CE" w14:textId="4F9D77E8" w:rsidR="003D675C" w:rsidRDefault="003D675C" w:rsidP="00E84983">
      <w:pPr>
        <w:spacing w:after="0" w:line="264" w:lineRule="auto"/>
        <w:jc w:val="both"/>
        <w:rPr>
          <w:rFonts w:ascii="Times New Roman" w:eastAsia="Times New Roman" w:hAnsi="Times New Roman" w:cs="Times New Roman"/>
          <w:sz w:val="24"/>
          <w:szCs w:val="24"/>
        </w:rPr>
      </w:pPr>
      <w:r w:rsidRPr="003D675C">
        <w:rPr>
          <w:rFonts w:ascii="Times New Roman" w:eastAsia="Times New Roman" w:hAnsi="Times New Roman" w:cs="Times New Roman"/>
          <w:b/>
          <w:bCs/>
          <w:sz w:val="24"/>
          <w:szCs w:val="24"/>
        </w:rPr>
        <w:t>GNU</w:t>
      </w:r>
      <w:r>
        <w:rPr>
          <w:rFonts w:ascii="Times New Roman" w:eastAsia="Times New Roman" w:hAnsi="Times New Roman" w:cs="Times New Roman"/>
          <w:sz w:val="24"/>
          <w:szCs w:val="24"/>
        </w:rPr>
        <w:t xml:space="preserve"> – grūtībās nonācis uzņēmums</w:t>
      </w:r>
    </w:p>
    <w:p w14:paraId="4FA720E3" w14:textId="0291FFC5" w:rsidR="00655A32" w:rsidRPr="001F6A34" w:rsidRDefault="00655A32" w:rsidP="00E84983">
      <w:pPr>
        <w:spacing w:after="0" w:line="264" w:lineRule="auto"/>
        <w:jc w:val="both"/>
        <w:rPr>
          <w:rFonts w:ascii="Times New Roman" w:hAnsi="Times New Roman" w:cs="Times New Roman"/>
          <w:sz w:val="24"/>
          <w:szCs w:val="24"/>
        </w:rPr>
      </w:pPr>
      <w:r w:rsidRPr="00655A32">
        <w:rPr>
          <w:rFonts w:ascii="Times New Roman" w:eastAsia="Times New Roman" w:hAnsi="Times New Roman" w:cs="Times New Roman"/>
          <w:b/>
          <w:bCs/>
          <w:sz w:val="24"/>
          <w:szCs w:val="24"/>
        </w:rPr>
        <w:t>IUB</w:t>
      </w:r>
      <w:r>
        <w:rPr>
          <w:rFonts w:ascii="Times New Roman" w:eastAsia="Times New Roman" w:hAnsi="Times New Roman" w:cs="Times New Roman"/>
          <w:sz w:val="24"/>
          <w:szCs w:val="24"/>
        </w:rPr>
        <w:t xml:space="preserve"> – Iepirkumu uzraudzības birojs</w:t>
      </w:r>
    </w:p>
    <w:p w14:paraId="04109AA8" w14:textId="3EF6506D" w:rsidR="0032264F" w:rsidRDefault="0032264F" w:rsidP="00E84983">
      <w:pPr>
        <w:spacing w:after="0" w:line="264"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MK noteikumi</w:t>
      </w:r>
      <w:r w:rsidRPr="001F6A34">
        <w:rPr>
          <w:rFonts w:ascii="Times New Roman" w:eastAsia="Times New Roman" w:hAnsi="Times New Roman" w:cs="Times New Roman"/>
          <w:sz w:val="24"/>
          <w:szCs w:val="24"/>
        </w:rPr>
        <w:t xml:space="preserve"> – </w:t>
      </w:r>
      <w:hyperlink r:id="rId11" w:history="1">
        <w:r w:rsidR="00AF09C9" w:rsidRPr="00AF0944">
          <w:rPr>
            <w:rStyle w:val="Hyperlink"/>
            <w:rFonts w:ascii="Times New Roman" w:eastAsia="Times New Roman" w:hAnsi="Times New Roman" w:cs="Times New Roman"/>
            <w:sz w:val="24"/>
            <w:szCs w:val="24"/>
          </w:rPr>
          <w:t>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otrās kārtas īstenošanas noteikumi</w:t>
        </w:r>
      </w:hyperlink>
    </w:p>
    <w:p w14:paraId="27431EDC" w14:textId="1DAA522E" w:rsidR="000C1A35" w:rsidRPr="003C1000" w:rsidRDefault="6CA776F1" w:rsidP="2BC56951">
      <w:pPr>
        <w:spacing w:after="0" w:line="264" w:lineRule="auto"/>
        <w:jc w:val="both"/>
        <w:rPr>
          <w:rFonts w:ascii="Times New Roman" w:eastAsia="Times New Roman" w:hAnsi="Times New Roman" w:cs="Times New Roman"/>
          <w:b/>
          <w:bCs/>
          <w:sz w:val="24"/>
          <w:szCs w:val="24"/>
        </w:rPr>
      </w:pPr>
      <w:r w:rsidRPr="2BC56951">
        <w:rPr>
          <w:rFonts w:ascii="Times New Roman" w:hAnsi="Times New Roman" w:cs="Times New Roman"/>
          <w:b/>
          <w:bCs/>
          <w:sz w:val="24"/>
          <w:szCs w:val="24"/>
        </w:rPr>
        <w:t xml:space="preserve">MS </w:t>
      </w:r>
      <w:r w:rsidR="6C1D59B4" w:rsidRPr="2BC56951">
        <w:rPr>
          <w:rFonts w:ascii="Times New Roman" w:hAnsi="Times New Roman" w:cs="Times New Roman"/>
          <w:b/>
          <w:bCs/>
          <w:sz w:val="24"/>
          <w:szCs w:val="24"/>
        </w:rPr>
        <w:t xml:space="preserve">Word </w:t>
      </w:r>
      <w:r w:rsidR="08CEC307" w:rsidRPr="2BC56951">
        <w:rPr>
          <w:rFonts w:ascii="Times New Roman" w:eastAsia="Times New Roman" w:hAnsi="Times New Roman" w:cs="Times New Roman"/>
          <w:sz w:val="24"/>
          <w:szCs w:val="24"/>
        </w:rPr>
        <w:t>–</w:t>
      </w:r>
      <w:r w:rsidRPr="2BC56951">
        <w:rPr>
          <w:rFonts w:ascii="Times New Roman" w:hAnsi="Times New Roman" w:cs="Times New Roman"/>
          <w:b/>
          <w:bCs/>
          <w:sz w:val="24"/>
          <w:szCs w:val="24"/>
        </w:rPr>
        <w:t xml:space="preserve"> </w:t>
      </w:r>
      <w:r w:rsidR="6C1D59B4" w:rsidRPr="2BC56951">
        <w:rPr>
          <w:rFonts w:ascii="Times New Roman" w:hAnsi="Times New Roman" w:cs="Times New Roman"/>
          <w:sz w:val="24"/>
          <w:szCs w:val="24"/>
        </w:rPr>
        <w:t>Microsoft Word</w:t>
      </w:r>
    </w:p>
    <w:p w14:paraId="00A90C7E" w14:textId="61EE7414" w:rsidR="49BA40EF" w:rsidRDefault="49BA40EF" w:rsidP="0CBE80E8">
      <w:pPr>
        <w:spacing w:after="0" w:line="264" w:lineRule="auto"/>
        <w:jc w:val="both"/>
      </w:pPr>
      <w:r w:rsidRPr="0CBE80E8">
        <w:rPr>
          <w:rFonts w:ascii="Times New Roman" w:eastAsia="Times New Roman" w:hAnsi="Times New Roman" w:cs="Times New Roman"/>
          <w:b/>
          <w:bCs/>
          <w:sz w:val="24"/>
          <w:szCs w:val="24"/>
        </w:rPr>
        <w:t>NVD</w:t>
      </w:r>
      <w:r w:rsidRPr="0CBE80E8">
        <w:rPr>
          <w:rFonts w:ascii="Times New Roman" w:eastAsia="Times New Roman" w:hAnsi="Times New Roman" w:cs="Times New Roman"/>
          <w:sz w:val="24"/>
          <w:szCs w:val="24"/>
        </w:rPr>
        <w:t xml:space="preserve"> </w:t>
      </w:r>
      <w:r w:rsidR="00963B6F">
        <w:rPr>
          <w:rFonts w:ascii="Times New Roman" w:eastAsia="Times New Roman" w:hAnsi="Times New Roman" w:cs="Times New Roman"/>
          <w:sz w:val="24"/>
          <w:szCs w:val="24"/>
        </w:rPr>
        <w:t>–</w:t>
      </w:r>
      <w:r w:rsidRPr="0CBE80E8">
        <w:rPr>
          <w:rFonts w:ascii="Times New Roman" w:eastAsia="Times New Roman" w:hAnsi="Times New Roman" w:cs="Times New Roman"/>
          <w:sz w:val="24"/>
          <w:szCs w:val="24"/>
        </w:rPr>
        <w:t xml:space="preserve"> Nacionālais veselības dienests</w:t>
      </w:r>
    </w:p>
    <w:p w14:paraId="7830D1E8" w14:textId="7FF7F3E5" w:rsidR="00F6701C" w:rsidRDefault="00F6701C" w:rsidP="00E84983">
      <w:pPr>
        <w:spacing w:after="0" w:line="264" w:lineRule="auto"/>
        <w:jc w:val="both"/>
        <w:rPr>
          <w:rFonts w:ascii="Times New Roman" w:eastAsia="Times New Roman" w:hAnsi="Times New Roman" w:cs="Times New Roman"/>
          <w:sz w:val="24"/>
          <w:szCs w:val="24"/>
        </w:rPr>
      </w:pPr>
      <w:r w:rsidRPr="00F6701C">
        <w:rPr>
          <w:rFonts w:ascii="Times New Roman" w:eastAsia="Times New Roman" w:hAnsi="Times New Roman" w:cs="Times New Roman"/>
          <w:b/>
          <w:bCs/>
          <w:sz w:val="24"/>
          <w:szCs w:val="24"/>
        </w:rPr>
        <w:t>KPVIS</w:t>
      </w:r>
      <w:r>
        <w:rPr>
          <w:rFonts w:ascii="Times New Roman" w:eastAsia="Times New Roman" w:hAnsi="Times New Roman" w:cs="Times New Roman"/>
          <w:b/>
          <w:bCs/>
          <w:sz w:val="24"/>
          <w:szCs w:val="24"/>
        </w:rPr>
        <w:t xml:space="preserve"> - </w:t>
      </w:r>
      <w:r w:rsidR="003511ED" w:rsidRPr="003511ED">
        <w:rPr>
          <w:rFonts w:ascii="Times New Roman" w:eastAsia="Times New Roman" w:hAnsi="Times New Roman" w:cs="Times New Roman"/>
          <w:sz w:val="24"/>
          <w:szCs w:val="24"/>
        </w:rPr>
        <w:t>Kohēzijas politikas fondu vadības informācijas sistēma</w:t>
      </w:r>
    </w:p>
    <w:p w14:paraId="0F4A8A54" w14:textId="44E73E32" w:rsidR="00606E40" w:rsidRPr="00583E77" w:rsidRDefault="00606E40" w:rsidP="00E84983">
      <w:pPr>
        <w:spacing w:after="0" w:line="264" w:lineRule="auto"/>
        <w:jc w:val="both"/>
        <w:rPr>
          <w:rStyle w:val="Hyperlink"/>
          <w:rFonts w:ascii="Times New Roman" w:eastAsia="Times New Roman" w:hAnsi="Times New Roman" w:cs="Times New Roman"/>
          <w:sz w:val="24"/>
          <w:szCs w:val="24"/>
        </w:rPr>
      </w:pPr>
      <w:r w:rsidRPr="00606E40">
        <w:rPr>
          <w:rFonts w:ascii="Times New Roman" w:eastAsia="Times New Roman" w:hAnsi="Times New Roman" w:cs="Times New Roman"/>
          <w:b/>
          <w:bCs/>
          <w:sz w:val="24"/>
          <w:szCs w:val="24"/>
        </w:rPr>
        <w:t>Kritēriju metodika</w:t>
      </w:r>
      <w:r>
        <w:rPr>
          <w:rFonts w:ascii="Times New Roman" w:eastAsia="Times New Roman" w:hAnsi="Times New Roman" w:cs="Times New Roman"/>
          <w:sz w:val="24"/>
          <w:szCs w:val="24"/>
        </w:rPr>
        <w:t xml:space="preserve"> </w:t>
      </w:r>
      <w:r w:rsidR="002F2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3E77">
        <w:rPr>
          <w:rFonts w:ascii="Times New Roman" w:eastAsia="Times New Roman" w:hAnsi="Times New Roman" w:cs="Times New Roman"/>
          <w:sz w:val="24"/>
          <w:szCs w:val="24"/>
        </w:rPr>
        <w:fldChar w:fldCharType="begin"/>
      </w:r>
      <w:r w:rsidR="00583E77">
        <w:rPr>
          <w:rFonts w:ascii="Times New Roman" w:eastAsia="Times New Roman" w:hAnsi="Times New Roman" w:cs="Times New Roman"/>
          <w:sz w:val="24"/>
          <w:szCs w:val="24"/>
        </w:rPr>
        <w:instrText>HYPERLINK "https://www.cfla.gov.lv/lv/media/15417/download?attachment"</w:instrText>
      </w:r>
      <w:r w:rsidR="00583E77">
        <w:rPr>
          <w:rFonts w:ascii="Times New Roman" w:eastAsia="Times New Roman" w:hAnsi="Times New Roman" w:cs="Times New Roman"/>
          <w:sz w:val="24"/>
          <w:szCs w:val="24"/>
        </w:rPr>
      </w:r>
      <w:r w:rsidR="00583E77">
        <w:rPr>
          <w:rFonts w:ascii="Times New Roman" w:eastAsia="Times New Roman" w:hAnsi="Times New Roman" w:cs="Times New Roman"/>
          <w:sz w:val="24"/>
          <w:szCs w:val="24"/>
        </w:rPr>
        <w:fldChar w:fldCharType="separate"/>
      </w:r>
      <w:r w:rsidR="002F243D" w:rsidRPr="00583E77">
        <w:rPr>
          <w:rStyle w:val="Hyperlink"/>
          <w:rFonts w:ascii="Times New Roman" w:eastAsia="Times New Roman" w:hAnsi="Times New Roman" w:cs="Times New Roman"/>
          <w:sz w:val="24"/>
          <w:szCs w:val="24"/>
        </w:rPr>
        <w:t>Projekta iesnieguma vērtēšanas kritēriju piemērošanas metodika</w:t>
      </w:r>
    </w:p>
    <w:p w14:paraId="49C951F8" w14:textId="4A9A4FFE" w:rsidR="00646EA1" w:rsidRDefault="00583E77" w:rsidP="00E84983">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00646EA1" w:rsidRPr="00963B6F">
        <w:rPr>
          <w:rFonts w:ascii="Times New Roman" w:eastAsia="Times New Roman" w:hAnsi="Times New Roman" w:cs="Times New Roman"/>
          <w:b/>
          <w:bCs/>
          <w:sz w:val="24"/>
          <w:szCs w:val="24"/>
        </w:rPr>
        <w:t>KUS</w:t>
      </w:r>
      <w:r w:rsidR="00646EA1">
        <w:rPr>
          <w:rFonts w:ascii="Times New Roman" w:eastAsia="Times New Roman" w:hAnsi="Times New Roman" w:cs="Times New Roman"/>
          <w:sz w:val="24"/>
          <w:szCs w:val="24"/>
        </w:rPr>
        <w:t xml:space="preserve"> </w:t>
      </w:r>
      <w:r w:rsidR="00963B6F">
        <w:rPr>
          <w:rFonts w:ascii="Times New Roman" w:eastAsia="Times New Roman" w:hAnsi="Times New Roman" w:cs="Times New Roman"/>
          <w:sz w:val="24"/>
          <w:szCs w:val="24"/>
        </w:rPr>
        <w:t>–</w:t>
      </w:r>
      <w:r w:rsidR="00646EA1">
        <w:rPr>
          <w:rFonts w:ascii="Times New Roman" w:eastAsia="Times New Roman" w:hAnsi="Times New Roman" w:cs="Times New Roman"/>
          <w:sz w:val="24"/>
          <w:szCs w:val="24"/>
        </w:rPr>
        <w:t xml:space="preserve"> </w:t>
      </w:r>
      <w:r w:rsidR="00D81884" w:rsidRPr="00D81884">
        <w:rPr>
          <w:rFonts w:ascii="Times New Roman" w:eastAsia="Times New Roman" w:hAnsi="Times New Roman" w:cs="Times New Roman"/>
          <w:sz w:val="24"/>
          <w:szCs w:val="24"/>
        </w:rPr>
        <w:t>klīniskā universitātes slimnīca</w:t>
      </w:r>
    </w:p>
    <w:p w14:paraId="3720C601" w14:textId="799AFC2D" w:rsidR="00690032" w:rsidRPr="00F6701C" w:rsidRDefault="00690032" w:rsidP="00E84983">
      <w:pPr>
        <w:spacing w:after="0" w:line="264" w:lineRule="auto"/>
        <w:jc w:val="both"/>
        <w:rPr>
          <w:rFonts w:ascii="Times New Roman" w:eastAsia="Times New Roman" w:hAnsi="Times New Roman" w:cs="Times New Roman"/>
          <w:b/>
          <w:bCs/>
          <w:sz w:val="24"/>
          <w:szCs w:val="24"/>
        </w:rPr>
      </w:pPr>
      <w:r w:rsidRPr="00690032">
        <w:rPr>
          <w:rFonts w:ascii="Times New Roman" w:eastAsia="Times New Roman" w:hAnsi="Times New Roman" w:cs="Times New Roman"/>
          <w:b/>
          <w:bCs/>
          <w:sz w:val="24"/>
          <w:szCs w:val="24"/>
        </w:rPr>
        <w:t>VM</w:t>
      </w:r>
      <w:r>
        <w:rPr>
          <w:rFonts w:ascii="Times New Roman" w:eastAsia="Times New Roman" w:hAnsi="Times New Roman" w:cs="Times New Roman"/>
          <w:sz w:val="24"/>
          <w:szCs w:val="24"/>
        </w:rPr>
        <w:t xml:space="preserve"> – Veselības ministrija</w:t>
      </w:r>
    </w:p>
    <w:sdt>
      <w:sdtPr>
        <w:rPr>
          <w:rFonts w:asciiTheme="minorHAnsi" w:eastAsiaTheme="minorEastAsia" w:hAnsiTheme="minorHAnsi" w:cs="Times New Roman"/>
          <w:b w:val="0"/>
          <w:sz w:val="24"/>
          <w:szCs w:val="24"/>
        </w:rPr>
        <w:id w:val="1872647678"/>
        <w:docPartObj>
          <w:docPartGallery w:val="Table of Contents"/>
          <w:docPartUnique/>
        </w:docPartObj>
      </w:sdtPr>
      <w:sdtContent>
        <w:p w14:paraId="73CAD5BD" w14:textId="77777777" w:rsidR="004014D1" w:rsidRPr="001F6A34" w:rsidRDefault="004014D1" w:rsidP="002251E3">
          <w:pPr>
            <w:pStyle w:val="TOCHeading"/>
            <w:jc w:val="left"/>
            <w:rPr>
              <w:rFonts w:eastAsia="Times New Roman" w:cs="Times New Roman"/>
              <w:b w:val="0"/>
              <w:bCs/>
              <w:color w:val="2F5496" w:themeColor="accent1" w:themeShade="BF"/>
              <w:sz w:val="24"/>
              <w:szCs w:val="24"/>
              <w:u w:val="single"/>
            </w:rPr>
          </w:pPr>
          <w:r w:rsidRPr="001F6A34">
            <w:rPr>
              <w:rFonts w:eastAsia="Times New Roman" w:cs="Times New Roman"/>
              <w:bCs/>
              <w:color w:val="2F5496" w:themeColor="accent1" w:themeShade="BF"/>
              <w:sz w:val="24"/>
              <w:szCs w:val="24"/>
              <w:u w:val="single"/>
            </w:rPr>
            <w:t>Saturs</w:t>
          </w:r>
        </w:p>
        <w:p w14:paraId="50E2F793" w14:textId="54D2A0AF" w:rsidR="000A3B3D" w:rsidRPr="000A3B3D" w:rsidRDefault="004014D1">
          <w:pPr>
            <w:pStyle w:val="TOC1"/>
            <w:tabs>
              <w:tab w:val="left" w:pos="440"/>
              <w:tab w:val="right" w:leader="dot" w:pos="15388"/>
            </w:tabs>
            <w:rPr>
              <w:rFonts w:ascii="Times New Roman" w:eastAsiaTheme="minorEastAsia" w:hAnsi="Times New Roman" w:cs="Times New Roman"/>
              <w:noProof/>
              <w:sz w:val="24"/>
              <w:szCs w:val="24"/>
              <w:lang w:eastAsia="lv-LV"/>
            </w:rPr>
          </w:pPr>
          <w:r w:rsidRPr="000A3B3D">
            <w:rPr>
              <w:rFonts w:ascii="Times New Roman" w:hAnsi="Times New Roman" w:cs="Times New Roman"/>
              <w:sz w:val="24"/>
              <w:szCs w:val="24"/>
            </w:rPr>
            <w:fldChar w:fldCharType="begin"/>
          </w:r>
          <w:r w:rsidRPr="000A3B3D">
            <w:rPr>
              <w:rFonts w:ascii="Times New Roman" w:hAnsi="Times New Roman" w:cs="Times New Roman"/>
              <w:sz w:val="24"/>
              <w:szCs w:val="24"/>
            </w:rPr>
            <w:instrText xml:space="preserve"> TOC \o "1-3" \h \z \u </w:instrText>
          </w:r>
          <w:r w:rsidRPr="000A3B3D">
            <w:rPr>
              <w:rFonts w:ascii="Times New Roman" w:hAnsi="Times New Roman" w:cs="Times New Roman"/>
              <w:sz w:val="24"/>
              <w:szCs w:val="24"/>
            </w:rPr>
            <w:fldChar w:fldCharType="separate"/>
          </w:r>
          <w:hyperlink w:anchor="_Toc127803610" w:history="1">
            <w:r w:rsidR="000A3B3D" w:rsidRPr="000A3B3D">
              <w:rPr>
                <w:rStyle w:val="Hyperlink"/>
                <w:rFonts w:ascii="Times New Roman" w:hAnsi="Times New Roman" w:cs="Times New Roman"/>
                <w:bCs/>
                <w:noProof/>
                <w:color w:val="auto"/>
                <w:sz w:val="24"/>
                <w:szCs w:val="24"/>
              </w:rPr>
              <w:t>1.</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Vispārīgi jautājumi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_Toc127803610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831CCC">
              <w:rPr>
                <w:rFonts w:ascii="Times New Roman" w:hAnsi="Times New Roman" w:cs="Times New Roman"/>
                <w:noProof/>
                <w:webHidden/>
                <w:sz w:val="24"/>
                <w:szCs w:val="24"/>
              </w:rPr>
              <w:t>2</w:t>
            </w:r>
            <w:r w:rsidR="000A3B3D" w:rsidRPr="000A3B3D">
              <w:rPr>
                <w:rFonts w:ascii="Times New Roman" w:hAnsi="Times New Roman" w:cs="Times New Roman"/>
                <w:noProof/>
                <w:webHidden/>
                <w:sz w:val="24"/>
                <w:szCs w:val="24"/>
              </w:rPr>
              <w:fldChar w:fldCharType="end"/>
            </w:r>
          </w:hyperlink>
        </w:p>
        <w:p w14:paraId="2E409A38" w14:textId="1C2D6F96" w:rsidR="000A3B3D" w:rsidRPr="000A3B3D" w:rsidRDefault="00F44501">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3" w:history="1">
            <w:r w:rsidR="000A3B3D" w:rsidRPr="000A3B3D">
              <w:rPr>
                <w:rStyle w:val="Hyperlink"/>
                <w:rFonts w:ascii="Times New Roman" w:hAnsi="Times New Roman" w:cs="Times New Roman"/>
                <w:bCs/>
                <w:noProof/>
                <w:color w:val="auto"/>
                <w:sz w:val="24"/>
                <w:szCs w:val="24"/>
              </w:rPr>
              <w:t>2.</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Īstenošanas nosacījumi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_Toc127803613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831CCC">
              <w:rPr>
                <w:rFonts w:ascii="Times New Roman" w:hAnsi="Times New Roman" w:cs="Times New Roman"/>
                <w:noProof/>
                <w:webHidden/>
                <w:sz w:val="24"/>
                <w:szCs w:val="24"/>
              </w:rPr>
              <w:t>2</w:t>
            </w:r>
            <w:r w:rsidR="000A3B3D" w:rsidRPr="000A3B3D">
              <w:rPr>
                <w:rFonts w:ascii="Times New Roman" w:hAnsi="Times New Roman" w:cs="Times New Roman"/>
                <w:noProof/>
                <w:webHidden/>
                <w:sz w:val="24"/>
                <w:szCs w:val="24"/>
              </w:rPr>
              <w:fldChar w:fldCharType="end"/>
            </w:r>
          </w:hyperlink>
        </w:p>
        <w:p w14:paraId="7F692BAF" w14:textId="43CE03BA" w:rsidR="000A3B3D" w:rsidRPr="000A3B3D" w:rsidRDefault="00F44501">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4" w:history="1">
            <w:r w:rsidR="000A3B3D" w:rsidRPr="000A3B3D">
              <w:rPr>
                <w:rStyle w:val="Hyperlink"/>
                <w:rFonts w:ascii="Times New Roman" w:hAnsi="Times New Roman" w:cs="Times New Roman"/>
                <w:bCs/>
                <w:noProof/>
                <w:color w:val="auto"/>
                <w:sz w:val="24"/>
                <w:szCs w:val="24"/>
              </w:rPr>
              <w:t>3.</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Vērtēšana un lēmumu pieņemšana</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_Toc127803614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831CCC">
              <w:rPr>
                <w:rFonts w:ascii="Times New Roman" w:hAnsi="Times New Roman" w:cs="Times New Roman"/>
                <w:noProof/>
                <w:webHidden/>
                <w:sz w:val="24"/>
                <w:szCs w:val="24"/>
              </w:rPr>
              <w:t>2</w:t>
            </w:r>
            <w:r w:rsidR="000A3B3D" w:rsidRPr="000A3B3D">
              <w:rPr>
                <w:rFonts w:ascii="Times New Roman" w:hAnsi="Times New Roman" w:cs="Times New Roman"/>
                <w:noProof/>
                <w:webHidden/>
                <w:sz w:val="24"/>
                <w:szCs w:val="24"/>
              </w:rPr>
              <w:fldChar w:fldCharType="end"/>
            </w:r>
          </w:hyperlink>
        </w:p>
        <w:p w14:paraId="00BDD483" w14:textId="4CE4D25E" w:rsidR="000A3B3D" w:rsidRPr="000A3B3D" w:rsidRDefault="00F44501">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5" w:history="1">
            <w:r w:rsidR="000A3B3D" w:rsidRPr="000A3B3D">
              <w:rPr>
                <w:rStyle w:val="Hyperlink"/>
                <w:rFonts w:ascii="Times New Roman" w:hAnsi="Times New Roman" w:cs="Times New Roman"/>
                <w:bCs/>
                <w:noProof/>
                <w:color w:val="auto"/>
                <w:sz w:val="24"/>
                <w:szCs w:val="24"/>
              </w:rPr>
              <w:t>4.</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Attiecināmās izmaksas</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_Toc127803615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831CCC">
              <w:rPr>
                <w:rFonts w:ascii="Times New Roman" w:hAnsi="Times New Roman" w:cs="Times New Roman"/>
                <w:noProof/>
                <w:webHidden/>
                <w:sz w:val="24"/>
                <w:szCs w:val="24"/>
              </w:rPr>
              <w:t>2</w:t>
            </w:r>
            <w:r w:rsidR="000A3B3D" w:rsidRPr="000A3B3D">
              <w:rPr>
                <w:rFonts w:ascii="Times New Roman" w:hAnsi="Times New Roman" w:cs="Times New Roman"/>
                <w:noProof/>
                <w:webHidden/>
                <w:sz w:val="24"/>
                <w:szCs w:val="24"/>
              </w:rPr>
              <w:fldChar w:fldCharType="end"/>
            </w:r>
          </w:hyperlink>
        </w:p>
        <w:p w14:paraId="0D8E437D" w14:textId="286F3004" w:rsidR="000A3B3D" w:rsidRPr="000A3B3D" w:rsidRDefault="00F44501">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6" w:history="1">
            <w:r w:rsidR="000A3B3D" w:rsidRPr="000A3B3D">
              <w:rPr>
                <w:rStyle w:val="Hyperlink"/>
                <w:rFonts w:ascii="Times New Roman" w:hAnsi="Times New Roman" w:cs="Times New Roman"/>
                <w:bCs/>
                <w:noProof/>
                <w:color w:val="auto"/>
                <w:sz w:val="24"/>
                <w:szCs w:val="24"/>
              </w:rPr>
              <w:t>5.</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Projekta iesnieguma aizpildīšana un pielikumi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_Toc127803616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831CCC">
              <w:rPr>
                <w:rFonts w:ascii="Times New Roman" w:hAnsi="Times New Roman" w:cs="Times New Roman"/>
                <w:noProof/>
                <w:webHidden/>
                <w:sz w:val="24"/>
                <w:szCs w:val="24"/>
              </w:rPr>
              <w:t>3</w:t>
            </w:r>
            <w:r w:rsidR="000A3B3D" w:rsidRPr="000A3B3D">
              <w:rPr>
                <w:rFonts w:ascii="Times New Roman" w:hAnsi="Times New Roman" w:cs="Times New Roman"/>
                <w:noProof/>
                <w:webHidden/>
                <w:sz w:val="24"/>
                <w:szCs w:val="24"/>
              </w:rPr>
              <w:fldChar w:fldCharType="end"/>
            </w:r>
          </w:hyperlink>
        </w:p>
        <w:p w14:paraId="25BFD819" w14:textId="3E2ACE84" w:rsidR="000A3B3D" w:rsidRPr="000A3B3D" w:rsidRDefault="00F44501">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7" w:history="1">
            <w:r w:rsidR="000A3B3D" w:rsidRPr="000A3B3D">
              <w:rPr>
                <w:rStyle w:val="Hyperlink"/>
                <w:rFonts w:ascii="Times New Roman" w:hAnsi="Times New Roman" w:cs="Times New Roman"/>
                <w:bCs/>
                <w:noProof/>
                <w:color w:val="auto"/>
                <w:sz w:val="24"/>
                <w:szCs w:val="24"/>
              </w:rPr>
              <w:t>6.</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Personāls un partneri</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_Toc127803617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831CCC">
              <w:rPr>
                <w:rFonts w:ascii="Times New Roman" w:hAnsi="Times New Roman" w:cs="Times New Roman"/>
                <w:noProof/>
                <w:webHidden/>
                <w:sz w:val="24"/>
                <w:szCs w:val="24"/>
              </w:rPr>
              <w:t>4</w:t>
            </w:r>
            <w:r w:rsidR="000A3B3D" w:rsidRPr="000A3B3D">
              <w:rPr>
                <w:rFonts w:ascii="Times New Roman" w:hAnsi="Times New Roman" w:cs="Times New Roman"/>
                <w:noProof/>
                <w:webHidden/>
                <w:sz w:val="24"/>
                <w:szCs w:val="24"/>
              </w:rPr>
              <w:fldChar w:fldCharType="end"/>
            </w:r>
          </w:hyperlink>
        </w:p>
        <w:p w14:paraId="4BD1F336" w14:textId="40D79723" w:rsidR="000A3B3D" w:rsidRPr="000A3B3D" w:rsidRDefault="00F44501">
          <w:pPr>
            <w:pStyle w:val="TOC1"/>
            <w:tabs>
              <w:tab w:val="left" w:pos="440"/>
              <w:tab w:val="right" w:leader="dot" w:pos="15388"/>
            </w:tabs>
            <w:rPr>
              <w:rFonts w:ascii="Times New Roman" w:eastAsiaTheme="minorEastAsia" w:hAnsi="Times New Roman" w:cs="Times New Roman"/>
              <w:noProof/>
              <w:sz w:val="24"/>
              <w:szCs w:val="24"/>
              <w:lang w:eastAsia="lv-LV"/>
            </w:rPr>
          </w:pPr>
          <w:hyperlink w:anchor="_Toc127803618" w:history="1">
            <w:r w:rsidR="000A3B3D" w:rsidRPr="000A3B3D">
              <w:rPr>
                <w:rStyle w:val="Hyperlink"/>
                <w:rFonts w:ascii="Times New Roman" w:hAnsi="Times New Roman" w:cs="Times New Roman"/>
                <w:bCs/>
                <w:noProof/>
                <w:color w:val="auto"/>
                <w:sz w:val="24"/>
                <w:szCs w:val="24"/>
              </w:rPr>
              <w:t>7.</w:t>
            </w:r>
            <w:r w:rsidR="000A3B3D" w:rsidRPr="000A3B3D">
              <w:rPr>
                <w:rFonts w:ascii="Times New Roman" w:eastAsiaTheme="minorEastAsia" w:hAnsi="Times New Roman" w:cs="Times New Roman"/>
                <w:noProof/>
                <w:sz w:val="24"/>
                <w:szCs w:val="24"/>
                <w:lang w:eastAsia="lv-LV"/>
              </w:rPr>
              <w:tab/>
            </w:r>
            <w:r w:rsidR="000A3B3D" w:rsidRPr="000A3B3D">
              <w:rPr>
                <w:rStyle w:val="Hyperlink"/>
                <w:rFonts w:ascii="Times New Roman" w:hAnsi="Times New Roman" w:cs="Times New Roman"/>
                <w:noProof/>
                <w:color w:val="auto"/>
                <w:sz w:val="24"/>
                <w:szCs w:val="24"/>
              </w:rPr>
              <w:t>Projekta rezultātu uzturēšana un ilgtspējas nodrošināšana</w:t>
            </w:r>
            <w:r w:rsidR="000A3B3D" w:rsidRPr="000A3B3D">
              <w:rPr>
                <w:rFonts w:ascii="Times New Roman" w:hAnsi="Times New Roman" w:cs="Times New Roman"/>
                <w:noProof/>
                <w:webHidden/>
                <w:sz w:val="24"/>
                <w:szCs w:val="24"/>
              </w:rPr>
              <w:tab/>
            </w:r>
            <w:r w:rsidR="000A3B3D" w:rsidRPr="000A3B3D">
              <w:rPr>
                <w:rFonts w:ascii="Times New Roman" w:hAnsi="Times New Roman" w:cs="Times New Roman"/>
                <w:noProof/>
                <w:webHidden/>
                <w:sz w:val="24"/>
                <w:szCs w:val="24"/>
              </w:rPr>
              <w:fldChar w:fldCharType="begin"/>
            </w:r>
            <w:r w:rsidR="000A3B3D" w:rsidRPr="000A3B3D">
              <w:rPr>
                <w:rFonts w:ascii="Times New Roman" w:hAnsi="Times New Roman" w:cs="Times New Roman"/>
                <w:noProof/>
                <w:webHidden/>
                <w:sz w:val="24"/>
                <w:szCs w:val="24"/>
              </w:rPr>
              <w:instrText xml:space="preserve"> PAGEREF _Toc127803618 \h </w:instrText>
            </w:r>
            <w:r w:rsidR="000A3B3D" w:rsidRPr="000A3B3D">
              <w:rPr>
                <w:rFonts w:ascii="Times New Roman" w:hAnsi="Times New Roman" w:cs="Times New Roman"/>
                <w:noProof/>
                <w:webHidden/>
                <w:sz w:val="24"/>
                <w:szCs w:val="24"/>
              </w:rPr>
            </w:r>
            <w:r w:rsidR="000A3B3D" w:rsidRPr="000A3B3D">
              <w:rPr>
                <w:rFonts w:ascii="Times New Roman" w:hAnsi="Times New Roman" w:cs="Times New Roman"/>
                <w:noProof/>
                <w:webHidden/>
                <w:sz w:val="24"/>
                <w:szCs w:val="24"/>
              </w:rPr>
              <w:fldChar w:fldCharType="separate"/>
            </w:r>
            <w:r w:rsidR="00831CCC">
              <w:rPr>
                <w:rFonts w:ascii="Times New Roman" w:hAnsi="Times New Roman" w:cs="Times New Roman"/>
                <w:noProof/>
                <w:webHidden/>
                <w:sz w:val="24"/>
                <w:szCs w:val="24"/>
              </w:rPr>
              <w:t>4</w:t>
            </w:r>
            <w:r w:rsidR="000A3B3D" w:rsidRPr="000A3B3D">
              <w:rPr>
                <w:rFonts w:ascii="Times New Roman" w:hAnsi="Times New Roman" w:cs="Times New Roman"/>
                <w:noProof/>
                <w:webHidden/>
                <w:sz w:val="24"/>
                <w:szCs w:val="24"/>
              </w:rPr>
              <w:fldChar w:fldCharType="end"/>
            </w:r>
          </w:hyperlink>
        </w:p>
        <w:p w14:paraId="31DCD7FE" w14:textId="506C42AF" w:rsidR="004014D1" w:rsidRPr="001F6A34" w:rsidRDefault="004014D1" w:rsidP="004014D1">
          <w:pPr>
            <w:rPr>
              <w:rFonts w:ascii="Times New Roman" w:hAnsi="Times New Roman" w:cs="Times New Roman"/>
              <w:sz w:val="24"/>
              <w:szCs w:val="24"/>
            </w:rPr>
          </w:pPr>
          <w:r w:rsidRPr="000A3B3D">
            <w:rPr>
              <w:rFonts w:ascii="Times New Roman" w:hAnsi="Times New Roman" w:cs="Times New Roman"/>
              <w:b/>
              <w:bCs/>
              <w:sz w:val="24"/>
              <w:szCs w:val="24"/>
            </w:rPr>
            <w:fldChar w:fldCharType="end"/>
          </w:r>
        </w:p>
      </w:sdtContent>
    </w:sdt>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5637"/>
        <w:gridCol w:w="8774"/>
      </w:tblGrid>
      <w:tr w:rsidR="00640E97" w:rsidRPr="001F6A34" w14:paraId="77F4DDC2" w14:textId="77777777" w:rsidTr="0CBE80E8">
        <w:tc>
          <w:tcPr>
            <w:tcW w:w="317" w:type="pct"/>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1F6A34" w:rsidRDefault="00640E97" w:rsidP="00601735">
            <w:pPr>
              <w:spacing w:before="60" w:after="60"/>
              <w:ind w:left="17" w:right="17"/>
              <w:jc w:val="center"/>
              <w:rPr>
                <w:rFonts w:ascii="Times New Roman" w:hAnsi="Times New Roman" w:cs="Times New Roman"/>
                <w:b/>
                <w:sz w:val="24"/>
                <w:szCs w:val="24"/>
              </w:rPr>
            </w:pPr>
            <w:r>
              <w:rPr>
                <w:rFonts w:ascii="Times New Roman" w:hAnsi="Times New Roman" w:cs="Times New Roman"/>
                <w:b/>
                <w:sz w:val="24"/>
                <w:szCs w:val="24"/>
              </w:rPr>
              <w:t>Nr.p.k.</w:t>
            </w:r>
          </w:p>
        </w:tc>
        <w:tc>
          <w:tcPr>
            <w:tcW w:w="2053" w:type="pct"/>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1F6A34" w:rsidRDefault="00640E97" w:rsidP="00601735">
            <w:pPr>
              <w:spacing w:before="60" w:after="60"/>
              <w:ind w:left="17" w:right="17"/>
              <w:jc w:val="center"/>
              <w:rPr>
                <w:rFonts w:ascii="Times New Roman" w:hAnsi="Times New Roman" w:cs="Times New Roman"/>
                <w:b/>
                <w:sz w:val="24"/>
                <w:szCs w:val="24"/>
              </w:rPr>
            </w:pPr>
            <w:r w:rsidRPr="001F6A34">
              <w:rPr>
                <w:rFonts w:ascii="Times New Roman" w:hAnsi="Times New Roman" w:cs="Times New Roman"/>
                <w:b/>
                <w:sz w:val="24"/>
                <w:szCs w:val="24"/>
              </w:rPr>
              <w:t>Jautājumi</w:t>
            </w:r>
          </w:p>
        </w:tc>
        <w:tc>
          <w:tcPr>
            <w:tcW w:w="2630" w:type="pct"/>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1F6A34" w:rsidRDefault="00640E97" w:rsidP="00601735">
            <w:pPr>
              <w:spacing w:before="60" w:after="60"/>
              <w:jc w:val="center"/>
              <w:rPr>
                <w:rFonts w:ascii="Times New Roman" w:hAnsi="Times New Roman" w:cs="Times New Roman"/>
                <w:b/>
                <w:sz w:val="24"/>
                <w:szCs w:val="24"/>
              </w:rPr>
            </w:pPr>
            <w:r w:rsidRPr="001F6A34">
              <w:rPr>
                <w:rFonts w:ascii="Times New Roman" w:hAnsi="Times New Roman" w:cs="Times New Roman"/>
                <w:b/>
                <w:sz w:val="24"/>
                <w:szCs w:val="24"/>
              </w:rPr>
              <w:t>Atbildes</w:t>
            </w:r>
          </w:p>
        </w:tc>
      </w:tr>
      <w:tr w:rsidR="00640E97" w:rsidRPr="001F6A34" w14:paraId="131B41A7" w14:textId="77777777" w:rsidTr="0CBE80E8">
        <w:tc>
          <w:tcPr>
            <w:tcW w:w="5000" w:type="pct"/>
            <w:gridSpan w:val="3"/>
            <w:tcBorders>
              <w:bottom w:val="single" w:sz="4" w:space="0" w:color="000000" w:themeColor="text1"/>
            </w:tcBorders>
            <w:shd w:val="clear" w:color="auto" w:fill="D0CECE" w:themeFill="background2" w:themeFillShade="E6"/>
          </w:tcPr>
          <w:p w14:paraId="07EC663F" w14:textId="7D4F675C" w:rsidR="00640E97" w:rsidRPr="001F6A34" w:rsidRDefault="00640E97" w:rsidP="004014D1">
            <w:pPr>
              <w:pStyle w:val="Heading1"/>
              <w:numPr>
                <w:ilvl w:val="0"/>
                <w:numId w:val="17"/>
              </w:numPr>
              <w:tabs>
                <w:tab w:val="num" w:pos="360"/>
              </w:tabs>
              <w:ind w:left="0" w:firstLine="0"/>
              <w:rPr>
                <w:rFonts w:cs="Times New Roman"/>
                <w:b w:val="0"/>
                <w:sz w:val="24"/>
                <w:szCs w:val="24"/>
              </w:rPr>
            </w:pPr>
            <w:bookmarkStart w:id="0" w:name="_Toc20918679"/>
            <w:bookmarkStart w:id="1" w:name="_Toc46148086"/>
            <w:bookmarkStart w:id="2" w:name="_Toc127803610"/>
            <w:r w:rsidRPr="001F6A34">
              <w:rPr>
                <w:rFonts w:cs="Times New Roman"/>
                <w:sz w:val="24"/>
                <w:szCs w:val="24"/>
              </w:rPr>
              <w:t>Vispārīgi jautājumi</w:t>
            </w:r>
            <w:bookmarkEnd w:id="0"/>
            <w:bookmarkEnd w:id="1"/>
            <w:bookmarkEnd w:id="2"/>
          </w:p>
        </w:tc>
      </w:tr>
      <w:tr w:rsidR="00640E97" w:rsidRPr="001F6A34" w14:paraId="7D4382B4" w14:textId="77777777" w:rsidTr="0CBE80E8">
        <w:trPr>
          <w:trHeight w:val="465"/>
        </w:trPr>
        <w:tc>
          <w:tcPr>
            <w:tcW w:w="317" w:type="pct"/>
            <w:tcBorders>
              <w:bottom w:val="single" w:sz="4" w:space="0" w:color="000000" w:themeColor="text1"/>
              <w:right w:val="single" w:sz="4" w:space="0" w:color="auto"/>
            </w:tcBorders>
          </w:tcPr>
          <w:p w14:paraId="169F7729" w14:textId="425D3624" w:rsidR="00640E97" w:rsidRDefault="00640E97">
            <w:pPr>
              <w:rPr>
                <w:rFonts w:ascii="Times New Roman" w:hAnsi="Times New Roman" w:cs="Times New Roman"/>
                <w:sz w:val="24"/>
                <w:szCs w:val="24"/>
              </w:rPr>
            </w:pPr>
            <w:r>
              <w:rPr>
                <w:rFonts w:ascii="Times New Roman" w:hAnsi="Times New Roman" w:cs="Times New Roman"/>
                <w:sz w:val="24"/>
                <w:szCs w:val="24"/>
              </w:rPr>
              <w:t>1.1.</w:t>
            </w:r>
          </w:p>
        </w:tc>
        <w:tc>
          <w:tcPr>
            <w:tcW w:w="2053" w:type="pct"/>
            <w:tcBorders>
              <w:bottom w:val="single" w:sz="4" w:space="0" w:color="000000" w:themeColor="text1"/>
              <w:right w:val="single" w:sz="4" w:space="0" w:color="auto"/>
            </w:tcBorders>
            <w:shd w:val="clear" w:color="auto" w:fill="auto"/>
          </w:tcPr>
          <w:p w14:paraId="7284523E" w14:textId="66C1BBBC" w:rsidR="00E15594" w:rsidRPr="00B53F99" w:rsidRDefault="00AE093E" w:rsidP="00B51E67">
            <w:pPr>
              <w:jc w:val="both"/>
              <w:rPr>
                <w:rFonts w:ascii="Times New Roman" w:hAnsi="Times New Roman" w:cs="Times New Roman"/>
                <w:i/>
                <w:iCs/>
                <w:sz w:val="24"/>
                <w:szCs w:val="24"/>
              </w:rPr>
            </w:pPr>
            <w:r>
              <w:rPr>
                <w:rFonts w:ascii="Times New Roman" w:hAnsi="Times New Roman" w:cs="Times New Roman"/>
                <w:sz w:val="24"/>
                <w:szCs w:val="24"/>
              </w:rPr>
              <w:t>V</w:t>
            </w:r>
            <w:r w:rsidR="00BD6555" w:rsidRPr="00BD6555">
              <w:rPr>
                <w:rFonts w:ascii="Times New Roman" w:hAnsi="Times New Roman" w:cs="Times New Roman"/>
                <w:sz w:val="24"/>
                <w:szCs w:val="24"/>
              </w:rPr>
              <w:t>ai var piedalīties projektu konkursā, ja iekšējās attīstības plāns ir izstrādes stadijā?</w:t>
            </w:r>
            <w:r w:rsidR="00655A32" w:rsidRPr="00B53F99">
              <w:rPr>
                <w:rFonts w:ascii="Times New Roman" w:hAnsi="Times New Roman" w:cs="Times New Roman"/>
                <w:sz w:val="24"/>
                <w:szCs w:val="24"/>
              </w:rPr>
              <w:t xml:space="preserve"> </w:t>
            </w:r>
          </w:p>
          <w:p w14:paraId="17B25114" w14:textId="64ED0233" w:rsidR="00B53F99" w:rsidRPr="00B53F99" w:rsidRDefault="00BD6555" w:rsidP="00655A32">
            <w:pPr>
              <w:rPr>
                <w:rFonts w:ascii="Times New Roman" w:hAnsi="Times New Roman" w:cs="Times New Roman"/>
                <w:i/>
                <w:iCs/>
                <w:sz w:val="24"/>
                <w:szCs w:val="24"/>
              </w:rPr>
            </w:pPr>
            <w:r w:rsidRPr="004E5451">
              <w:rPr>
                <w:rFonts w:ascii="Times New Roman" w:eastAsia="Times New Roman" w:hAnsi="Times New Roman" w:cs="Times New Roman"/>
                <w:i/>
                <w:iCs/>
                <w:sz w:val="24"/>
                <w:szCs w:val="24"/>
                <w:lang w:eastAsia="lv-LV"/>
              </w:rPr>
              <w:t>(seminārā)</w:t>
            </w:r>
          </w:p>
        </w:tc>
        <w:tc>
          <w:tcPr>
            <w:tcW w:w="2630" w:type="pct"/>
            <w:tcBorders>
              <w:left w:val="single" w:sz="4" w:space="0" w:color="auto"/>
              <w:bottom w:val="single" w:sz="4" w:space="0" w:color="000000" w:themeColor="text1"/>
            </w:tcBorders>
            <w:shd w:val="clear" w:color="auto" w:fill="auto"/>
          </w:tcPr>
          <w:p w14:paraId="70741629" w14:textId="77777777" w:rsidR="00DD0981" w:rsidRDefault="00AE093E" w:rsidP="00DD0981">
            <w:pPr>
              <w:spacing w:after="120" w:line="240" w:lineRule="auto"/>
              <w:jc w:val="both"/>
              <w:rPr>
                <w:rFonts w:ascii="Times New Roman" w:eastAsia="Times New Roman" w:hAnsi="Times New Roman" w:cs="Times New Roman"/>
                <w:bCs/>
                <w:color w:val="4472C4" w:themeColor="accent1"/>
                <w:spacing w:val="-4"/>
                <w:kern w:val="28"/>
                <w:sz w:val="24"/>
                <w:szCs w:val="24"/>
              </w:rPr>
            </w:pPr>
            <w:r>
              <w:rPr>
                <w:rFonts w:ascii="Times New Roman" w:eastAsia="Times New Roman" w:hAnsi="Times New Roman" w:cs="Times New Roman"/>
                <w:bCs/>
                <w:color w:val="4472C4" w:themeColor="accent1"/>
                <w:spacing w:val="-4"/>
                <w:kern w:val="28"/>
                <w:sz w:val="24"/>
                <w:szCs w:val="24"/>
              </w:rPr>
              <w:t>V</w:t>
            </w:r>
            <w:r w:rsidRPr="00AE093E">
              <w:rPr>
                <w:rFonts w:ascii="Times New Roman" w:eastAsia="Times New Roman" w:hAnsi="Times New Roman" w:cs="Times New Roman"/>
                <w:bCs/>
                <w:color w:val="4472C4" w:themeColor="accent1"/>
                <w:spacing w:val="-4"/>
                <w:kern w:val="28"/>
                <w:sz w:val="24"/>
                <w:szCs w:val="24"/>
              </w:rPr>
              <w:t>ar</w:t>
            </w:r>
            <w:r>
              <w:rPr>
                <w:rFonts w:ascii="Times New Roman" w:eastAsia="Times New Roman" w:hAnsi="Times New Roman" w:cs="Times New Roman"/>
                <w:bCs/>
                <w:color w:val="4472C4" w:themeColor="accent1"/>
                <w:spacing w:val="-4"/>
                <w:kern w:val="28"/>
                <w:sz w:val="24"/>
                <w:szCs w:val="24"/>
              </w:rPr>
              <w:t xml:space="preserve"> </w:t>
            </w:r>
            <w:r w:rsidRPr="00AE093E">
              <w:rPr>
                <w:rFonts w:ascii="Times New Roman" w:eastAsia="Times New Roman" w:hAnsi="Times New Roman" w:cs="Times New Roman"/>
                <w:bCs/>
                <w:color w:val="4472C4" w:themeColor="accent1"/>
                <w:spacing w:val="-4"/>
                <w:kern w:val="28"/>
                <w:sz w:val="24"/>
                <w:szCs w:val="24"/>
              </w:rPr>
              <w:t>atsaukties uz esošo attīstības plānu ar atsauci, ka jaunā perioda attīstības plāns ir izstrādes stadijā</w:t>
            </w:r>
            <w:r>
              <w:rPr>
                <w:rFonts w:ascii="Times New Roman" w:eastAsia="Times New Roman" w:hAnsi="Times New Roman" w:cs="Times New Roman"/>
                <w:bCs/>
                <w:color w:val="4472C4" w:themeColor="accent1"/>
                <w:spacing w:val="-4"/>
                <w:kern w:val="28"/>
                <w:sz w:val="24"/>
                <w:szCs w:val="24"/>
              </w:rPr>
              <w:t>.</w:t>
            </w:r>
          </w:p>
          <w:p w14:paraId="10393218" w14:textId="30832904" w:rsidR="00AE093E" w:rsidRPr="00DD0981" w:rsidRDefault="00AE093E" w:rsidP="00DD0981">
            <w:pPr>
              <w:spacing w:after="120" w:line="240" w:lineRule="auto"/>
              <w:jc w:val="both"/>
              <w:rPr>
                <w:rFonts w:ascii="Times New Roman" w:eastAsia="Times New Roman" w:hAnsi="Times New Roman" w:cs="Times New Roman"/>
                <w:bCs/>
                <w:color w:val="4472C4" w:themeColor="accent1"/>
                <w:sz w:val="24"/>
                <w:szCs w:val="24"/>
                <w:lang w:eastAsia="lv-LV"/>
              </w:rPr>
            </w:pPr>
            <w:r w:rsidRPr="00D1575D">
              <w:rPr>
                <w:rFonts w:ascii="Times New Roman" w:hAnsi="Times New Roman" w:cs="Times New Roman"/>
                <w:i/>
                <w:iCs/>
                <w:color w:val="4472C4" w:themeColor="accent1"/>
                <w:sz w:val="24"/>
                <w:szCs w:val="24"/>
              </w:rPr>
              <w:t xml:space="preserve">(atbilde sniegta rakstiski </w:t>
            </w:r>
            <w:r>
              <w:rPr>
                <w:rFonts w:ascii="Times New Roman" w:hAnsi="Times New Roman" w:cs="Times New Roman"/>
                <w:i/>
                <w:iCs/>
                <w:color w:val="4472C4" w:themeColor="accent1"/>
                <w:sz w:val="24"/>
                <w:szCs w:val="24"/>
              </w:rPr>
              <w:t>03</w:t>
            </w:r>
            <w:r w:rsidRPr="00D1575D">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07</w:t>
            </w:r>
            <w:r w:rsidRPr="00D1575D">
              <w:rPr>
                <w:rFonts w:ascii="Times New Roman" w:hAnsi="Times New Roman" w:cs="Times New Roman"/>
                <w:i/>
                <w:iCs/>
                <w:color w:val="4472C4" w:themeColor="accent1"/>
                <w:sz w:val="24"/>
                <w:szCs w:val="24"/>
              </w:rPr>
              <w:t>.202</w:t>
            </w:r>
            <w:r>
              <w:rPr>
                <w:rFonts w:ascii="Times New Roman" w:hAnsi="Times New Roman" w:cs="Times New Roman"/>
                <w:i/>
                <w:iCs/>
                <w:color w:val="4472C4" w:themeColor="accent1"/>
                <w:sz w:val="24"/>
                <w:szCs w:val="24"/>
              </w:rPr>
              <w:t>4</w:t>
            </w:r>
            <w:r w:rsidRPr="00D1575D">
              <w:rPr>
                <w:rFonts w:ascii="Times New Roman" w:hAnsi="Times New Roman" w:cs="Times New Roman"/>
                <w:i/>
                <w:iCs/>
                <w:color w:val="4472C4" w:themeColor="accent1"/>
                <w:sz w:val="24"/>
                <w:szCs w:val="24"/>
              </w:rPr>
              <w:t>. semināra laikā)</w:t>
            </w:r>
          </w:p>
        </w:tc>
      </w:tr>
      <w:tr w:rsidR="00640E97" w:rsidRPr="001F6A34" w14:paraId="259B0EE0" w14:textId="77777777" w:rsidTr="0CBE80E8">
        <w:trPr>
          <w:trHeight w:val="465"/>
        </w:trPr>
        <w:tc>
          <w:tcPr>
            <w:tcW w:w="317" w:type="pct"/>
            <w:tcBorders>
              <w:bottom w:val="single" w:sz="4" w:space="0" w:color="000000" w:themeColor="text1"/>
              <w:right w:val="single" w:sz="4" w:space="0" w:color="auto"/>
            </w:tcBorders>
          </w:tcPr>
          <w:p w14:paraId="75BDB5AB" w14:textId="313648A2" w:rsidR="00640E97" w:rsidRPr="001F6A34" w:rsidRDefault="00640E97">
            <w:pPr>
              <w:rPr>
                <w:rFonts w:ascii="Times New Roman" w:hAnsi="Times New Roman" w:cs="Times New Roman"/>
                <w:sz w:val="24"/>
                <w:szCs w:val="24"/>
              </w:rPr>
            </w:pPr>
            <w:r>
              <w:rPr>
                <w:rFonts w:ascii="Times New Roman" w:hAnsi="Times New Roman" w:cs="Times New Roman"/>
                <w:sz w:val="24"/>
                <w:szCs w:val="24"/>
              </w:rPr>
              <w:t>1.2.</w:t>
            </w:r>
          </w:p>
        </w:tc>
        <w:tc>
          <w:tcPr>
            <w:tcW w:w="2053" w:type="pct"/>
            <w:tcBorders>
              <w:bottom w:val="single" w:sz="4" w:space="0" w:color="000000" w:themeColor="text1"/>
              <w:right w:val="single" w:sz="4" w:space="0" w:color="auto"/>
            </w:tcBorders>
            <w:shd w:val="clear" w:color="auto" w:fill="auto"/>
          </w:tcPr>
          <w:p w14:paraId="4DDA4E41" w14:textId="7B8F007C" w:rsidR="002925CB" w:rsidRDefault="00956E80" w:rsidP="002939EC">
            <w:pPr>
              <w:jc w:val="both"/>
              <w:rPr>
                <w:rFonts w:ascii="Times New Roman" w:hAnsi="Times New Roman" w:cs="Times New Roman"/>
                <w:sz w:val="24"/>
                <w:szCs w:val="24"/>
              </w:rPr>
            </w:pPr>
            <w:r w:rsidRPr="00956E80">
              <w:rPr>
                <w:rFonts w:ascii="Times New Roman" w:hAnsi="Times New Roman" w:cs="Times New Roman"/>
                <w:sz w:val="24"/>
                <w:szCs w:val="24"/>
              </w:rPr>
              <w:t>Par zināšanu pārnesi no KUS</w:t>
            </w:r>
            <w:r>
              <w:rPr>
                <w:rFonts w:ascii="Times New Roman" w:hAnsi="Times New Roman" w:cs="Times New Roman"/>
                <w:sz w:val="24"/>
                <w:szCs w:val="24"/>
              </w:rPr>
              <w:t xml:space="preserve"> </w:t>
            </w:r>
            <w:r w:rsidR="00E16DAC" w:rsidRPr="0CBE80E8">
              <w:rPr>
                <w:rFonts w:ascii="Times New Roman" w:hAnsi="Times New Roman" w:cs="Times New Roman"/>
                <w:sz w:val="24"/>
                <w:szCs w:val="24"/>
              </w:rPr>
              <w:t>–</w:t>
            </w:r>
            <w:r w:rsidRPr="00956E80">
              <w:rPr>
                <w:rFonts w:ascii="Times New Roman" w:hAnsi="Times New Roman" w:cs="Times New Roman"/>
                <w:sz w:val="24"/>
                <w:szCs w:val="24"/>
              </w:rPr>
              <w:t xml:space="preserve"> vai jābūt kādiem formāliem līgumiem ar KUS par sadarbību? Vai KUS darbinieku attālinātās konsultācijas (formālas un neformālas), darba attiecības ar KUS darbiniekiem un KUS  darbinieku, kā lektoru uzklausīšana, semināros,,  organizē trešās puses arī ir kvalificējama, kā zināšanu pārnese, šī projekta ietvaros? </w:t>
            </w:r>
          </w:p>
          <w:p w14:paraId="174C57F3" w14:textId="4AF8EC41" w:rsidR="00956E80" w:rsidRPr="002925CB" w:rsidRDefault="00956E80" w:rsidP="002939EC">
            <w:pPr>
              <w:jc w:val="both"/>
              <w:rPr>
                <w:rFonts w:ascii="Times New Roman" w:hAnsi="Times New Roman" w:cs="Times New Roman"/>
                <w:i/>
                <w:iCs/>
                <w:sz w:val="24"/>
                <w:szCs w:val="24"/>
              </w:rPr>
            </w:pPr>
            <w:r w:rsidRPr="004E5451">
              <w:rPr>
                <w:rFonts w:ascii="Times New Roman" w:eastAsia="Times New Roman" w:hAnsi="Times New Roman" w:cs="Times New Roman"/>
                <w:i/>
                <w:iCs/>
                <w:sz w:val="24"/>
                <w:szCs w:val="24"/>
                <w:lang w:eastAsia="lv-LV"/>
              </w:rPr>
              <w:t>(seminārā)</w:t>
            </w:r>
          </w:p>
        </w:tc>
        <w:tc>
          <w:tcPr>
            <w:tcW w:w="2630" w:type="pct"/>
            <w:tcBorders>
              <w:left w:val="single" w:sz="4" w:space="0" w:color="auto"/>
              <w:bottom w:val="single" w:sz="4" w:space="0" w:color="000000" w:themeColor="text1"/>
            </w:tcBorders>
            <w:shd w:val="clear" w:color="auto" w:fill="auto"/>
          </w:tcPr>
          <w:p w14:paraId="5BB456B7" w14:textId="2D12C1D0" w:rsidR="007E289D" w:rsidRDefault="001E265B" w:rsidP="0065031D">
            <w:pPr>
              <w:jc w:val="both"/>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F</w:t>
            </w:r>
            <w:r w:rsidRPr="001E265B">
              <w:rPr>
                <w:rFonts w:ascii="Times New Roman" w:hAnsi="Times New Roman" w:cs="Times New Roman"/>
                <w:color w:val="4472C4" w:themeColor="accent1"/>
                <w:sz w:val="24"/>
                <w:szCs w:val="24"/>
              </w:rPr>
              <w:t>ormāli līgumi nav nepieciešami. Svarīgi ir projekta iesniegumā aprakstīt</w:t>
            </w:r>
            <w:r>
              <w:rPr>
                <w:rFonts w:ascii="Times New Roman" w:hAnsi="Times New Roman" w:cs="Times New Roman"/>
                <w:color w:val="4472C4" w:themeColor="accent1"/>
                <w:sz w:val="24"/>
                <w:szCs w:val="24"/>
              </w:rPr>
              <w:t>,</w:t>
            </w:r>
            <w:r w:rsidRPr="001E265B">
              <w:rPr>
                <w:rFonts w:ascii="Times New Roman" w:hAnsi="Times New Roman" w:cs="Times New Roman"/>
                <w:color w:val="4472C4" w:themeColor="accent1"/>
                <w:sz w:val="24"/>
                <w:szCs w:val="24"/>
              </w:rPr>
              <w:t xml:space="preserve"> kā tieši sadarbības principi tiek nod</w:t>
            </w:r>
            <w:r>
              <w:rPr>
                <w:rFonts w:ascii="Times New Roman" w:hAnsi="Times New Roman" w:cs="Times New Roman"/>
                <w:color w:val="4472C4" w:themeColor="accent1"/>
                <w:sz w:val="24"/>
                <w:szCs w:val="24"/>
              </w:rPr>
              <w:t>ro</w:t>
            </w:r>
            <w:r w:rsidRPr="001E265B">
              <w:rPr>
                <w:rFonts w:ascii="Times New Roman" w:hAnsi="Times New Roman" w:cs="Times New Roman"/>
                <w:color w:val="4472C4" w:themeColor="accent1"/>
                <w:sz w:val="24"/>
                <w:szCs w:val="24"/>
              </w:rPr>
              <w:t xml:space="preserve">šināti, </w:t>
            </w:r>
            <w:r w:rsidR="00A762EC">
              <w:rPr>
                <w:rFonts w:ascii="Times New Roman" w:hAnsi="Times New Roman" w:cs="Times New Roman"/>
                <w:color w:val="4472C4" w:themeColor="accent1"/>
                <w:sz w:val="24"/>
                <w:szCs w:val="24"/>
              </w:rPr>
              <w:t>t.sk.</w:t>
            </w:r>
            <w:r w:rsidRPr="001E265B">
              <w:rPr>
                <w:rFonts w:ascii="Times New Roman" w:hAnsi="Times New Roman" w:cs="Times New Roman"/>
                <w:color w:val="4472C4" w:themeColor="accent1"/>
                <w:sz w:val="24"/>
                <w:szCs w:val="24"/>
              </w:rPr>
              <w:t xml:space="preserve"> par zināšanu pārnesi</w:t>
            </w:r>
            <w:r>
              <w:rPr>
                <w:rFonts w:ascii="Times New Roman" w:hAnsi="Times New Roman" w:cs="Times New Roman"/>
                <w:color w:val="4472C4" w:themeColor="accent1"/>
                <w:sz w:val="24"/>
                <w:szCs w:val="24"/>
              </w:rPr>
              <w:t>.</w:t>
            </w:r>
          </w:p>
          <w:p w14:paraId="5968D408" w14:textId="306F92C8" w:rsidR="00B617B6" w:rsidRPr="00D1575D" w:rsidRDefault="00B617B6" w:rsidP="0065031D">
            <w:pPr>
              <w:jc w:val="both"/>
              <w:rPr>
                <w:rFonts w:ascii="Times New Roman" w:hAnsi="Times New Roman" w:cs="Times New Roman"/>
                <w:i/>
                <w:iCs/>
                <w:color w:val="4472C4" w:themeColor="accent1"/>
                <w:sz w:val="24"/>
                <w:szCs w:val="24"/>
              </w:rPr>
            </w:pPr>
            <w:r w:rsidRPr="00D1575D">
              <w:rPr>
                <w:rFonts w:ascii="Times New Roman" w:hAnsi="Times New Roman" w:cs="Times New Roman"/>
                <w:i/>
                <w:iCs/>
                <w:color w:val="4472C4" w:themeColor="accent1"/>
                <w:sz w:val="24"/>
                <w:szCs w:val="24"/>
              </w:rPr>
              <w:t xml:space="preserve">(atbilde sniegta rakstiski </w:t>
            </w:r>
            <w:r>
              <w:rPr>
                <w:rFonts w:ascii="Times New Roman" w:hAnsi="Times New Roman" w:cs="Times New Roman"/>
                <w:i/>
                <w:iCs/>
                <w:color w:val="4472C4" w:themeColor="accent1"/>
                <w:sz w:val="24"/>
                <w:szCs w:val="24"/>
              </w:rPr>
              <w:t>03</w:t>
            </w:r>
            <w:r w:rsidRPr="00D1575D">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07</w:t>
            </w:r>
            <w:r w:rsidRPr="00D1575D">
              <w:rPr>
                <w:rFonts w:ascii="Times New Roman" w:hAnsi="Times New Roman" w:cs="Times New Roman"/>
                <w:i/>
                <w:iCs/>
                <w:color w:val="4472C4" w:themeColor="accent1"/>
                <w:sz w:val="24"/>
                <w:szCs w:val="24"/>
              </w:rPr>
              <w:t>.202</w:t>
            </w:r>
            <w:r>
              <w:rPr>
                <w:rFonts w:ascii="Times New Roman" w:hAnsi="Times New Roman" w:cs="Times New Roman"/>
                <w:i/>
                <w:iCs/>
                <w:color w:val="4472C4" w:themeColor="accent1"/>
                <w:sz w:val="24"/>
                <w:szCs w:val="24"/>
              </w:rPr>
              <w:t>4</w:t>
            </w:r>
            <w:r w:rsidRPr="00D1575D">
              <w:rPr>
                <w:rFonts w:ascii="Times New Roman" w:hAnsi="Times New Roman" w:cs="Times New Roman"/>
                <w:i/>
                <w:iCs/>
                <w:color w:val="4472C4" w:themeColor="accent1"/>
                <w:sz w:val="24"/>
                <w:szCs w:val="24"/>
              </w:rPr>
              <w:t>. semināra laikā)</w:t>
            </w:r>
          </w:p>
        </w:tc>
      </w:tr>
      <w:tr w:rsidR="0038395A" w:rsidRPr="001F6A34" w14:paraId="2FEB01EF" w14:textId="77777777" w:rsidTr="0CBE80E8">
        <w:tc>
          <w:tcPr>
            <w:tcW w:w="5000" w:type="pct"/>
            <w:gridSpan w:val="3"/>
            <w:tcBorders>
              <w:bottom w:val="single" w:sz="4" w:space="0" w:color="000000" w:themeColor="text1"/>
            </w:tcBorders>
            <w:shd w:val="clear" w:color="auto" w:fill="D0CECE" w:themeFill="background2" w:themeFillShade="E6"/>
          </w:tcPr>
          <w:p w14:paraId="699262F3" w14:textId="0732996C" w:rsidR="0038395A" w:rsidRPr="00EC6217" w:rsidRDefault="0038395A" w:rsidP="0038395A">
            <w:pPr>
              <w:pStyle w:val="Heading1"/>
              <w:numPr>
                <w:ilvl w:val="0"/>
                <w:numId w:val="17"/>
              </w:numPr>
              <w:tabs>
                <w:tab w:val="num" w:pos="360"/>
              </w:tabs>
              <w:ind w:left="0" w:firstLine="0"/>
              <w:rPr>
                <w:rFonts w:cs="Times New Roman"/>
                <w:sz w:val="24"/>
                <w:szCs w:val="24"/>
              </w:rPr>
            </w:pPr>
            <w:bookmarkStart w:id="3" w:name="_Toc20918681"/>
            <w:bookmarkStart w:id="4" w:name="_Toc46148087"/>
            <w:bookmarkStart w:id="5" w:name="_Toc127803613"/>
            <w:r w:rsidRPr="00EC6217">
              <w:rPr>
                <w:rFonts w:cs="Times New Roman"/>
                <w:sz w:val="24"/>
                <w:szCs w:val="24"/>
              </w:rPr>
              <w:t>Īstenošanas nosacījumi</w:t>
            </w:r>
            <w:bookmarkEnd w:id="3"/>
            <w:bookmarkEnd w:id="4"/>
            <w:bookmarkEnd w:id="5"/>
          </w:p>
        </w:tc>
      </w:tr>
      <w:tr w:rsidR="00640E97" w:rsidRPr="001F6A34" w14:paraId="4183D992" w14:textId="77777777" w:rsidTr="0CBE80E8">
        <w:tc>
          <w:tcPr>
            <w:tcW w:w="317" w:type="pct"/>
          </w:tcPr>
          <w:p w14:paraId="222CF867" w14:textId="64EAB238" w:rsidR="00640E97" w:rsidRPr="001F6A34" w:rsidRDefault="00EB6B1B">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2.1.</w:t>
            </w:r>
          </w:p>
        </w:tc>
        <w:tc>
          <w:tcPr>
            <w:tcW w:w="2053" w:type="pct"/>
            <w:shd w:val="clear" w:color="auto" w:fill="auto"/>
          </w:tcPr>
          <w:p w14:paraId="72D028E1" w14:textId="7786ACA9" w:rsidR="005E22AB" w:rsidRPr="005E22AB" w:rsidRDefault="005E22AB" w:rsidP="00B51E67">
            <w:pPr>
              <w:jc w:val="both"/>
              <w:rPr>
                <w:rFonts w:ascii="Times New Roman" w:hAnsi="Times New Roman" w:cs="Times New Roman"/>
                <w:sz w:val="24"/>
                <w:szCs w:val="24"/>
              </w:rPr>
            </w:pPr>
            <w:r w:rsidRPr="005E22AB">
              <w:rPr>
                <w:rFonts w:ascii="Times New Roman" w:hAnsi="Times New Roman" w:cs="Times New Roman"/>
                <w:sz w:val="24"/>
                <w:szCs w:val="24"/>
              </w:rPr>
              <w:t>Vai pakalpojumus uzņemšanā var uzskatīt par sekundāriem ambulatoriem veselības aprūpes pakalpojumiem?</w:t>
            </w:r>
          </w:p>
          <w:p w14:paraId="36BD3B72" w14:textId="77777777" w:rsidR="005E22AB" w:rsidRPr="005E22AB" w:rsidRDefault="005E22AB" w:rsidP="00B51E67">
            <w:pPr>
              <w:jc w:val="both"/>
              <w:rPr>
                <w:rFonts w:ascii="Times New Roman" w:hAnsi="Times New Roman" w:cs="Times New Roman"/>
                <w:sz w:val="24"/>
                <w:szCs w:val="24"/>
              </w:rPr>
            </w:pPr>
            <w:r w:rsidRPr="005E22AB">
              <w:rPr>
                <w:rFonts w:ascii="Times New Roman" w:hAnsi="Times New Roman" w:cs="Times New Roman"/>
                <w:sz w:val="24"/>
                <w:szCs w:val="24"/>
              </w:rPr>
              <w:t>Ir pacienti, kuri netiek stacionēti nodaļā, viņi ir ambulatorie pacienti (tādi ir vairāk kā 30% no uzņemšanā apkalpoto pacientu skaita).</w:t>
            </w:r>
          </w:p>
          <w:p w14:paraId="4924C007" w14:textId="77777777" w:rsidR="00640E97" w:rsidRDefault="005E22AB" w:rsidP="00B51E67">
            <w:pPr>
              <w:jc w:val="both"/>
              <w:rPr>
                <w:rFonts w:ascii="Times New Roman" w:hAnsi="Times New Roman" w:cs="Times New Roman"/>
                <w:sz w:val="24"/>
                <w:szCs w:val="24"/>
              </w:rPr>
            </w:pPr>
            <w:r w:rsidRPr="005E22AB">
              <w:rPr>
                <w:rFonts w:ascii="Times New Roman" w:hAnsi="Times New Roman" w:cs="Times New Roman"/>
                <w:sz w:val="24"/>
                <w:szCs w:val="24"/>
              </w:rPr>
              <w:t xml:space="preserve">Par tiem NVD maksā uzņemšanas finansējumu un observācijas finansējumu. Bet šie uzņemšanas </w:t>
            </w:r>
            <w:r w:rsidRPr="005E22AB">
              <w:rPr>
                <w:rFonts w:ascii="Times New Roman" w:hAnsi="Times New Roman" w:cs="Times New Roman"/>
                <w:sz w:val="24"/>
                <w:szCs w:val="24"/>
              </w:rPr>
              <w:lastRenderedPageBreak/>
              <w:t>ambulatorie pacienti saņem diagnostiskos izmeklējumus, kuri tiek apmaksāti kā sekundārie ambulatorie pakalpojumi.</w:t>
            </w:r>
          </w:p>
          <w:p w14:paraId="65B5F8C0" w14:textId="59E89C82" w:rsidR="00712855" w:rsidRPr="0038395A" w:rsidRDefault="00712855" w:rsidP="00B51E67">
            <w:pPr>
              <w:jc w:val="both"/>
              <w:rPr>
                <w:rFonts w:ascii="Times New Roman" w:hAnsi="Times New Roman" w:cs="Times New Roman"/>
                <w:sz w:val="24"/>
                <w:szCs w:val="24"/>
              </w:rPr>
            </w:pPr>
            <w:r w:rsidRPr="004E5451">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rakstiski</w:t>
            </w:r>
            <w:r w:rsidRPr="004E5451">
              <w:rPr>
                <w:rFonts w:ascii="Times New Roman" w:eastAsia="Times New Roman" w:hAnsi="Times New Roman" w:cs="Times New Roman"/>
                <w:i/>
                <w:iCs/>
                <w:sz w:val="24"/>
                <w:szCs w:val="24"/>
                <w:lang w:eastAsia="lv-LV"/>
              </w:rPr>
              <w:t>)</w:t>
            </w:r>
          </w:p>
        </w:tc>
        <w:tc>
          <w:tcPr>
            <w:tcW w:w="2630" w:type="pct"/>
            <w:shd w:val="clear" w:color="auto" w:fill="auto"/>
          </w:tcPr>
          <w:p w14:paraId="2C3BBF0C" w14:textId="0BAE300A" w:rsidR="00831DC9" w:rsidRPr="00831DC9" w:rsidRDefault="00375721" w:rsidP="0065031D">
            <w:pPr>
              <w:jc w:val="both"/>
              <w:rPr>
                <w:rFonts w:ascii="Times New Roman" w:hAnsi="Times New Roman" w:cs="Times New Roman"/>
                <w:color w:val="4472C4" w:themeColor="accent1"/>
                <w:sz w:val="24"/>
                <w:szCs w:val="24"/>
              </w:rPr>
            </w:pPr>
            <w:r w:rsidRPr="04D30B3B">
              <w:rPr>
                <w:rFonts w:ascii="Times New Roman" w:hAnsi="Times New Roman" w:cs="Times New Roman"/>
                <w:color w:val="4471C4"/>
                <w:sz w:val="24"/>
                <w:szCs w:val="24"/>
              </w:rPr>
              <w:lastRenderedPageBreak/>
              <w:t>S</w:t>
            </w:r>
            <w:r w:rsidR="00831DC9" w:rsidRPr="04D30B3B">
              <w:rPr>
                <w:rFonts w:ascii="Times New Roman" w:hAnsi="Times New Roman" w:cs="Times New Roman"/>
                <w:color w:val="4471C4"/>
                <w:sz w:val="24"/>
                <w:szCs w:val="24"/>
              </w:rPr>
              <w:t xml:space="preserve">adarbībā ar  Veselības ministriju kā atbildīgo iestādi skaidrojam, ka 4.1.1.1. pasākuma "Ārstniecības iestāžu infrastruktūras attīstība" otrās kārtas ietvaros Finansējuma saņēmējam ir jānodrošina, ka atbalsts ne mazāk kā 30 % apmērā tiek ieguldīts sekundāro ambulatoro veselības aprūpes pakalpojumu attīstībā. Lai mazinātu administratīvo slogu, paredzēts, ka minētā prasība ir jānodrošina uz projekta apstiprināšanas un līguma par projekta īstenošanu noslēgšanas brīdi. Tātad, iesniedzot projekta iesniegumu, tajā jāiekļauj plānotā investīciju ieguldījuma apjoma sadalījums, apraksts, norādot, cik </w:t>
            </w:r>
            <w:r w:rsidR="00831DC9" w:rsidRPr="04D30B3B">
              <w:rPr>
                <w:rFonts w:ascii="Times New Roman" w:hAnsi="Times New Roman" w:cs="Times New Roman"/>
                <w:color w:val="4471C4"/>
                <w:sz w:val="24"/>
                <w:szCs w:val="24"/>
              </w:rPr>
              <w:lastRenderedPageBreak/>
              <w:t>procenti no projektā plānotajiem ieguldījumiem (finanšu izteiksmē) tiks investēti tieši ambulatorās veselības aprūpes pakalpojumu attīstībā (pašdeklarācijas princips).</w:t>
            </w:r>
          </w:p>
          <w:p w14:paraId="539EA272" w14:textId="1867D8DF" w:rsidR="00831DC9" w:rsidRPr="00831DC9" w:rsidRDefault="00831DC9" w:rsidP="0065031D">
            <w:pPr>
              <w:jc w:val="both"/>
              <w:rPr>
                <w:rFonts w:ascii="Times New Roman" w:hAnsi="Times New Roman" w:cs="Times New Roman"/>
                <w:color w:val="4472C4" w:themeColor="accent1"/>
                <w:sz w:val="24"/>
                <w:szCs w:val="24"/>
              </w:rPr>
            </w:pPr>
            <w:r w:rsidRPr="00831DC9">
              <w:rPr>
                <w:rFonts w:ascii="Times New Roman" w:hAnsi="Times New Roman" w:cs="Times New Roman"/>
                <w:color w:val="4472C4" w:themeColor="accent1"/>
                <w:sz w:val="24"/>
                <w:szCs w:val="24"/>
              </w:rPr>
              <w:t xml:space="preserve">Atbilstoši </w:t>
            </w:r>
            <w:r w:rsidR="001A76B7">
              <w:rPr>
                <w:rFonts w:ascii="Times New Roman" w:hAnsi="Times New Roman" w:cs="Times New Roman"/>
                <w:color w:val="4472C4" w:themeColor="accent1"/>
                <w:sz w:val="24"/>
                <w:szCs w:val="24"/>
              </w:rPr>
              <w:t>slimnīcas</w:t>
            </w:r>
            <w:r w:rsidRPr="00831DC9">
              <w:rPr>
                <w:rFonts w:ascii="Times New Roman" w:hAnsi="Times New Roman" w:cs="Times New Roman"/>
                <w:color w:val="4472C4" w:themeColor="accent1"/>
                <w:sz w:val="24"/>
                <w:szCs w:val="24"/>
              </w:rPr>
              <w:t xml:space="preserve"> sniegtajai informācijai, tās investīciju plānos ir veiktas izmaiņas un sākotnēji plānoto Rehabilitācijas pakalpojumi bērniem un pieaugušajiem (būvdarbi) vietā tiek plānoti Uzņemšanas nodaļas pārbūve  (būvdarbi). </w:t>
            </w:r>
          </w:p>
          <w:p w14:paraId="07CADED6" w14:textId="7338F657" w:rsidR="00831DC9" w:rsidRPr="00831DC9" w:rsidRDefault="00831DC9" w:rsidP="0065031D">
            <w:pPr>
              <w:jc w:val="both"/>
              <w:rPr>
                <w:rFonts w:ascii="Times New Roman" w:hAnsi="Times New Roman" w:cs="Times New Roman"/>
                <w:color w:val="4472C4" w:themeColor="accent1"/>
                <w:sz w:val="24"/>
                <w:szCs w:val="24"/>
              </w:rPr>
            </w:pPr>
            <w:r w:rsidRPr="00831DC9">
              <w:rPr>
                <w:rFonts w:ascii="Times New Roman" w:hAnsi="Times New Roman" w:cs="Times New Roman"/>
                <w:color w:val="4472C4" w:themeColor="accent1"/>
                <w:sz w:val="24"/>
                <w:szCs w:val="24"/>
              </w:rPr>
              <w:t>Vēršam uzmanību, ka Uzņemšanas nodaļas pakalpojumi tiek sniegti stacionāro pakalpojumu līguma ar Nacionālo veselības dienestu ietvaros, bet faktiski Uzņemšanas nodaļā tiek sniegti arī ambulatorie pakalpojumi (pacients netiek ievietots stacionārā). Tādējādi</w:t>
            </w:r>
            <w:r w:rsidR="003E5BCE">
              <w:rPr>
                <w:rFonts w:ascii="Times New Roman" w:hAnsi="Times New Roman" w:cs="Times New Roman"/>
                <w:color w:val="4472C4" w:themeColor="accent1"/>
                <w:sz w:val="24"/>
                <w:szCs w:val="24"/>
              </w:rPr>
              <w:t xml:space="preserve"> aicinām </w:t>
            </w:r>
            <w:r w:rsidRPr="00831DC9">
              <w:rPr>
                <w:rFonts w:ascii="Times New Roman" w:hAnsi="Times New Roman" w:cs="Times New Roman"/>
                <w:color w:val="4472C4" w:themeColor="accent1"/>
                <w:sz w:val="24"/>
                <w:szCs w:val="24"/>
              </w:rPr>
              <w:t>projekta iesniegumā iekļaut aprakstu par plānotā investīciju ieguldījuma apjoma sadalījumu, balstoties uz slimnīcas statistikas datiem par to, cik liela daļa procentuāli no visiem Uzņemšanas nodaļā sniegtajiem pakalpojumiem bija ambulatorie pakalpojumi.</w:t>
            </w:r>
          </w:p>
          <w:p w14:paraId="5C9F6C5D" w14:textId="77777777" w:rsidR="00640E97" w:rsidRDefault="00831DC9" w:rsidP="0065031D">
            <w:pPr>
              <w:jc w:val="both"/>
              <w:rPr>
                <w:rFonts w:ascii="Times New Roman" w:hAnsi="Times New Roman" w:cs="Times New Roman"/>
                <w:color w:val="4472C4" w:themeColor="accent1"/>
                <w:sz w:val="24"/>
                <w:szCs w:val="24"/>
              </w:rPr>
            </w:pPr>
            <w:r w:rsidRPr="00831DC9">
              <w:rPr>
                <w:rFonts w:ascii="Times New Roman" w:hAnsi="Times New Roman" w:cs="Times New Roman"/>
                <w:color w:val="4472C4" w:themeColor="accent1"/>
                <w:sz w:val="24"/>
                <w:szCs w:val="24"/>
              </w:rPr>
              <w:t>Informējam, ka Veselības ministrija atbalsta slimnīcas plānotos Uzņemšanas nodaļas paplašināšanas būvdarbus, jo jebkuras slimnīcas Uzņemšanas nodaļa ir būtiska veselības aprūpes iestādes infrastruktūras struktūrvienība veselības aprūpes pakalpojumu sniegšanas procesā.</w:t>
            </w:r>
          </w:p>
          <w:p w14:paraId="6682C31B" w14:textId="376CC311" w:rsidR="003E5BCE" w:rsidRPr="00D1575D" w:rsidRDefault="003E5BCE" w:rsidP="0065031D">
            <w:pPr>
              <w:jc w:val="both"/>
              <w:rPr>
                <w:rFonts w:ascii="Times New Roman" w:hAnsi="Times New Roman" w:cs="Times New Roman"/>
                <w:color w:val="4472C4" w:themeColor="accent1"/>
                <w:sz w:val="24"/>
                <w:szCs w:val="24"/>
              </w:rPr>
            </w:pPr>
            <w:r w:rsidRPr="00D1575D">
              <w:rPr>
                <w:rFonts w:ascii="Times New Roman" w:hAnsi="Times New Roman" w:cs="Times New Roman"/>
                <w:i/>
                <w:iCs/>
                <w:color w:val="4472C4" w:themeColor="accent1"/>
                <w:sz w:val="24"/>
                <w:szCs w:val="24"/>
              </w:rPr>
              <w:t>(atbilde sniegta rakstiski)</w:t>
            </w:r>
          </w:p>
        </w:tc>
      </w:tr>
      <w:tr w:rsidR="0038395A" w:rsidRPr="001F6A34" w14:paraId="7DCB6047" w14:textId="77777777" w:rsidTr="0CBE80E8">
        <w:tc>
          <w:tcPr>
            <w:tcW w:w="5000" w:type="pct"/>
            <w:gridSpan w:val="3"/>
            <w:shd w:val="clear" w:color="auto" w:fill="D0CECE" w:themeFill="background2" w:themeFillShade="E6"/>
          </w:tcPr>
          <w:p w14:paraId="3A26CE76" w14:textId="113828FF" w:rsidR="0038395A" w:rsidRPr="00EC6217" w:rsidRDefault="0038395A" w:rsidP="0038395A">
            <w:pPr>
              <w:pStyle w:val="Heading1"/>
              <w:numPr>
                <w:ilvl w:val="0"/>
                <w:numId w:val="17"/>
              </w:numPr>
              <w:tabs>
                <w:tab w:val="num" w:pos="360"/>
              </w:tabs>
              <w:ind w:left="0" w:firstLine="0"/>
              <w:rPr>
                <w:rFonts w:cs="Times New Roman"/>
                <w:sz w:val="24"/>
                <w:szCs w:val="24"/>
              </w:rPr>
            </w:pPr>
            <w:bookmarkStart w:id="6" w:name="_Toc20918685"/>
            <w:bookmarkStart w:id="7" w:name="_Toc46148091"/>
            <w:bookmarkStart w:id="8" w:name="_Toc127803614"/>
            <w:r w:rsidRPr="00EC6217">
              <w:rPr>
                <w:rFonts w:cs="Times New Roman"/>
                <w:sz w:val="24"/>
                <w:szCs w:val="24"/>
              </w:rPr>
              <w:lastRenderedPageBreak/>
              <w:t>Vērtēšana</w:t>
            </w:r>
            <w:bookmarkEnd w:id="6"/>
            <w:bookmarkEnd w:id="7"/>
            <w:r w:rsidR="00841E7F" w:rsidRPr="00EC6217">
              <w:rPr>
                <w:rFonts w:cs="Times New Roman"/>
                <w:sz w:val="24"/>
                <w:szCs w:val="24"/>
              </w:rPr>
              <w:t xml:space="preserve"> un l</w:t>
            </w:r>
            <w:r w:rsidRPr="00EC6217">
              <w:rPr>
                <w:rFonts w:cs="Times New Roman"/>
                <w:sz w:val="24"/>
                <w:szCs w:val="24"/>
              </w:rPr>
              <w:t>ēmumu pieņemšana</w:t>
            </w:r>
            <w:bookmarkEnd w:id="8"/>
          </w:p>
        </w:tc>
      </w:tr>
      <w:tr w:rsidR="009731CE" w:rsidRPr="001F6A34" w14:paraId="652160A6" w14:textId="77777777" w:rsidTr="0CBE80E8">
        <w:tc>
          <w:tcPr>
            <w:tcW w:w="317" w:type="pct"/>
            <w:tcBorders>
              <w:bottom w:val="single" w:sz="4" w:space="0" w:color="000000" w:themeColor="text1"/>
            </w:tcBorders>
          </w:tcPr>
          <w:p w14:paraId="1E42403B" w14:textId="3AD994D8" w:rsidR="009731CE" w:rsidRPr="00301829" w:rsidRDefault="0068353A" w:rsidP="00301829">
            <w:pPr>
              <w:shd w:val="clear" w:color="auto" w:fill="FFFFFF"/>
              <w:spacing w:line="20" w:lineRule="atLeas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053" w:type="pct"/>
            <w:tcBorders>
              <w:bottom w:val="single" w:sz="4" w:space="0" w:color="000000" w:themeColor="text1"/>
            </w:tcBorders>
            <w:shd w:val="clear" w:color="auto" w:fill="auto"/>
          </w:tcPr>
          <w:p w14:paraId="50FFA102" w14:textId="7777777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Mums ir radies precizējošs jautājums vai pareizi nosakām GNU statusu. </w:t>
            </w:r>
          </w:p>
          <w:p w14:paraId="79D0AFC7" w14:textId="2006740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68353A">
              <w:rPr>
                <w:rFonts w:ascii="Times New Roman" w:eastAsia="Times New Roman" w:hAnsi="Times New Roman" w:cs="Times New Roman"/>
                <w:sz w:val="24"/>
                <w:szCs w:val="24"/>
                <w:lang w:eastAsia="lv-LV"/>
              </w:rPr>
              <w:t>ašvaldībai kopā ir 8 uzņēmumi (SIA), kuriem kapitāldaļas 100 % pieder pašvaldībai. Pēc kritērijiem vērtēšanas saprotu, ka jāskatās ir visi 8, t.sk. slimnīca.</w:t>
            </w:r>
          </w:p>
          <w:p w14:paraId="55F44E44" w14:textId="67E516C8"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Vebināra laikā tika norādītas vairāki kritēriji pēc kā izvērtēt vai uzņēmums un tam saistītie uzņēmumi atbilst GNU statusam vai nē</w:t>
            </w:r>
            <w:r w:rsidR="002E3B52">
              <w:rPr>
                <w:rFonts w:ascii="Times New Roman" w:eastAsia="Times New Roman" w:hAnsi="Times New Roman" w:cs="Times New Roman"/>
                <w:sz w:val="24"/>
                <w:szCs w:val="24"/>
                <w:lang w:eastAsia="lv-LV"/>
              </w:rPr>
              <w:t>, t.i.</w:t>
            </w:r>
            <w:r w:rsidR="00F262F4">
              <w:rPr>
                <w:rFonts w:ascii="Times New Roman" w:eastAsia="Times New Roman" w:hAnsi="Times New Roman" w:cs="Times New Roman"/>
                <w:sz w:val="24"/>
                <w:szCs w:val="24"/>
                <w:lang w:eastAsia="lv-LV"/>
              </w:rPr>
              <w:t>:</w:t>
            </w:r>
          </w:p>
          <w:p w14:paraId="186B72FA" w14:textId="7777777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 uzkrāto zaudējumu dēļ ir zudusi vairāk nekā puse no tās parakstītā kapitāla; </w:t>
            </w:r>
          </w:p>
          <w:p w14:paraId="6D26A65A" w14:textId="7777777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 xml:space="preserve">• uzņēmumam tiek piemērota kolektīva maksātnespējas procedūra, vai tas atbilst savas valsts tiesību aktos </w:t>
            </w:r>
            <w:r w:rsidRPr="0068353A">
              <w:rPr>
                <w:rFonts w:ascii="Times New Roman" w:eastAsia="Times New Roman" w:hAnsi="Times New Roman" w:cs="Times New Roman"/>
                <w:sz w:val="24"/>
                <w:szCs w:val="24"/>
                <w:lang w:eastAsia="lv-LV"/>
              </w:rPr>
              <w:lastRenderedPageBreak/>
              <w:t>noteiktiem kritērijiem, lai tam pēc kreditoru pieprasījuma piemērotu kolektīvu maksātnespējas procedūru;</w:t>
            </w:r>
          </w:p>
          <w:p w14:paraId="7EC8BA1C" w14:textId="7777777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 xml:space="preserve"> • uzņēmums ir saņēmis glābšanas atbalstu un vēl nav atmaksājis aizdevumu vai atsaucis garantiju vai ir saņēmis pārstrukturēšanas atbalstu un uz to joprojām attiecas pārstrukturēšanas plāns; </w:t>
            </w:r>
          </w:p>
          <w:p w14:paraId="7598C844" w14:textId="72F301D3"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Šie iepriekš 3 minētie punkti neizpildās nevienam no pašvaldības SIA, bet neskaidrība ir pie šī kritērija punkta:</w:t>
            </w:r>
          </w:p>
          <w:p w14:paraId="0147E1E7" w14:textId="7777777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b/>
                <w:bCs/>
                <w:sz w:val="24"/>
                <w:szCs w:val="24"/>
                <w:lang w:eastAsia="lv-LV"/>
              </w:rPr>
              <w:t>• attiecībā uz uzņēmumiem, kas nav MVU, pēdējos 2 gadus: </w:t>
            </w:r>
          </w:p>
          <w:p w14:paraId="3DB1FE82" w14:textId="7777777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 uzņēmuma parādsaistību un pašu kapitāla bilances vērtību attiecība ir pārsniegusi 7,5. Par šo pieliku Jums pielikumā izdruku no gada pārskata + aprēķinu vai saprotam pareizi kā pārbaudīt kritērija rādītāju.</w:t>
            </w:r>
          </w:p>
          <w:p w14:paraId="707DA5C7" w14:textId="77777777" w:rsidR="0068353A" w:rsidRPr="0068353A" w:rsidRDefault="0068353A" w:rsidP="007D7410">
            <w:pPr>
              <w:shd w:val="clear" w:color="auto" w:fill="FFFFFF"/>
              <w:spacing w:line="20" w:lineRule="atLeast"/>
              <w:jc w:val="both"/>
              <w:rPr>
                <w:rFonts w:ascii="Times New Roman" w:eastAsia="Times New Roman" w:hAnsi="Times New Roman" w:cs="Times New Roman"/>
                <w:sz w:val="24"/>
                <w:szCs w:val="24"/>
                <w:lang w:eastAsia="lv-LV"/>
              </w:rPr>
            </w:pPr>
            <w:r w:rsidRPr="0068353A">
              <w:rPr>
                <w:rFonts w:ascii="Times New Roman" w:eastAsia="Times New Roman" w:hAnsi="Times New Roman" w:cs="Times New Roman"/>
                <w:sz w:val="24"/>
                <w:szCs w:val="24"/>
                <w:lang w:eastAsia="lv-LV"/>
              </w:rPr>
              <w:t xml:space="preserve">• uzņēmuma procentu seguma attiecība, kas rēķināta pēc EBITDA, ir bijusi mazāka par 1. Par šo nav izpratnes kā aprēķināt un pārbaudīt. </w:t>
            </w:r>
          </w:p>
          <w:p w14:paraId="6EA6C703" w14:textId="0338D370" w:rsidR="00194C70" w:rsidRPr="0068353A" w:rsidRDefault="00194C70" w:rsidP="007D7410">
            <w:pPr>
              <w:shd w:val="clear" w:color="auto" w:fill="FFFFFF"/>
              <w:spacing w:line="20" w:lineRule="atLeast"/>
              <w:jc w:val="both"/>
              <w:rPr>
                <w:rFonts w:ascii="Times New Roman" w:eastAsia="Times New Roman" w:hAnsi="Times New Roman" w:cs="Times New Roman"/>
                <w:sz w:val="24"/>
                <w:szCs w:val="24"/>
                <w:lang w:eastAsia="lv-LV"/>
              </w:rPr>
            </w:pPr>
          </w:p>
        </w:tc>
        <w:tc>
          <w:tcPr>
            <w:tcW w:w="2630" w:type="pct"/>
            <w:tcBorders>
              <w:bottom w:val="single" w:sz="4" w:space="0" w:color="000000" w:themeColor="text1"/>
            </w:tcBorders>
            <w:shd w:val="clear" w:color="auto" w:fill="auto"/>
          </w:tcPr>
          <w:p w14:paraId="345A273D" w14:textId="6622BF46" w:rsidR="00460D7D" w:rsidRPr="00460D7D" w:rsidRDefault="00460D7D" w:rsidP="00A86226">
            <w:pPr>
              <w:jc w:val="both"/>
              <w:rPr>
                <w:rFonts w:ascii="Times New Roman" w:hAnsi="Times New Roman" w:cs="Times New Roman"/>
                <w:color w:val="2F5496" w:themeColor="accent1" w:themeShade="BF"/>
                <w:sz w:val="24"/>
                <w:szCs w:val="24"/>
              </w:rPr>
            </w:pPr>
            <w:r w:rsidRPr="00460D7D">
              <w:rPr>
                <w:rFonts w:ascii="Times New Roman" w:hAnsi="Times New Roman" w:cs="Times New Roman"/>
                <w:color w:val="2F5496" w:themeColor="accent1" w:themeShade="BF"/>
                <w:sz w:val="24"/>
                <w:szCs w:val="24"/>
              </w:rPr>
              <w:lastRenderedPageBreak/>
              <w:t xml:space="preserve">Esam izskatījuši Jūsu jautājumus un vēlamies informēt, ka pirmšķietami pašvaldības uzņēmumu grupai nav saskatāmas grūtībās nonākuša uzņēmuma (turpmāk – GNU) pazīmes. </w:t>
            </w:r>
          </w:p>
          <w:p w14:paraId="774662B2" w14:textId="77777777" w:rsidR="00460D7D" w:rsidRPr="00460D7D" w:rsidRDefault="00460D7D" w:rsidP="00A86226">
            <w:pPr>
              <w:jc w:val="both"/>
              <w:rPr>
                <w:rFonts w:ascii="Times New Roman" w:hAnsi="Times New Roman" w:cs="Times New Roman"/>
                <w:color w:val="2F5496" w:themeColor="accent1" w:themeShade="BF"/>
                <w:sz w:val="24"/>
                <w:szCs w:val="24"/>
              </w:rPr>
            </w:pPr>
            <w:r w:rsidRPr="00460D7D">
              <w:rPr>
                <w:rFonts w:ascii="Times New Roman" w:hAnsi="Times New Roman" w:cs="Times New Roman"/>
                <w:color w:val="2F5496" w:themeColor="accent1" w:themeShade="BF"/>
                <w:sz w:val="24"/>
                <w:szCs w:val="24"/>
              </w:rPr>
              <w:t>Attiecībā uz aprēķinu veikšanu  uzņēmuma parādsaistību un pašu kapitāla bilances vērtību attiecības aprēķināšanai - aprēķina Ilgtermiņa un Īstermiņa kreditoru summu, un izdala ar “Pašu kapitāls kopā”, līdz ar to Jūsu e-pasta pielikumā norādītais aprēķins ir atbilstošs.</w:t>
            </w:r>
          </w:p>
          <w:p w14:paraId="169CF149" w14:textId="77777777" w:rsidR="00460D7D" w:rsidRPr="00460D7D" w:rsidRDefault="00460D7D" w:rsidP="00A86226">
            <w:pPr>
              <w:jc w:val="both"/>
              <w:rPr>
                <w:rFonts w:ascii="Times New Roman" w:hAnsi="Times New Roman" w:cs="Times New Roman"/>
                <w:color w:val="2F5496" w:themeColor="accent1" w:themeShade="BF"/>
                <w:sz w:val="24"/>
                <w:szCs w:val="24"/>
              </w:rPr>
            </w:pPr>
            <w:r w:rsidRPr="00460D7D">
              <w:rPr>
                <w:rFonts w:ascii="Times New Roman" w:hAnsi="Times New Roman" w:cs="Times New Roman"/>
                <w:color w:val="2F5496" w:themeColor="accent1" w:themeShade="BF"/>
                <w:sz w:val="24"/>
                <w:szCs w:val="24"/>
              </w:rPr>
              <w:t>EBITDA tiek aprēķināta, ja uzņēmuma parādsaistību un pašu kapitāla bilances vērtību attiecība ir pārsniegusi 7,5.</w:t>
            </w:r>
          </w:p>
          <w:p w14:paraId="1DE13678" w14:textId="77777777" w:rsidR="00460D7D" w:rsidRPr="00460D7D" w:rsidRDefault="00460D7D" w:rsidP="00A86226">
            <w:pPr>
              <w:jc w:val="both"/>
              <w:rPr>
                <w:rFonts w:ascii="Times New Roman" w:hAnsi="Times New Roman" w:cs="Times New Roman"/>
                <w:color w:val="2F5496" w:themeColor="accent1" w:themeShade="BF"/>
                <w:sz w:val="24"/>
                <w:szCs w:val="24"/>
              </w:rPr>
            </w:pPr>
            <w:r w:rsidRPr="00460D7D">
              <w:rPr>
                <w:rFonts w:ascii="Times New Roman" w:hAnsi="Times New Roman" w:cs="Times New Roman"/>
                <w:color w:val="2F5496" w:themeColor="accent1" w:themeShade="BF"/>
                <w:sz w:val="24"/>
                <w:szCs w:val="24"/>
              </w:rPr>
              <w:t>EBITDA aprēķina šādi - EBITDA = Bruto peļņa/zaudējumi – Pārdošanas izmaksas – Administrācijas izmaksas + Pārējie saimnieciskās darbības ieņēmumi - Pārējās saimnieciskās darbības izmaksas + Nolietojums.).</w:t>
            </w:r>
          </w:p>
          <w:p w14:paraId="63F34EDE" w14:textId="77777777" w:rsidR="00460D7D" w:rsidRPr="00460D7D" w:rsidRDefault="00460D7D" w:rsidP="00A86226">
            <w:pPr>
              <w:jc w:val="both"/>
              <w:rPr>
                <w:rFonts w:ascii="Times New Roman" w:hAnsi="Times New Roman" w:cs="Times New Roman"/>
                <w:color w:val="2F5496" w:themeColor="accent1" w:themeShade="BF"/>
                <w:sz w:val="24"/>
                <w:szCs w:val="24"/>
              </w:rPr>
            </w:pPr>
            <w:r w:rsidRPr="00460D7D">
              <w:rPr>
                <w:rFonts w:ascii="Times New Roman" w:hAnsi="Times New Roman" w:cs="Times New Roman"/>
                <w:color w:val="2F5496" w:themeColor="accent1" w:themeShade="BF"/>
                <w:sz w:val="24"/>
                <w:szCs w:val="24"/>
              </w:rPr>
              <w:lastRenderedPageBreak/>
              <w:t>Savukārt, lai iegūtu “procentu segumu attiecību” veic aprēķinu, EBITDA dalot ar “procentu maksājumu summa”. Ja iegūtajā rezultātā procentu segumu attiecība ir &gt;1, par vismaz 1 no pēdējiem 2 gadiem, tad uzņēmumam nav GNU pazīmes.</w:t>
            </w:r>
          </w:p>
          <w:p w14:paraId="08257A1C" w14:textId="77777777" w:rsidR="00460D7D" w:rsidRPr="00460D7D" w:rsidRDefault="00460D7D" w:rsidP="00A86226">
            <w:pPr>
              <w:jc w:val="both"/>
              <w:rPr>
                <w:rFonts w:ascii="Times New Roman" w:hAnsi="Times New Roman" w:cs="Times New Roman"/>
                <w:color w:val="2F5496" w:themeColor="accent1" w:themeShade="BF"/>
                <w:sz w:val="24"/>
                <w:szCs w:val="24"/>
              </w:rPr>
            </w:pPr>
            <w:r w:rsidRPr="00460D7D">
              <w:rPr>
                <w:rFonts w:ascii="Times New Roman" w:hAnsi="Times New Roman" w:cs="Times New Roman"/>
                <w:color w:val="2F5496" w:themeColor="accent1" w:themeShade="BF"/>
                <w:sz w:val="24"/>
                <w:szCs w:val="24"/>
              </w:rPr>
              <w:t xml:space="preserve">EBITDA aprēķins un skaidrojums ir sniegts CFLA Metodiskā materiāla “Informatīvs materiāls par mikro, mazā un vidējā uzņēmuma, viena vienota uzņēmuma un grūtībās nonākuša uzņēmuma statusa noteikšanu” </w:t>
            </w:r>
            <w:r w:rsidRPr="00460D7D">
              <w:rPr>
                <w:rFonts w:ascii="Times New Roman" w:hAnsi="Times New Roman" w:cs="Times New Roman"/>
                <w:b/>
                <w:bCs/>
                <w:color w:val="2F5496" w:themeColor="accent1" w:themeShade="BF"/>
                <w:sz w:val="24"/>
                <w:szCs w:val="24"/>
              </w:rPr>
              <w:t>14.1.5.2. punktā</w:t>
            </w:r>
            <w:r w:rsidRPr="00460D7D">
              <w:rPr>
                <w:rFonts w:ascii="Times New Roman" w:hAnsi="Times New Roman" w:cs="Times New Roman"/>
                <w:color w:val="2F5496" w:themeColor="accent1" w:themeShade="BF"/>
                <w:sz w:val="24"/>
                <w:szCs w:val="24"/>
              </w:rPr>
              <w:t xml:space="preserve">, pieejams šeit: </w:t>
            </w:r>
            <w:hyperlink r:id="rId12" w:history="1">
              <w:r w:rsidRPr="00460D7D">
                <w:rPr>
                  <w:rStyle w:val="Hyperlink"/>
                  <w:rFonts w:ascii="Times New Roman" w:hAnsi="Times New Roman" w:cs="Times New Roman"/>
                  <w:sz w:val="24"/>
                  <w:szCs w:val="24"/>
                </w:rPr>
                <w:t>https://www.cfla.gov.lv/lv/mvk-gnu-un-vvu</w:t>
              </w:r>
            </w:hyperlink>
            <w:r w:rsidRPr="00460D7D">
              <w:rPr>
                <w:rFonts w:ascii="Times New Roman" w:hAnsi="Times New Roman" w:cs="Times New Roman"/>
                <w:color w:val="2F5496" w:themeColor="accent1" w:themeShade="BF"/>
                <w:sz w:val="24"/>
                <w:szCs w:val="24"/>
              </w:rPr>
              <w:t>  .</w:t>
            </w:r>
          </w:p>
          <w:p w14:paraId="6891AA0D" w14:textId="09CC3B27" w:rsidR="009731CE" w:rsidRDefault="008C29C7" w:rsidP="00A86226">
            <w:pPr>
              <w:jc w:val="both"/>
              <w:rPr>
                <w:rFonts w:ascii="Times New Roman" w:hAnsi="Times New Roman" w:cs="Times New Roman"/>
                <w:i/>
                <w:iCs/>
                <w:color w:val="4472C4" w:themeColor="accent1"/>
                <w:sz w:val="24"/>
                <w:szCs w:val="24"/>
              </w:rPr>
            </w:pPr>
            <w:r w:rsidRPr="00D1575D">
              <w:rPr>
                <w:rFonts w:ascii="Times New Roman" w:hAnsi="Times New Roman" w:cs="Times New Roman"/>
                <w:i/>
                <w:iCs/>
                <w:color w:val="4472C4" w:themeColor="accent1"/>
                <w:sz w:val="24"/>
                <w:szCs w:val="24"/>
              </w:rPr>
              <w:t>(atbilde sniegta rakstiski</w:t>
            </w:r>
            <w:r w:rsidR="00176E69">
              <w:rPr>
                <w:rFonts w:ascii="Times New Roman" w:hAnsi="Times New Roman" w:cs="Times New Roman"/>
                <w:i/>
                <w:iCs/>
                <w:color w:val="4472C4" w:themeColor="accent1"/>
                <w:sz w:val="24"/>
                <w:szCs w:val="24"/>
              </w:rPr>
              <w:t xml:space="preserve"> 18.07.2024.</w:t>
            </w:r>
            <w:r w:rsidRPr="00D1575D">
              <w:rPr>
                <w:rFonts w:ascii="Times New Roman" w:hAnsi="Times New Roman" w:cs="Times New Roman"/>
                <w:i/>
                <w:iCs/>
                <w:color w:val="4472C4" w:themeColor="accent1"/>
                <w:sz w:val="24"/>
                <w:szCs w:val="24"/>
              </w:rPr>
              <w:t>)</w:t>
            </w:r>
          </w:p>
          <w:p w14:paraId="0F2DA50B" w14:textId="3F315E76" w:rsidR="008C29C7" w:rsidRPr="00A871A3" w:rsidRDefault="008C29C7" w:rsidP="00A86226">
            <w:pPr>
              <w:jc w:val="both"/>
              <w:rPr>
                <w:rFonts w:ascii="Times New Roman" w:hAnsi="Times New Roman" w:cs="Times New Roman"/>
                <w:color w:val="2F5496" w:themeColor="accent1" w:themeShade="BF"/>
                <w:sz w:val="24"/>
                <w:szCs w:val="24"/>
              </w:rPr>
            </w:pPr>
          </w:p>
        </w:tc>
      </w:tr>
      <w:tr w:rsidR="00841E7F" w:rsidRPr="001F6A34" w14:paraId="2F11DB32" w14:textId="77777777" w:rsidTr="0CBE80E8">
        <w:tc>
          <w:tcPr>
            <w:tcW w:w="5000" w:type="pct"/>
            <w:gridSpan w:val="3"/>
            <w:tcBorders>
              <w:bottom w:val="single" w:sz="4" w:space="0" w:color="000000" w:themeColor="text1"/>
            </w:tcBorders>
            <w:shd w:val="clear" w:color="auto" w:fill="D0CECE" w:themeFill="background2" w:themeFillShade="E6"/>
          </w:tcPr>
          <w:p w14:paraId="6F1C6314" w14:textId="650D5A25" w:rsidR="00841E7F" w:rsidRPr="001F6A34" w:rsidRDefault="00841E7F" w:rsidP="00841E7F">
            <w:pPr>
              <w:pStyle w:val="Heading1"/>
              <w:numPr>
                <w:ilvl w:val="0"/>
                <w:numId w:val="17"/>
              </w:numPr>
              <w:tabs>
                <w:tab w:val="num" w:pos="360"/>
              </w:tabs>
              <w:ind w:left="0" w:firstLine="0"/>
              <w:rPr>
                <w:rFonts w:cs="Times New Roman"/>
                <w:sz w:val="24"/>
                <w:szCs w:val="24"/>
              </w:rPr>
            </w:pPr>
            <w:bookmarkStart w:id="9" w:name="_Toc127803615"/>
            <w:r w:rsidRPr="001F6A34">
              <w:rPr>
                <w:rFonts w:cs="Times New Roman"/>
                <w:sz w:val="24"/>
                <w:szCs w:val="24"/>
              </w:rPr>
              <w:lastRenderedPageBreak/>
              <w:t>Attiecināmās izmaksas</w:t>
            </w:r>
            <w:bookmarkEnd w:id="9"/>
          </w:p>
        </w:tc>
      </w:tr>
      <w:tr w:rsidR="00640E97" w:rsidRPr="001F6A34" w14:paraId="29C2E4A2" w14:textId="77777777" w:rsidTr="0CBE80E8">
        <w:tc>
          <w:tcPr>
            <w:tcW w:w="317" w:type="pct"/>
          </w:tcPr>
          <w:p w14:paraId="7A249BB7" w14:textId="5ED7F0CD" w:rsidR="00640E97" w:rsidRPr="001F6A34" w:rsidRDefault="00841E7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4.1.</w:t>
            </w:r>
          </w:p>
        </w:tc>
        <w:tc>
          <w:tcPr>
            <w:tcW w:w="2053" w:type="pct"/>
            <w:shd w:val="clear" w:color="auto" w:fill="auto"/>
          </w:tcPr>
          <w:p w14:paraId="0CE27211" w14:textId="1F0EBFD0" w:rsidR="002F3607" w:rsidRPr="00A771B6" w:rsidRDefault="00AC57A4" w:rsidP="00B51E67">
            <w:pPr>
              <w:shd w:val="clear" w:color="auto" w:fill="FFFFFF"/>
              <w:spacing w:line="300" w:lineRule="atLeast"/>
              <w:jc w:val="both"/>
              <w:rPr>
                <w:rFonts w:ascii="Times New Roman" w:hAnsi="Times New Roman" w:cs="Times New Roman"/>
                <w:sz w:val="24"/>
                <w:szCs w:val="24"/>
              </w:rPr>
            </w:pPr>
            <w:r>
              <w:rPr>
                <w:rFonts w:ascii="Times New Roman" w:hAnsi="Times New Roman" w:cs="Times New Roman"/>
                <w:sz w:val="24"/>
                <w:szCs w:val="24"/>
              </w:rPr>
              <w:t>V</w:t>
            </w:r>
            <w:r w:rsidRPr="00AC57A4">
              <w:rPr>
                <w:rFonts w:ascii="Times New Roman" w:hAnsi="Times New Roman" w:cs="Times New Roman"/>
                <w:sz w:val="24"/>
                <w:szCs w:val="24"/>
              </w:rPr>
              <w:t>ai ir atbalstāmas virtuves aprīkojuma izmaksas stacionāram pacientu ēdināšanas nodrošināšanai(piem. elektriskā plīts)?</w:t>
            </w:r>
          </w:p>
          <w:p w14:paraId="5B12DA6A" w14:textId="663EB4BD" w:rsidR="002F3607" w:rsidRPr="00857117" w:rsidRDefault="002F3607" w:rsidP="00B51E67">
            <w:pPr>
              <w:shd w:val="clear" w:color="auto" w:fill="FFFFFF"/>
              <w:spacing w:line="300" w:lineRule="atLeast"/>
              <w:jc w:val="both"/>
              <w:rPr>
                <w:rFonts w:ascii="Times New Roman" w:hAnsi="Times New Roman" w:cs="Times New Roman"/>
                <w:i/>
                <w:iCs/>
                <w:sz w:val="24"/>
                <w:szCs w:val="24"/>
              </w:rPr>
            </w:pPr>
            <w:r w:rsidRPr="004E5451">
              <w:rPr>
                <w:rFonts w:ascii="Times New Roman" w:eastAsia="Times New Roman" w:hAnsi="Times New Roman" w:cs="Times New Roman"/>
                <w:i/>
                <w:iCs/>
                <w:sz w:val="24"/>
                <w:szCs w:val="24"/>
                <w:lang w:eastAsia="lv-LV"/>
              </w:rPr>
              <w:t>(seminārā)</w:t>
            </w:r>
          </w:p>
        </w:tc>
        <w:tc>
          <w:tcPr>
            <w:tcW w:w="2630" w:type="pct"/>
            <w:shd w:val="clear" w:color="auto" w:fill="auto"/>
          </w:tcPr>
          <w:p w14:paraId="41C8D1D7" w14:textId="77777777" w:rsidR="00033A69" w:rsidRDefault="00546847" w:rsidP="003718B1">
            <w:pPr>
              <w:jc w:val="both"/>
              <w:rPr>
                <w:rFonts w:ascii="Times New Roman" w:hAnsi="Times New Roman" w:cs="Times New Roman"/>
                <w:color w:val="2F5496" w:themeColor="accent1" w:themeShade="BF"/>
                <w:sz w:val="24"/>
                <w:szCs w:val="24"/>
              </w:rPr>
            </w:pPr>
            <w:r w:rsidRPr="00546847">
              <w:rPr>
                <w:rFonts w:ascii="Times New Roman" w:hAnsi="Times New Roman" w:cs="Times New Roman"/>
                <w:color w:val="2F5496" w:themeColor="accent1" w:themeShade="BF"/>
                <w:sz w:val="24"/>
                <w:szCs w:val="24"/>
              </w:rPr>
              <w:t>Virtuves aprīkojuma izmaksas ir atbalstāmas tikai būvdarbu ietvaros, ja tiek iegādātas iebūvējamās iekārtas.</w:t>
            </w:r>
          </w:p>
          <w:p w14:paraId="4CC12C07" w14:textId="5C0F67AF" w:rsidR="0085580C" w:rsidRPr="00841E7F" w:rsidRDefault="0085580C" w:rsidP="003718B1">
            <w:pPr>
              <w:jc w:val="both"/>
              <w:rPr>
                <w:rFonts w:ascii="Times New Roman" w:hAnsi="Times New Roman" w:cs="Times New Roman"/>
                <w:color w:val="2F5496" w:themeColor="accent1" w:themeShade="BF"/>
                <w:sz w:val="24"/>
                <w:szCs w:val="24"/>
              </w:rPr>
            </w:pPr>
            <w:r w:rsidRPr="00D1575D">
              <w:rPr>
                <w:rFonts w:ascii="Times New Roman" w:hAnsi="Times New Roman" w:cs="Times New Roman"/>
                <w:i/>
                <w:iCs/>
                <w:color w:val="4472C4" w:themeColor="accent1"/>
                <w:sz w:val="24"/>
                <w:szCs w:val="24"/>
              </w:rPr>
              <w:t xml:space="preserve">(atbilde sniegta rakstiski </w:t>
            </w:r>
            <w:r>
              <w:rPr>
                <w:rFonts w:ascii="Times New Roman" w:hAnsi="Times New Roman" w:cs="Times New Roman"/>
                <w:i/>
                <w:iCs/>
                <w:color w:val="4472C4" w:themeColor="accent1"/>
                <w:sz w:val="24"/>
                <w:szCs w:val="24"/>
              </w:rPr>
              <w:t>03</w:t>
            </w:r>
            <w:r w:rsidRPr="00D1575D">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07</w:t>
            </w:r>
            <w:r w:rsidRPr="00D1575D">
              <w:rPr>
                <w:rFonts w:ascii="Times New Roman" w:hAnsi="Times New Roman" w:cs="Times New Roman"/>
                <w:i/>
                <w:iCs/>
                <w:color w:val="4472C4" w:themeColor="accent1"/>
                <w:sz w:val="24"/>
                <w:szCs w:val="24"/>
              </w:rPr>
              <w:t>.202</w:t>
            </w:r>
            <w:r>
              <w:rPr>
                <w:rFonts w:ascii="Times New Roman" w:hAnsi="Times New Roman" w:cs="Times New Roman"/>
                <w:i/>
                <w:iCs/>
                <w:color w:val="4472C4" w:themeColor="accent1"/>
                <w:sz w:val="24"/>
                <w:szCs w:val="24"/>
              </w:rPr>
              <w:t>4</w:t>
            </w:r>
            <w:r w:rsidRPr="00D1575D">
              <w:rPr>
                <w:rFonts w:ascii="Times New Roman" w:hAnsi="Times New Roman" w:cs="Times New Roman"/>
                <w:i/>
                <w:iCs/>
                <w:color w:val="4472C4" w:themeColor="accent1"/>
                <w:sz w:val="24"/>
                <w:szCs w:val="24"/>
              </w:rPr>
              <w:t>. semināra laikā)</w:t>
            </w:r>
          </w:p>
        </w:tc>
      </w:tr>
      <w:tr w:rsidR="0081771F" w:rsidRPr="001F6A34" w14:paraId="1DA86281" w14:textId="77777777" w:rsidTr="0CBE80E8">
        <w:tc>
          <w:tcPr>
            <w:tcW w:w="317" w:type="pct"/>
          </w:tcPr>
          <w:p w14:paraId="559D75E0" w14:textId="124DE6CF" w:rsidR="0081771F" w:rsidRDefault="0081771F">
            <w:pPr>
              <w:shd w:val="clear" w:color="auto" w:fill="FFFFFF"/>
              <w:spacing w:line="300" w:lineRule="atLeast"/>
              <w:rPr>
                <w:rFonts w:ascii="Times New Roman" w:hAnsi="Times New Roman" w:cs="Times New Roman"/>
                <w:sz w:val="24"/>
                <w:szCs w:val="24"/>
              </w:rPr>
            </w:pPr>
            <w:r>
              <w:rPr>
                <w:rFonts w:ascii="Times New Roman" w:hAnsi="Times New Roman" w:cs="Times New Roman"/>
                <w:sz w:val="24"/>
                <w:szCs w:val="24"/>
              </w:rPr>
              <w:t>4.2.</w:t>
            </w:r>
          </w:p>
        </w:tc>
        <w:tc>
          <w:tcPr>
            <w:tcW w:w="2053" w:type="pct"/>
            <w:shd w:val="clear" w:color="auto" w:fill="auto"/>
          </w:tcPr>
          <w:p w14:paraId="27DB98A6" w14:textId="77777777" w:rsidR="0081771F" w:rsidRDefault="0081771F" w:rsidP="00B51E67">
            <w:pPr>
              <w:shd w:val="clear" w:color="auto" w:fill="FFFFFF"/>
              <w:spacing w:line="300" w:lineRule="atLeast"/>
              <w:jc w:val="both"/>
              <w:rPr>
                <w:rFonts w:ascii="Times New Roman" w:hAnsi="Times New Roman" w:cs="Times New Roman"/>
                <w:sz w:val="24"/>
                <w:szCs w:val="24"/>
              </w:rPr>
            </w:pPr>
            <w:r w:rsidRPr="0081771F">
              <w:rPr>
                <w:rFonts w:ascii="Times New Roman" w:hAnsi="Times New Roman" w:cs="Times New Roman"/>
                <w:sz w:val="24"/>
                <w:szCs w:val="24"/>
              </w:rPr>
              <w:t>Vai dīzeļģeneratora iegāde un uzstādīšana ārstniecības korpusam, kur atrodas uzņemšanas nodaļa, ķirurģijas nodaļa un operāciju bloks ir atbalstāma darbība?</w:t>
            </w:r>
          </w:p>
          <w:p w14:paraId="14BFFA4E" w14:textId="2E7BD778" w:rsidR="0081771F" w:rsidRDefault="0081771F" w:rsidP="00B51E67">
            <w:pPr>
              <w:shd w:val="clear" w:color="auto" w:fill="FFFFFF"/>
              <w:spacing w:line="300" w:lineRule="atLeast"/>
              <w:jc w:val="both"/>
              <w:rPr>
                <w:rFonts w:ascii="Times New Roman" w:hAnsi="Times New Roman" w:cs="Times New Roman"/>
                <w:sz w:val="24"/>
                <w:szCs w:val="24"/>
              </w:rPr>
            </w:pPr>
            <w:r w:rsidRPr="004E5451">
              <w:rPr>
                <w:rFonts w:ascii="Times New Roman" w:eastAsia="Times New Roman" w:hAnsi="Times New Roman" w:cs="Times New Roman"/>
                <w:i/>
                <w:iCs/>
                <w:sz w:val="24"/>
                <w:szCs w:val="24"/>
                <w:lang w:eastAsia="lv-LV"/>
              </w:rPr>
              <w:t>(seminārā)</w:t>
            </w:r>
          </w:p>
        </w:tc>
        <w:tc>
          <w:tcPr>
            <w:tcW w:w="2630" w:type="pct"/>
            <w:shd w:val="clear" w:color="auto" w:fill="auto"/>
          </w:tcPr>
          <w:p w14:paraId="3DE16E81" w14:textId="77777777" w:rsidR="0081771F" w:rsidRDefault="005B2462" w:rsidP="003718B1">
            <w:pPr>
              <w:jc w:val="both"/>
              <w:rPr>
                <w:rFonts w:ascii="Times New Roman" w:hAnsi="Times New Roman" w:cs="Times New Roman"/>
                <w:color w:val="2F5496" w:themeColor="accent1" w:themeShade="BF"/>
                <w:sz w:val="24"/>
                <w:szCs w:val="24"/>
              </w:rPr>
            </w:pPr>
            <w:r w:rsidRPr="005B2462">
              <w:rPr>
                <w:rFonts w:ascii="Times New Roman" w:hAnsi="Times New Roman" w:cs="Times New Roman"/>
                <w:color w:val="2F5496" w:themeColor="accent1" w:themeShade="BF"/>
                <w:sz w:val="24"/>
                <w:szCs w:val="24"/>
              </w:rPr>
              <w:t>ES fondu 21-27 gada plānošanas perioda ietvaros NAV atbalstāma ar iekšdedzes dzinēju darbināmu ģeneratoru iegāde.</w:t>
            </w:r>
          </w:p>
          <w:p w14:paraId="23F23357" w14:textId="0C592CCC" w:rsidR="005B2462" w:rsidRPr="00546847" w:rsidRDefault="005B2462" w:rsidP="003718B1">
            <w:pPr>
              <w:jc w:val="both"/>
              <w:rPr>
                <w:rFonts w:ascii="Times New Roman" w:hAnsi="Times New Roman" w:cs="Times New Roman"/>
                <w:color w:val="2F5496" w:themeColor="accent1" w:themeShade="BF"/>
                <w:sz w:val="24"/>
                <w:szCs w:val="24"/>
              </w:rPr>
            </w:pPr>
            <w:r w:rsidRPr="00D1575D">
              <w:rPr>
                <w:rFonts w:ascii="Times New Roman" w:hAnsi="Times New Roman" w:cs="Times New Roman"/>
                <w:i/>
                <w:iCs/>
                <w:color w:val="4472C4" w:themeColor="accent1"/>
                <w:sz w:val="24"/>
                <w:szCs w:val="24"/>
              </w:rPr>
              <w:t xml:space="preserve">(atbilde sniegta rakstiski </w:t>
            </w:r>
            <w:r>
              <w:rPr>
                <w:rFonts w:ascii="Times New Roman" w:hAnsi="Times New Roman" w:cs="Times New Roman"/>
                <w:i/>
                <w:iCs/>
                <w:color w:val="4472C4" w:themeColor="accent1"/>
                <w:sz w:val="24"/>
                <w:szCs w:val="24"/>
              </w:rPr>
              <w:t>03</w:t>
            </w:r>
            <w:r w:rsidRPr="00D1575D">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07</w:t>
            </w:r>
            <w:r w:rsidRPr="00D1575D">
              <w:rPr>
                <w:rFonts w:ascii="Times New Roman" w:hAnsi="Times New Roman" w:cs="Times New Roman"/>
                <w:i/>
                <w:iCs/>
                <w:color w:val="4472C4" w:themeColor="accent1"/>
                <w:sz w:val="24"/>
                <w:szCs w:val="24"/>
              </w:rPr>
              <w:t>.202</w:t>
            </w:r>
            <w:r>
              <w:rPr>
                <w:rFonts w:ascii="Times New Roman" w:hAnsi="Times New Roman" w:cs="Times New Roman"/>
                <w:i/>
                <w:iCs/>
                <w:color w:val="4472C4" w:themeColor="accent1"/>
                <w:sz w:val="24"/>
                <w:szCs w:val="24"/>
              </w:rPr>
              <w:t>4</w:t>
            </w:r>
            <w:r w:rsidRPr="00D1575D">
              <w:rPr>
                <w:rFonts w:ascii="Times New Roman" w:hAnsi="Times New Roman" w:cs="Times New Roman"/>
                <w:i/>
                <w:iCs/>
                <w:color w:val="4472C4" w:themeColor="accent1"/>
                <w:sz w:val="24"/>
                <w:szCs w:val="24"/>
              </w:rPr>
              <w:t>. semināra laikā)</w:t>
            </w:r>
          </w:p>
        </w:tc>
      </w:tr>
      <w:tr w:rsidR="00841E7F" w:rsidRPr="001F6A34" w14:paraId="39F7567D" w14:textId="77777777" w:rsidTr="0CBE80E8">
        <w:tc>
          <w:tcPr>
            <w:tcW w:w="5000" w:type="pct"/>
            <w:gridSpan w:val="3"/>
            <w:tcBorders>
              <w:bottom w:val="single" w:sz="4" w:space="0" w:color="000000" w:themeColor="text1"/>
            </w:tcBorders>
            <w:shd w:val="clear" w:color="auto" w:fill="D0CECE" w:themeFill="background2" w:themeFillShade="E6"/>
          </w:tcPr>
          <w:p w14:paraId="155D5E4C" w14:textId="1360B42D" w:rsidR="00841E7F" w:rsidRPr="001F6A34" w:rsidRDefault="00841E7F" w:rsidP="00841E7F">
            <w:pPr>
              <w:pStyle w:val="Heading1"/>
              <w:numPr>
                <w:ilvl w:val="0"/>
                <w:numId w:val="17"/>
              </w:numPr>
              <w:tabs>
                <w:tab w:val="num" w:pos="360"/>
              </w:tabs>
              <w:ind w:left="0" w:firstLine="0"/>
              <w:rPr>
                <w:rFonts w:cs="Times New Roman"/>
                <w:sz w:val="24"/>
                <w:szCs w:val="24"/>
              </w:rPr>
            </w:pPr>
            <w:bookmarkStart w:id="10" w:name="_Toc20918689"/>
            <w:bookmarkStart w:id="11" w:name="_Toc46148094"/>
            <w:bookmarkStart w:id="12" w:name="_Toc127803616"/>
            <w:r w:rsidRPr="001F6A34">
              <w:rPr>
                <w:rFonts w:cs="Times New Roman"/>
                <w:sz w:val="24"/>
                <w:szCs w:val="24"/>
              </w:rPr>
              <w:lastRenderedPageBreak/>
              <w:t>Projekta iesnieguma aizpildīšana</w:t>
            </w:r>
            <w:bookmarkEnd w:id="10"/>
            <w:bookmarkEnd w:id="11"/>
            <w:r>
              <w:rPr>
                <w:rFonts w:cs="Times New Roman"/>
                <w:sz w:val="24"/>
                <w:szCs w:val="24"/>
              </w:rPr>
              <w:t xml:space="preserve"> un p</w:t>
            </w:r>
            <w:r w:rsidRPr="001F6A34">
              <w:rPr>
                <w:rFonts w:cs="Times New Roman"/>
                <w:sz w:val="24"/>
                <w:szCs w:val="24"/>
              </w:rPr>
              <w:t>ielikumi</w:t>
            </w:r>
            <w:bookmarkEnd w:id="12"/>
          </w:p>
        </w:tc>
      </w:tr>
      <w:tr w:rsidR="00640E97" w:rsidRPr="001F6A34" w14:paraId="717E39BF" w14:textId="77777777" w:rsidTr="0CBE80E8">
        <w:trPr>
          <w:trHeight w:val="465"/>
        </w:trPr>
        <w:tc>
          <w:tcPr>
            <w:tcW w:w="317" w:type="pct"/>
          </w:tcPr>
          <w:p w14:paraId="6FA20451" w14:textId="1B46AFF6" w:rsidR="00640E97" w:rsidRPr="001F6A34" w:rsidRDefault="0072261C">
            <w:pPr>
              <w:rPr>
                <w:rFonts w:ascii="Times New Roman" w:hAnsi="Times New Roman" w:cs="Times New Roman"/>
                <w:sz w:val="24"/>
                <w:szCs w:val="24"/>
              </w:rPr>
            </w:pPr>
            <w:r>
              <w:rPr>
                <w:rFonts w:ascii="Times New Roman" w:hAnsi="Times New Roman" w:cs="Times New Roman"/>
                <w:sz w:val="24"/>
                <w:szCs w:val="24"/>
              </w:rPr>
              <w:t>5.1.</w:t>
            </w:r>
          </w:p>
        </w:tc>
        <w:tc>
          <w:tcPr>
            <w:tcW w:w="2053" w:type="pct"/>
            <w:shd w:val="clear" w:color="auto" w:fill="auto"/>
          </w:tcPr>
          <w:p w14:paraId="1DCF5803" w14:textId="77777777" w:rsidR="00472434" w:rsidRDefault="005D2D5A">
            <w:pPr>
              <w:rPr>
                <w:rFonts w:ascii="Times New Roman" w:eastAsia="Times New Roman" w:hAnsi="Times New Roman" w:cs="Times New Roman"/>
                <w:sz w:val="24"/>
                <w:szCs w:val="24"/>
                <w:lang w:eastAsia="lv-LV"/>
              </w:rPr>
            </w:pPr>
            <w:r w:rsidRPr="005D2D5A">
              <w:rPr>
                <w:rFonts w:ascii="Times New Roman" w:eastAsia="Times New Roman" w:hAnsi="Times New Roman" w:cs="Times New Roman"/>
                <w:sz w:val="24"/>
                <w:szCs w:val="24"/>
                <w:lang w:eastAsia="lv-LV"/>
              </w:rPr>
              <w:t>Vai varētu minēt kādu piemēru ar HP VINPI rādītāju, ja tiek iegādātas tehnoloģijas</w:t>
            </w:r>
            <w:r w:rsidR="009B7931">
              <w:rPr>
                <w:rFonts w:ascii="Times New Roman" w:eastAsia="Times New Roman" w:hAnsi="Times New Roman" w:cs="Times New Roman"/>
                <w:sz w:val="24"/>
                <w:szCs w:val="24"/>
                <w:lang w:eastAsia="lv-LV"/>
              </w:rPr>
              <w:t>,</w:t>
            </w:r>
            <w:r w:rsidRPr="005D2D5A">
              <w:rPr>
                <w:rFonts w:ascii="Times New Roman" w:eastAsia="Times New Roman" w:hAnsi="Times New Roman" w:cs="Times New Roman"/>
                <w:sz w:val="24"/>
                <w:szCs w:val="24"/>
                <w:lang w:eastAsia="lv-LV"/>
              </w:rPr>
              <w:t xml:space="preserve"> un nav paredzēta būvniecība?</w:t>
            </w:r>
          </w:p>
          <w:p w14:paraId="60BDBAD2" w14:textId="43B5E821" w:rsidR="00C828C9" w:rsidRPr="00472434" w:rsidRDefault="00C828C9">
            <w:pPr>
              <w:rPr>
                <w:rFonts w:ascii="Times New Roman" w:eastAsia="Times New Roman" w:hAnsi="Times New Roman" w:cs="Times New Roman"/>
                <w:i/>
                <w:iCs/>
                <w:sz w:val="24"/>
                <w:szCs w:val="24"/>
                <w:lang w:eastAsia="lv-LV"/>
              </w:rPr>
            </w:pPr>
            <w:r w:rsidRPr="004E5451">
              <w:rPr>
                <w:rFonts w:ascii="Times New Roman" w:eastAsia="Times New Roman" w:hAnsi="Times New Roman" w:cs="Times New Roman"/>
                <w:i/>
                <w:iCs/>
                <w:sz w:val="24"/>
                <w:szCs w:val="24"/>
                <w:lang w:eastAsia="lv-LV"/>
              </w:rPr>
              <w:t>(seminārā)</w:t>
            </w:r>
          </w:p>
        </w:tc>
        <w:tc>
          <w:tcPr>
            <w:tcW w:w="2630" w:type="pct"/>
            <w:shd w:val="clear" w:color="auto" w:fill="auto"/>
          </w:tcPr>
          <w:p w14:paraId="2DE62B77" w14:textId="394D88F4" w:rsidR="007F4999" w:rsidRPr="007F4999" w:rsidRDefault="007F4999" w:rsidP="007F4999">
            <w:pPr>
              <w:jc w:val="both"/>
              <w:rPr>
                <w:rFonts w:ascii="Times New Roman" w:hAnsi="Times New Roman" w:cs="Times New Roman"/>
                <w:color w:val="2F5496" w:themeColor="accent1" w:themeShade="BF"/>
                <w:sz w:val="24"/>
                <w:szCs w:val="24"/>
              </w:rPr>
            </w:pPr>
            <w:r w:rsidRPr="007F4999">
              <w:rPr>
                <w:rFonts w:ascii="Times New Roman" w:hAnsi="Times New Roman" w:cs="Times New Roman"/>
                <w:color w:val="2F5496" w:themeColor="accent1" w:themeShade="BF"/>
                <w:sz w:val="24"/>
                <w:szCs w:val="24"/>
              </w:rPr>
              <w:t xml:space="preserve">Ja projektā plānota tikai tehnoloģiju iegāde, </w:t>
            </w:r>
            <w:r w:rsidR="0090368F" w:rsidRPr="04D30B3B">
              <w:rPr>
                <w:rFonts w:ascii="Times New Roman" w:hAnsi="Times New Roman" w:cs="Times New Roman"/>
                <w:color w:val="2F5496" w:themeColor="accent1" w:themeShade="BF"/>
                <w:sz w:val="24"/>
                <w:szCs w:val="24"/>
              </w:rPr>
              <w:t>jāparedz</w:t>
            </w:r>
            <w:r w:rsidRPr="007F4999">
              <w:rPr>
                <w:rFonts w:ascii="Times New Roman" w:hAnsi="Times New Roman" w:cs="Times New Roman"/>
                <w:color w:val="2F5496" w:themeColor="accent1" w:themeShade="BF"/>
                <w:sz w:val="24"/>
                <w:szCs w:val="24"/>
              </w:rPr>
              <w:t xml:space="preserve"> vismaz vienas (izvēlās no kataloga) </w:t>
            </w:r>
            <w:r w:rsidR="00802263" w:rsidRPr="00B148A1">
              <w:rPr>
                <w:rFonts w:ascii="Times New Roman" w:hAnsi="Times New Roman"/>
                <w:color w:val="2F5496" w:themeColor="accent1" w:themeShade="BF"/>
                <w:sz w:val="24"/>
                <w:szCs w:val="24"/>
              </w:rPr>
              <w:t>horizontālā principa ”Vienlīdzība, iekļaušana, nediskriminācija un pamattiesību ievērošana”</w:t>
            </w:r>
            <w:r w:rsidRPr="00B148A1">
              <w:rPr>
                <w:rFonts w:ascii="Times New Roman" w:hAnsi="Times New Roman" w:cs="Times New Roman"/>
                <w:color w:val="2F5496" w:themeColor="accent1" w:themeShade="BF"/>
                <w:sz w:val="24"/>
                <w:szCs w:val="24"/>
              </w:rPr>
              <w:t xml:space="preserve"> </w:t>
            </w:r>
            <w:r w:rsidR="000F5272" w:rsidRPr="04D30B3B">
              <w:rPr>
                <w:rFonts w:ascii="Times New Roman" w:hAnsi="Times New Roman" w:cs="Times New Roman"/>
                <w:color w:val="2F5496" w:themeColor="accent1" w:themeShade="BF"/>
                <w:sz w:val="24"/>
                <w:szCs w:val="24"/>
              </w:rPr>
              <w:t xml:space="preserve">(turpmāk - </w:t>
            </w:r>
            <w:r w:rsidRPr="04D30B3B">
              <w:rPr>
                <w:rFonts w:ascii="Times New Roman" w:hAnsi="Times New Roman" w:cs="Times New Roman"/>
                <w:color w:val="2F5496" w:themeColor="accent1" w:themeShade="BF"/>
                <w:sz w:val="24"/>
                <w:szCs w:val="24"/>
              </w:rPr>
              <w:t>HP VINPI</w:t>
            </w:r>
            <w:r w:rsidR="000F5272" w:rsidRPr="04D30B3B">
              <w:rPr>
                <w:rFonts w:ascii="Times New Roman" w:hAnsi="Times New Roman" w:cs="Times New Roman"/>
                <w:color w:val="2F5496" w:themeColor="accent1" w:themeShade="BF"/>
                <w:sz w:val="24"/>
                <w:szCs w:val="24"/>
              </w:rPr>
              <w:t>)</w:t>
            </w:r>
            <w:r w:rsidRPr="04D30B3B">
              <w:rPr>
                <w:rFonts w:ascii="Times New Roman" w:hAnsi="Times New Roman" w:cs="Times New Roman"/>
                <w:color w:val="2F5496" w:themeColor="accent1" w:themeShade="BF"/>
                <w:sz w:val="24"/>
                <w:szCs w:val="24"/>
              </w:rPr>
              <w:t xml:space="preserve"> </w:t>
            </w:r>
            <w:r w:rsidRPr="007F4999">
              <w:rPr>
                <w:rFonts w:ascii="Times New Roman" w:hAnsi="Times New Roman" w:cs="Times New Roman"/>
                <w:color w:val="2F5496" w:themeColor="accent1" w:themeShade="BF"/>
                <w:sz w:val="24"/>
                <w:szCs w:val="24"/>
              </w:rPr>
              <w:t>vispārīgas darbības veikšanu</w:t>
            </w:r>
            <w:r w:rsidR="00EB43DC" w:rsidRPr="04D30B3B">
              <w:rPr>
                <w:rFonts w:ascii="Times New Roman" w:hAnsi="Times New Roman" w:cs="Times New Roman"/>
                <w:color w:val="2F5496" w:themeColor="accent1" w:themeShade="BF"/>
                <w:sz w:val="24"/>
                <w:szCs w:val="24"/>
              </w:rPr>
              <w:t>, savukārt HP VINP</w:t>
            </w:r>
            <w:r w:rsidR="004F508A">
              <w:rPr>
                <w:rFonts w:ascii="Times New Roman" w:hAnsi="Times New Roman" w:cs="Times New Roman"/>
                <w:color w:val="2F5496" w:themeColor="accent1" w:themeShade="BF"/>
                <w:sz w:val="24"/>
                <w:szCs w:val="24"/>
              </w:rPr>
              <w:t>I</w:t>
            </w:r>
            <w:r w:rsidR="00EB43DC" w:rsidRPr="04D30B3B">
              <w:rPr>
                <w:rFonts w:ascii="Times New Roman" w:hAnsi="Times New Roman" w:cs="Times New Roman"/>
                <w:color w:val="2F5496" w:themeColor="accent1" w:themeShade="BF"/>
                <w:sz w:val="24"/>
                <w:szCs w:val="24"/>
              </w:rPr>
              <w:t xml:space="preserve"> rādītāji nav jāapredz</w:t>
            </w:r>
            <w:r w:rsidRPr="007F4999">
              <w:rPr>
                <w:rFonts w:ascii="Times New Roman" w:hAnsi="Times New Roman" w:cs="Times New Roman"/>
                <w:color w:val="2F5496" w:themeColor="accent1" w:themeShade="BF"/>
                <w:sz w:val="24"/>
                <w:szCs w:val="24"/>
              </w:rPr>
              <w:t>.</w:t>
            </w:r>
          </w:p>
          <w:p w14:paraId="721E406E" w14:textId="7B508589" w:rsidR="007F4999" w:rsidRPr="007F4999" w:rsidRDefault="007F4999" w:rsidP="007F4999">
            <w:pPr>
              <w:jc w:val="both"/>
              <w:rPr>
                <w:rFonts w:ascii="Times New Roman" w:hAnsi="Times New Roman" w:cs="Times New Roman"/>
                <w:color w:val="2F5496" w:themeColor="accent1" w:themeShade="BF"/>
                <w:sz w:val="24"/>
                <w:szCs w:val="24"/>
              </w:rPr>
            </w:pPr>
            <w:r w:rsidRPr="04D30B3B">
              <w:rPr>
                <w:rFonts w:ascii="Times New Roman" w:hAnsi="Times New Roman" w:cs="Times New Roman"/>
                <w:color w:val="2F5496" w:themeColor="accent1" w:themeShade="BF"/>
                <w:sz w:val="24"/>
                <w:szCs w:val="24"/>
              </w:rPr>
              <w:t>Piemēr</w:t>
            </w:r>
            <w:r w:rsidR="00EB43DC" w:rsidRPr="04D30B3B">
              <w:rPr>
                <w:rFonts w:ascii="Times New Roman" w:hAnsi="Times New Roman" w:cs="Times New Roman"/>
                <w:color w:val="2F5496" w:themeColor="accent1" w:themeShade="BF"/>
                <w:sz w:val="24"/>
                <w:szCs w:val="24"/>
              </w:rPr>
              <w:t>i</w:t>
            </w:r>
            <w:r w:rsidR="00863430">
              <w:rPr>
                <w:rFonts w:ascii="Times New Roman" w:hAnsi="Times New Roman" w:cs="Times New Roman"/>
                <w:color w:val="2F5496" w:themeColor="accent1" w:themeShade="BF"/>
                <w:sz w:val="24"/>
                <w:szCs w:val="24"/>
              </w:rPr>
              <w:t xml:space="preserve"> - </w:t>
            </w:r>
            <w:r w:rsidR="00EB43DC" w:rsidRPr="04D30B3B">
              <w:rPr>
                <w:rFonts w:ascii="Times New Roman" w:hAnsi="Times New Roman" w:cs="Times New Roman"/>
                <w:color w:val="2F5496" w:themeColor="accent1" w:themeShade="BF"/>
                <w:sz w:val="24"/>
                <w:szCs w:val="24"/>
              </w:rPr>
              <w:t xml:space="preserve"> HP VINPI </w:t>
            </w:r>
            <w:r w:rsidR="00940328" w:rsidRPr="04D30B3B">
              <w:rPr>
                <w:rFonts w:ascii="Times New Roman" w:hAnsi="Times New Roman" w:cs="Times New Roman"/>
                <w:color w:val="2F5496" w:themeColor="accent1" w:themeShade="BF"/>
                <w:sz w:val="24"/>
                <w:szCs w:val="24"/>
              </w:rPr>
              <w:t>vispārīgās darbības</w:t>
            </w:r>
            <w:r w:rsidRPr="04D30B3B">
              <w:rPr>
                <w:rFonts w:ascii="Times New Roman" w:hAnsi="Times New Roman" w:cs="Times New Roman"/>
                <w:color w:val="2F5496" w:themeColor="accent1" w:themeShade="BF"/>
                <w:sz w:val="24"/>
                <w:szCs w:val="24"/>
              </w:rPr>
              <w:t>:</w:t>
            </w:r>
          </w:p>
          <w:p w14:paraId="0D9AB1C0" w14:textId="4B0FBA2F" w:rsidR="007F4999" w:rsidRPr="00C828C9" w:rsidRDefault="007F4999" w:rsidP="00C828C9">
            <w:pPr>
              <w:pStyle w:val="ListParagraph"/>
              <w:numPr>
                <w:ilvl w:val="0"/>
                <w:numId w:val="22"/>
              </w:numPr>
              <w:jc w:val="both"/>
              <w:rPr>
                <w:rFonts w:ascii="Times New Roman" w:hAnsi="Times New Roman" w:cs="Times New Roman"/>
                <w:color w:val="2F5496" w:themeColor="accent1" w:themeShade="BF"/>
                <w:sz w:val="24"/>
                <w:szCs w:val="24"/>
              </w:rPr>
            </w:pPr>
            <w:r w:rsidRPr="00C828C9">
              <w:rPr>
                <w:rFonts w:ascii="Times New Roman" w:hAnsi="Times New Roman" w:cs="Times New Roman"/>
                <w:color w:val="2F5496" w:themeColor="accent1" w:themeShade="BF"/>
                <w:sz w:val="24"/>
                <w:szCs w:val="24"/>
              </w:rPr>
              <w:t>sievietēm un vīriešiem tiks nodrošināta vienāda samaksa par vienādas vērtības darbu (t.sk. piemērota vienlīdzīga bonusu sistēma, veselības apdrošināšana u.c.);</w:t>
            </w:r>
          </w:p>
          <w:p w14:paraId="02A1DAE9" w14:textId="2563DFD3" w:rsidR="007F4999" w:rsidRPr="00C828C9" w:rsidRDefault="007F4999" w:rsidP="00C828C9">
            <w:pPr>
              <w:pStyle w:val="ListParagraph"/>
              <w:numPr>
                <w:ilvl w:val="0"/>
                <w:numId w:val="22"/>
              </w:numPr>
              <w:jc w:val="both"/>
              <w:rPr>
                <w:rFonts w:ascii="Times New Roman" w:hAnsi="Times New Roman" w:cs="Times New Roman"/>
                <w:color w:val="2F5496" w:themeColor="accent1" w:themeShade="BF"/>
                <w:sz w:val="24"/>
                <w:szCs w:val="24"/>
              </w:rPr>
            </w:pPr>
            <w:r w:rsidRPr="00C828C9">
              <w:rPr>
                <w:rFonts w:ascii="Times New Roman" w:hAnsi="Times New Roman" w:cs="Times New Roman"/>
                <w:color w:val="2F5496" w:themeColor="accent1" w:themeShade="BF"/>
                <w:sz w:val="24"/>
                <w:szCs w:val="24"/>
              </w:rPr>
              <w:t>nodrošinot informāciju publiskajā telpā, t.sk. tīmeklī, tiks nodrošināts, ka to saturs ir piekļūstams cilvēkiem ar funkcionāliem traucējumiem, izmantojot vairākus sensoros (redze, dzirde, tauste) kanālus</w:t>
            </w:r>
            <w:r w:rsidR="00C828C9">
              <w:rPr>
                <w:rFonts w:ascii="Times New Roman" w:hAnsi="Times New Roman" w:cs="Times New Roman"/>
                <w:color w:val="2F5496" w:themeColor="accent1" w:themeShade="BF"/>
                <w:sz w:val="24"/>
                <w:szCs w:val="24"/>
              </w:rPr>
              <w:t>;</w:t>
            </w:r>
          </w:p>
          <w:p w14:paraId="13B52875" w14:textId="77777777" w:rsidR="002D33FD" w:rsidRPr="00C828C9" w:rsidRDefault="007F4999" w:rsidP="00C828C9">
            <w:pPr>
              <w:pStyle w:val="ListParagraph"/>
              <w:numPr>
                <w:ilvl w:val="0"/>
                <w:numId w:val="22"/>
              </w:numPr>
              <w:rPr>
                <w:rFonts w:ascii="Times New Roman" w:hAnsi="Times New Roman" w:cs="Times New Roman"/>
                <w:i/>
                <w:iCs/>
                <w:color w:val="2F5496" w:themeColor="accent1" w:themeShade="BF"/>
                <w:sz w:val="24"/>
                <w:szCs w:val="24"/>
              </w:rPr>
            </w:pPr>
            <w:r w:rsidRPr="00C828C9">
              <w:rPr>
                <w:rFonts w:ascii="Times New Roman" w:hAnsi="Times New Roman" w:cs="Times New Roman"/>
                <w:color w:val="2F5496" w:themeColor="accent1" w:themeShade="BF"/>
                <w:sz w:val="24"/>
                <w:szCs w:val="24"/>
              </w:rPr>
              <w:t>īstenojot projekta komunikācijas aktivitātes, tiks izvēlēta valoda un vizuālie tēli, kas mazina diskrimināciju un stereotipu veidošanos</w:t>
            </w:r>
            <w:r w:rsidR="00C828C9">
              <w:rPr>
                <w:rFonts w:ascii="Times New Roman" w:hAnsi="Times New Roman" w:cs="Times New Roman"/>
                <w:color w:val="2F5496" w:themeColor="accent1" w:themeShade="BF"/>
                <w:sz w:val="24"/>
                <w:szCs w:val="24"/>
              </w:rPr>
              <w:t>.</w:t>
            </w:r>
          </w:p>
          <w:p w14:paraId="5EEAD1C4" w14:textId="65348C61" w:rsidR="00C828C9" w:rsidRPr="00C828C9" w:rsidRDefault="00C828C9" w:rsidP="00C828C9">
            <w:pPr>
              <w:ind w:left="360"/>
              <w:rPr>
                <w:rFonts w:ascii="Times New Roman" w:hAnsi="Times New Roman" w:cs="Times New Roman"/>
                <w:i/>
                <w:iCs/>
                <w:color w:val="2F5496" w:themeColor="accent1" w:themeShade="BF"/>
                <w:sz w:val="24"/>
                <w:szCs w:val="24"/>
              </w:rPr>
            </w:pPr>
            <w:r w:rsidRPr="00D1575D">
              <w:rPr>
                <w:rFonts w:ascii="Times New Roman" w:hAnsi="Times New Roman" w:cs="Times New Roman"/>
                <w:i/>
                <w:iCs/>
                <w:color w:val="4472C4" w:themeColor="accent1"/>
                <w:sz w:val="24"/>
                <w:szCs w:val="24"/>
              </w:rPr>
              <w:t xml:space="preserve">(atbilde sniegta rakstiski </w:t>
            </w:r>
            <w:r>
              <w:rPr>
                <w:rFonts w:ascii="Times New Roman" w:hAnsi="Times New Roman" w:cs="Times New Roman"/>
                <w:i/>
                <w:iCs/>
                <w:color w:val="4472C4" w:themeColor="accent1"/>
                <w:sz w:val="24"/>
                <w:szCs w:val="24"/>
              </w:rPr>
              <w:t>03</w:t>
            </w:r>
            <w:r w:rsidRPr="00D1575D">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07</w:t>
            </w:r>
            <w:r w:rsidRPr="00D1575D">
              <w:rPr>
                <w:rFonts w:ascii="Times New Roman" w:hAnsi="Times New Roman" w:cs="Times New Roman"/>
                <w:i/>
                <w:iCs/>
                <w:color w:val="4472C4" w:themeColor="accent1"/>
                <w:sz w:val="24"/>
                <w:szCs w:val="24"/>
              </w:rPr>
              <w:t>.202</w:t>
            </w:r>
            <w:r>
              <w:rPr>
                <w:rFonts w:ascii="Times New Roman" w:hAnsi="Times New Roman" w:cs="Times New Roman"/>
                <w:i/>
                <w:iCs/>
                <w:color w:val="4472C4" w:themeColor="accent1"/>
                <w:sz w:val="24"/>
                <w:szCs w:val="24"/>
              </w:rPr>
              <w:t>4</w:t>
            </w:r>
            <w:r w:rsidRPr="00D1575D">
              <w:rPr>
                <w:rFonts w:ascii="Times New Roman" w:hAnsi="Times New Roman" w:cs="Times New Roman"/>
                <w:i/>
                <w:iCs/>
                <w:color w:val="4472C4" w:themeColor="accent1"/>
                <w:sz w:val="24"/>
                <w:szCs w:val="24"/>
              </w:rPr>
              <w:t>. semināra laikā)</w:t>
            </w:r>
          </w:p>
        </w:tc>
      </w:tr>
      <w:tr w:rsidR="0032525D" w:rsidRPr="001F6A34" w14:paraId="3D768E6C" w14:textId="77777777" w:rsidTr="0CBE80E8">
        <w:trPr>
          <w:trHeight w:val="465"/>
        </w:trPr>
        <w:tc>
          <w:tcPr>
            <w:tcW w:w="317" w:type="pct"/>
          </w:tcPr>
          <w:p w14:paraId="44136C2D" w14:textId="0A0EFBC6" w:rsidR="0032525D" w:rsidRDefault="0032525D">
            <w:pPr>
              <w:rPr>
                <w:rFonts w:ascii="Times New Roman" w:hAnsi="Times New Roman" w:cs="Times New Roman"/>
                <w:sz w:val="24"/>
                <w:szCs w:val="24"/>
              </w:rPr>
            </w:pPr>
            <w:r>
              <w:rPr>
                <w:rFonts w:ascii="Times New Roman" w:hAnsi="Times New Roman" w:cs="Times New Roman"/>
                <w:sz w:val="24"/>
                <w:szCs w:val="24"/>
              </w:rPr>
              <w:t>5.</w:t>
            </w:r>
            <w:r w:rsidR="07A41529" w:rsidRPr="04D30B3B">
              <w:rPr>
                <w:rFonts w:ascii="Times New Roman" w:hAnsi="Times New Roman" w:cs="Times New Roman"/>
                <w:sz w:val="24"/>
                <w:szCs w:val="24"/>
              </w:rPr>
              <w:t>2</w:t>
            </w:r>
            <w:r>
              <w:rPr>
                <w:rFonts w:ascii="Times New Roman" w:hAnsi="Times New Roman" w:cs="Times New Roman"/>
                <w:sz w:val="24"/>
                <w:szCs w:val="24"/>
              </w:rPr>
              <w:t>.</w:t>
            </w:r>
          </w:p>
        </w:tc>
        <w:tc>
          <w:tcPr>
            <w:tcW w:w="2053" w:type="pct"/>
            <w:shd w:val="clear" w:color="auto" w:fill="auto"/>
          </w:tcPr>
          <w:p w14:paraId="019C0394" w14:textId="77777777" w:rsidR="0032525D" w:rsidRDefault="00E146AB" w:rsidP="00B51E67">
            <w:pPr>
              <w:jc w:val="both"/>
              <w:rPr>
                <w:rFonts w:ascii="Times New Roman" w:hAnsi="Times New Roman" w:cs="Times New Roman"/>
                <w:sz w:val="24"/>
                <w:szCs w:val="24"/>
              </w:rPr>
            </w:pPr>
            <w:r>
              <w:rPr>
                <w:rFonts w:ascii="Times New Roman" w:hAnsi="Times New Roman" w:cs="Times New Roman"/>
                <w:sz w:val="24"/>
                <w:szCs w:val="24"/>
              </w:rPr>
              <w:t xml:space="preserve">Vai PVN ir attiecināmās izmaksas, ja </w:t>
            </w:r>
            <w:r w:rsidR="00F5118A">
              <w:rPr>
                <w:rFonts w:ascii="Times New Roman" w:hAnsi="Times New Roman" w:cs="Times New Roman"/>
                <w:sz w:val="24"/>
                <w:szCs w:val="24"/>
              </w:rPr>
              <w:t>projekta iesniedzējs ir PVN maksātājs un daļēji to pēc tam atgūst no valsts?</w:t>
            </w:r>
          </w:p>
          <w:p w14:paraId="3829D2EA" w14:textId="5941E9EE" w:rsidR="00F5118A" w:rsidRDefault="00F5118A" w:rsidP="00B51E67">
            <w:pPr>
              <w:jc w:val="both"/>
              <w:rPr>
                <w:rFonts w:ascii="Times New Roman" w:hAnsi="Times New Roman" w:cs="Times New Roman"/>
                <w:sz w:val="24"/>
                <w:szCs w:val="24"/>
              </w:rPr>
            </w:pPr>
            <w:r w:rsidRPr="004E5451">
              <w:rPr>
                <w:rFonts w:ascii="Times New Roman" w:eastAsia="Times New Roman" w:hAnsi="Times New Roman" w:cs="Times New Roman"/>
                <w:i/>
                <w:iCs/>
                <w:sz w:val="24"/>
                <w:szCs w:val="24"/>
                <w:lang w:eastAsia="lv-LV"/>
              </w:rPr>
              <w:t>(seminārā)</w:t>
            </w:r>
          </w:p>
        </w:tc>
        <w:tc>
          <w:tcPr>
            <w:tcW w:w="2630" w:type="pct"/>
            <w:shd w:val="clear" w:color="auto" w:fill="auto"/>
          </w:tcPr>
          <w:p w14:paraId="2FD255EF" w14:textId="77777777" w:rsidR="005E4C5C" w:rsidRDefault="006B3674" w:rsidP="0002204C">
            <w:pPr>
              <w:spacing w:line="240"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Saskaņā ar MK noteikumu </w:t>
            </w:r>
            <w:r w:rsidR="0002204C" w:rsidRPr="0002204C">
              <w:rPr>
                <w:rFonts w:ascii="Times New Roman" w:hAnsi="Times New Roman" w:cs="Times New Roman"/>
                <w:color w:val="2F5496" w:themeColor="accent1" w:themeShade="BF"/>
                <w:sz w:val="24"/>
                <w:szCs w:val="24"/>
              </w:rPr>
              <w:t>37.punktu pievienotās vērtības nodoklis</w:t>
            </w:r>
            <w:r w:rsidR="005E4C5C">
              <w:rPr>
                <w:rFonts w:ascii="Times New Roman" w:hAnsi="Times New Roman" w:cs="Times New Roman"/>
                <w:color w:val="2F5496" w:themeColor="accent1" w:themeShade="BF"/>
                <w:sz w:val="24"/>
                <w:szCs w:val="24"/>
              </w:rPr>
              <w:t xml:space="preserve"> (PVN)</w:t>
            </w:r>
            <w:r w:rsidR="0002204C" w:rsidRPr="0002204C">
              <w:rPr>
                <w:rFonts w:ascii="Times New Roman" w:hAnsi="Times New Roman" w:cs="Times New Roman"/>
                <w:color w:val="2F5496" w:themeColor="accent1" w:themeShade="BF"/>
                <w:sz w:val="24"/>
                <w:szCs w:val="24"/>
              </w:rPr>
              <w:t>, kas tiešā veidā saistīts ar projektu, uzskatāms par attiecināmām izmaksām saskaņā ar Eiropas Parlamenta un Padomes 2021. gada 24. jūnija Regulas (ES) Nr. </w:t>
            </w:r>
            <w:hyperlink r:id="rId13" w:tgtFrame="_blank" w:history="1">
              <w:r w:rsidR="0002204C" w:rsidRPr="0002204C">
                <w:rPr>
                  <w:rFonts w:ascii="Times New Roman" w:hAnsi="Times New Roman" w:cs="Times New Roman"/>
                  <w:color w:val="2F5496" w:themeColor="accent1" w:themeShade="BF"/>
                  <w:sz w:val="24"/>
                  <w:szCs w:val="24"/>
                </w:rPr>
                <w:t>2021/1060</w:t>
              </w:r>
            </w:hyperlink>
            <w:r w:rsidR="0002204C" w:rsidRPr="0002204C">
              <w:rPr>
                <w:rFonts w:ascii="Times New Roman" w:hAnsi="Times New Roman" w:cs="Times New Roman"/>
                <w:color w:val="2F5496" w:themeColor="accent1" w:themeShade="BF"/>
                <w:sz w:val="24"/>
                <w:szCs w:val="24"/>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 </w:t>
            </w:r>
            <w:hyperlink r:id="rId14" w:tgtFrame="_blank" w:history="1">
              <w:r w:rsidR="0002204C" w:rsidRPr="0002204C">
                <w:rPr>
                  <w:rFonts w:ascii="Times New Roman" w:hAnsi="Times New Roman" w:cs="Times New Roman"/>
                  <w:color w:val="2F5496" w:themeColor="accent1" w:themeShade="BF"/>
                  <w:sz w:val="24"/>
                  <w:szCs w:val="24"/>
                </w:rPr>
                <w:t>2021/1060</w:t>
              </w:r>
            </w:hyperlink>
            <w:r w:rsidR="0002204C" w:rsidRPr="0002204C">
              <w:rPr>
                <w:rFonts w:ascii="Times New Roman" w:hAnsi="Times New Roman" w:cs="Times New Roman"/>
                <w:color w:val="2F5496" w:themeColor="accent1" w:themeShade="BF"/>
                <w:sz w:val="24"/>
                <w:szCs w:val="24"/>
              </w:rPr>
              <w:t>), 64. panta 1. punkta "c" apakšpunktā ietvertajiem nosacījumiem.</w:t>
            </w:r>
          </w:p>
          <w:p w14:paraId="175EA02E" w14:textId="5F18A197" w:rsidR="0032525D" w:rsidRDefault="00F5118A" w:rsidP="04D30B3B">
            <w:pPr>
              <w:spacing w:line="240" w:lineRule="auto"/>
              <w:jc w:val="both"/>
              <w:rPr>
                <w:rFonts w:ascii="Times New Roman" w:hAnsi="Times New Roman" w:cs="Times New Roman"/>
                <w:color w:val="2F5496" w:themeColor="accent1" w:themeShade="BF"/>
                <w:sz w:val="24"/>
                <w:szCs w:val="24"/>
              </w:rPr>
            </w:pPr>
            <w:r>
              <w:rPr>
                <w:rFonts w:ascii="Times New Roman" w:hAnsi="Times New Roman" w:cs="Times New Roman"/>
                <w:color w:val="2F5496" w:themeColor="accent1" w:themeShade="BF"/>
                <w:sz w:val="24"/>
                <w:szCs w:val="24"/>
              </w:rPr>
              <w:t xml:space="preserve">Ja projekta iesniedzējs ir </w:t>
            </w:r>
            <w:r w:rsidR="0016127B">
              <w:rPr>
                <w:rFonts w:ascii="Times New Roman" w:hAnsi="Times New Roman" w:cs="Times New Roman"/>
                <w:color w:val="2F5496" w:themeColor="accent1" w:themeShade="BF"/>
                <w:sz w:val="24"/>
                <w:szCs w:val="24"/>
              </w:rPr>
              <w:t xml:space="preserve">PVN maksātājs, tad </w:t>
            </w:r>
            <w:r w:rsidR="0028555D" w:rsidRPr="04D30B3B">
              <w:rPr>
                <w:rFonts w:ascii="Times New Roman" w:hAnsi="Times New Roman" w:cs="Times New Roman"/>
                <w:color w:val="2F5496" w:themeColor="accent1" w:themeShade="BF"/>
                <w:sz w:val="24"/>
                <w:szCs w:val="24"/>
              </w:rPr>
              <w:t>projekta īstenošanas laikā</w:t>
            </w:r>
            <w:r w:rsidR="0016127B" w:rsidRPr="04D30B3B">
              <w:rPr>
                <w:rFonts w:ascii="Times New Roman" w:hAnsi="Times New Roman" w:cs="Times New Roman"/>
                <w:color w:val="2F5496" w:themeColor="accent1" w:themeShade="BF"/>
                <w:sz w:val="24"/>
                <w:szCs w:val="24"/>
              </w:rPr>
              <w:t xml:space="preserve"> </w:t>
            </w:r>
            <w:r w:rsidR="0016127B">
              <w:rPr>
                <w:rFonts w:ascii="Times New Roman" w:hAnsi="Times New Roman" w:cs="Times New Roman"/>
                <w:color w:val="2F5496" w:themeColor="accent1" w:themeShade="BF"/>
                <w:sz w:val="24"/>
                <w:szCs w:val="24"/>
              </w:rPr>
              <w:t>jāiesniedz apliecinājums</w:t>
            </w:r>
            <w:r w:rsidR="002F1EAB">
              <w:rPr>
                <w:rFonts w:ascii="Times New Roman" w:hAnsi="Times New Roman" w:cs="Times New Roman"/>
                <w:color w:val="2F5496" w:themeColor="accent1" w:themeShade="BF"/>
                <w:sz w:val="24"/>
                <w:szCs w:val="24"/>
              </w:rPr>
              <w:t xml:space="preserve"> un PVN pārskats, tad daļu no PVN var attiecināt. </w:t>
            </w:r>
            <w:r w:rsidR="00290AF9">
              <w:rPr>
                <w:rFonts w:ascii="Times New Roman" w:hAnsi="Times New Roman" w:cs="Times New Roman"/>
                <w:color w:val="2F5496" w:themeColor="accent1" w:themeShade="BF"/>
                <w:sz w:val="24"/>
                <w:szCs w:val="24"/>
              </w:rPr>
              <w:t xml:space="preserve">Rakstot projekta iesniegumu, sākotnēji </w:t>
            </w:r>
            <w:r w:rsidR="00936DD2" w:rsidRPr="04D30B3B">
              <w:rPr>
                <w:rFonts w:ascii="Times New Roman" w:hAnsi="Times New Roman" w:cs="Times New Roman"/>
                <w:color w:val="2F5496" w:themeColor="accent1" w:themeShade="BF"/>
                <w:sz w:val="24"/>
                <w:szCs w:val="24"/>
              </w:rPr>
              <w:t>var norādīt</w:t>
            </w:r>
            <w:r w:rsidR="00290AF9">
              <w:rPr>
                <w:rFonts w:ascii="Times New Roman" w:hAnsi="Times New Roman" w:cs="Times New Roman"/>
                <w:color w:val="2F5496" w:themeColor="accent1" w:themeShade="BF"/>
                <w:sz w:val="24"/>
                <w:szCs w:val="24"/>
              </w:rPr>
              <w:t xml:space="preserve"> PVN kā attiecināmās izmaksas</w:t>
            </w:r>
            <w:r w:rsidR="00831CCC">
              <w:rPr>
                <w:rFonts w:ascii="Times New Roman" w:hAnsi="Times New Roman" w:cs="Times New Roman"/>
                <w:color w:val="2F5496" w:themeColor="accent1" w:themeShade="BF"/>
                <w:sz w:val="24"/>
                <w:szCs w:val="24"/>
              </w:rPr>
              <w:t xml:space="preserve"> un tad</w:t>
            </w:r>
            <w:r w:rsidR="00290AF9">
              <w:rPr>
                <w:rFonts w:ascii="Times New Roman" w:hAnsi="Times New Roman" w:cs="Times New Roman"/>
                <w:color w:val="2F5496" w:themeColor="accent1" w:themeShade="BF"/>
                <w:sz w:val="24"/>
                <w:szCs w:val="24"/>
              </w:rPr>
              <w:t xml:space="preserve"> projekta īstenošanas posmā</w:t>
            </w:r>
            <w:r w:rsidR="00831CCC">
              <w:rPr>
                <w:rFonts w:ascii="Times New Roman" w:hAnsi="Times New Roman" w:cs="Times New Roman"/>
                <w:color w:val="2F5496" w:themeColor="accent1" w:themeShade="BF"/>
                <w:sz w:val="24"/>
                <w:szCs w:val="24"/>
              </w:rPr>
              <w:t xml:space="preserve"> </w:t>
            </w:r>
            <w:r w:rsidR="00831CCC" w:rsidRPr="04D30B3B">
              <w:rPr>
                <w:rFonts w:ascii="Times New Roman" w:hAnsi="Times New Roman" w:cs="Times New Roman"/>
                <w:color w:val="2F5496" w:themeColor="accent1" w:themeShade="BF"/>
                <w:sz w:val="24"/>
                <w:szCs w:val="24"/>
              </w:rPr>
              <w:t>š</w:t>
            </w:r>
            <w:r w:rsidR="0058468E" w:rsidRPr="04D30B3B">
              <w:rPr>
                <w:rFonts w:ascii="Times New Roman" w:hAnsi="Times New Roman" w:cs="Times New Roman"/>
                <w:color w:val="2F5496" w:themeColor="accent1" w:themeShade="BF"/>
                <w:sz w:val="24"/>
                <w:szCs w:val="24"/>
              </w:rPr>
              <w:t xml:space="preserve">os </w:t>
            </w:r>
            <w:r w:rsidR="00831CCC" w:rsidRPr="04D30B3B">
              <w:rPr>
                <w:rFonts w:ascii="Times New Roman" w:hAnsi="Times New Roman" w:cs="Times New Roman"/>
                <w:color w:val="2F5496" w:themeColor="accent1" w:themeShade="BF"/>
                <w:sz w:val="24"/>
                <w:szCs w:val="24"/>
              </w:rPr>
              <w:t>dat</w:t>
            </w:r>
            <w:r w:rsidR="0058468E" w:rsidRPr="04D30B3B">
              <w:rPr>
                <w:rFonts w:ascii="Times New Roman" w:hAnsi="Times New Roman" w:cs="Times New Roman"/>
                <w:color w:val="2F5496" w:themeColor="accent1" w:themeShade="BF"/>
                <w:sz w:val="24"/>
                <w:szCs w:val="24"/>
              </w:rPr>
              <w:t xml:space="preserve">us pēc nepieciešamības </w:t>
            </w:r>
            <w:r w:rsidR="00831CCC" w:rsidRPr="04D30B3B">
              <w:rPr>
                <w:rFonts w:ascii="Times New Roman" w:hAnsi="Times New Roman" w:cs="Times New Roman"/>
                <w:color w:val="2F5496" w:themeColor="accent1" w:themeShade="BF"/>
                <w:sz w:val="24"/>
                <w:szCs w:val="24"/>
              </w:rPr>
              <w:t xml:space="preserve"> </w:t>
            </w:r>
            <w:r w:rsidR="0058468E" w:rsidRPr="04D30B3B">
              <w:rPr>
                <w:rFonts w:ascii="Times New Roman" w:hAnsi="Times New Roman" w:cs="Times New Roman"/>
                <w:color w:val="2F5496" w:themeColor="accent1" w:themeShade="BF"/>
                <w:sz w:val="24"/>
                <w:szCs w:val="24"/>
              </w:rPr>
              <w:t>precizēt</w:t>
            </w:r>
            <w:r w:rsidR="00AF3395" w:rsidRPr="04D30B3B">
              <w:rPr>
                <w:rFonts w:ascii="Times New Roman" w:hAnsi="Times New Roman" w:cs="Times New Roman"/>
                <w:color w:val="2F5496" w:themeColor="accent1" w:themeShade="BF"/>
                <w:sz w:val="24"/>
                <w:szCs w:val="24"/>
              </w:rPr>
              <w:t xml:space="preserve">. </w:t>
            </w:r>
          </w:p>
          <w:p w14:paraId="378D294F" w14:textId="2433B5F1" w:rsidR="00831CCC" w:rsidRDefault="00831CCC" w:rsidP="00643D59">
            <w:pPr>
              <w:spacing w:line="240" w:lineRule="auto"/>
              <w:rPr>
                <w:rFonts w:ascii="Times New Roman" w:hAnsi="Times New Roman" w:cs="Times New Roman"/>
                <w:color w:val="2F5496" w:themeColor="accent1" w:themeShade="BF"/>
                <w:sz w:val="24"/>
                <w:szCs w:val="24"/>
              </w:rPr>
            </w:pPr>
            <w:r w:rsidRPr="00D1575D">
              <w:rPr>
                <w:rFonts w:ascii="Times New Roman" w:hAnsi="Times New Roman" w:cs="Times New Roman"/>
                <w:i/>
                <w:iCs/>
                <w:color w:val="4472C4" w:themeColor="accent1"/>
                <w:sz w:val="24"/>
                <w:szCs w:val="24"/>
              </w:rPr>
              <w:t xml:space="preserve">(atbilde sniegta rakstiski </w:t>
            </w:r>
            <w:r>
              <w:rPr>
                <w:rFonts w:ascii="Times New Roman" w:hAnsi="Times New Roman" w:cs="Times New Roman"/>
                <w:i/>
                <w:iCs/>
                <w:color w:val="4472C4" w:themeColor="accent1"/>
                <w:sz w:val="24"/>
                <w:szCs w:val="24"/>
              </w:rPr>
              <w:t>03</w:t>
            </w:r>
            <w:r w:rsidRPr="00D1575D">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07</w:t>
            </w:r>
            <w:r w:rsidRPr="00D1575D">
              <w:rPr>
                <w:rFonts w:ascii="Times New Roman" w:hAnsi="Times New Roman" w:cs="Times New Roman"/>
                <w:i/>
                <w:iCs/>
                <w:color w:val="4472C4" w:themeColor="accent1"/>
                <w:sz w:val="24"/>
                <w:szCs w:val="24"/>
              </w:rPr>
              <w:t>.202</w:t>
            </w:r>
            <w:r>
              <w:rPr>
                <w:rFonts w:ascii="Times New Roman" w:hAnsi="Times New Roman" w:cs="Times New Roman"/>
                <w:i/>
                <w:iCs/>
                <w:color w:val="4472C4" w:themeColor="accent1"/>
                <w:sz w:val="24"/>
                <w:szCs w:val="24"/>
              </w:rPr>
              <w:t>4</w:t>
            </w:r>
            <w:r w:rsidRPr="00D1575D">
              <w:rPr>
                <w:rFonts w:ascii="Times New Roman" w:hAnsi="Times New Roman" w:cs="Times New Roman"/>
                <w:i/>
                <w:iCs/>
                <w:color w:val="4472C4" w:themeColor="accent1"/>
                <w:sz w:val="24"/>
                <w:szCs w:val="24"/>
              </w:rPr>
              <w:t>. semināra laikā)</w:t>
            </w:r>
          </w:p>
        </w:tc>
      </w:tr>
      <w:tr w:rsidR="013C6737" w14:paraId="1B9FAFD0" w14:textId="77777777" w:rsidTr="0CBE80E8">
        <w:trPr>
          <w:trHeight w:val="465"/>
        </w:trPr>
        <w:tc>
          <w:tcPr>
            <w:tcW w:w="977" w:type="dxa"/>
          </w:tcPr>
          <w:p w14:paraId="4A30AC3C" w14:textId="734084FF" w:rsidR="3B1F1740" w:rsidRDefault="3B1F1740" w:rsidP="013C6737">
            <w:pPr>
              <w:rPr>
                <w:rFonts w:ascii="Times New Roman" w:hAnsi="Times New Roman" w:cs="Times New Roman"/>
                <w:sz w:val="24"/>
                <w:szCs w:val="24"/>
              </w:rPr>
            </w:pPr>
            <w:r w:rsidRPr="04D30B3B">
              <w:rPr>
                <w:rFonts w:ascii="Times New Roman" w:hAnsi="Times New Roman" w:cs="Times New Roman"/>
                <w:sz w:val="24"/>
                <w:szCs w:val="24"/>
              </w:rPr>
              <w:t>5.</w:t>
            </w:r>
            <w:r w:rsidR="29275DC3" w:rsidRPr="04D30B3B">
              <w:rPr>
                <w:rFonts w:ascii="Times New Roman" w:hAnsi="Times New Roman" w:cs="Times New Roman"/>
                <w:sz w:val="24"/>
                <w:szCs w:val="24"/>
              </w:rPr>
              <w:t>3</w:t>
            </w:r>
            <w:r w:rsidRPr="04D30B3B">
              <w:rPr>
                <w:rFonts w:ascii="Times New Roman" w:hAnsi="Times New Roman" w:cs="Times New Roman"/>
                <w:sz w:val="24"/>
                <w:szCs w:val="24"/>
              </w:rPr>
              <w:t>.</w:t>
            </w:r>
          </w:p>
        </w:tc>
        <w:tc>
          <w:tcPr>
            <w:tcW w:w="6317" w:type="dxa"/>
            <w:shd w:val="clear" w:color="auto" w:fill="auto"/>
          </w:tcPr>
          <w:p w14:paraId="00F13116" w14:textId="28CE643C" w:rsidR="297E597A" w:rsidRDefault="297E597A" w:rsidP="00B51E67">
            <w:pPr>
              <w:jc w:val="both"/>
              <w:rPr>
                <w:rFonts w:ascii="Times New Roman" w:hAnsi="Times New Roman" w:cs="Times New Roman"/>
                <w:sz w:val="24"/>
                <w:szCs w:val="24"/>
              </w:rPr>
            </w:pPr>
            <w:r w:rsidRPr="013C6737">
              <w:rPr>
                <w:rFonts w:ascii="Times New Roman" w:hAnsi="Times New Roman" w:cs="Times New Roman"/>
                <w:sz w:val="24"/>
                <w:szCs w:val="24"/>
              </w:rPr>
              <w:t xml:space="preserve">Vai sniegtie pakalpojumi valsts/maksas ir jāizvelk no ārstniecības programmām par katru ambulatoro kabinetu atsevišķi vai var tomēr norādīt visu ambulatoro kabinetu </w:t>
            </w:r>
            <w:r w:rsidRPr="013C6737">
              <w:rPr>
                <w:rFonts w:ascii="Times New Roman" w:hAnsi="Times New Roman" w:cs="Times New Roman"/>
                <w:sz w:val="24"/>
                <w:szCs w:val="24"/>
              </w:rPr>
              <w:lastRenderedPageBreak/>
              <w:t>kopējo sniegto pakalpojumu, kuri tiks atjaunoti projekta ietvaros?</w:t>
            </w:r>
          </w:p>
          <w:p w14:paraId="6DD3C2F6" w14:textId="6453530B" w:rsidR="297E597A" w:rsidRDefault="297E597A" w:rsidP="00B51E67">
            <w:pPr>
              <w:jc w:val="both"/>
              <w:rPr>
                <w:rFonts w:ascii="Times New Roman" w:hAnsi="Times New Roman" w:cs="Times New Roman"/>
                <w:i/>
                <w:iCs/>
                <w:sz w:val="24"/>
                <w:szCs w:val="24"/>
              </w:rPr>
            </w:pPr>
            <w:r w:rsidRPr="013C6737">
              <w:rPr>
                <w:rFonts w:ascii="Times New Roman" w:hAnsi="Times New Roman" w:cs="Times New Roman"/>
                <w:i/>
                <w:iCs/>
                <w:sz w:val="24"/>
                <w:szCs w:val="24"/>
              </w:rPr>
              <w:t>(rakstiski)</w:t>
            </w:r>
          </w:p>
        </w:tc>
        <w:tc>
          <w:tcPr>
            <w:tcW w:w="8094" w:type="dxa"/>
            <w:shd w:val="clear" w:color="auto" w:fill="auto"/>
          </w:tcPr>
          <w:p w14:paraId="46B7184C" w14:textId="2E0B3FE9" w:rsidR="00837184" w:rsidRDefault="297E597A" w:rsidP="005D6F24">
            <w:pPr>
              <w:spacing w:line="240" w:lineRule="auto"/>
              <w:jc w:val="both"/>
              <w:rPr>
                <w:rFonts w:ascii="Times New Roman" w:hAnsi="Times New Roman" w:cs="Times New Roman"/>
                <w:color w:val="2F5496" w:themeColor="accent1" w:themeShade="BF"/>
                <w:sz w:val="24"/>
                <w:szCs w:val="24"/>
              </w:rPr>
            </w:pPr>
            <w:r w:rsidRPr="013C6737">
              <w:rPr>
                <w:rFonts w:ascii="Times New Roman" w:hAnsi="Times New Roman" w:cs="Times New Roman"/>
                <w:color w:val="2F5496" w:themeColor="accent1" w:themeShade="BF"/>
                <w:sz w:val="24"/>
                <w:szCs w:val="24"/>
              </w:rPr>
              <w:lastRenderedPageBreak/>
              <w:t xml:space="preserve">Atbilstoši metodikai, ambulatorajiem pakalpojumiem kā pamatu laika noteikšanai jāizmanto reālie dati par pacientu skaitu un finansēšanas avotiem, atbilstoši attīstāmajai infrastruktūrai, atbilstoši </w:t>
            </w:r>
            <w:hyperlink r:id="rId15" w:history="1">
              <w:r w:rsidRPr="00F818B3">
                <w:rPr>
                  <w:rStyle w:val="Hyperlink"/>
                  <w:rFonts w:ascii="Times New Roman" w:hAnsi="Times New Roman" w:cs="Times New Roman"/>
                  <w:sz w:val="24"/>
                  <w:szCs w:val="24"/>
                </w:rPr>
                <w:t>metodikas</w:t>
              </w:r>
            </w:hyperlink>
            <w:r w:rsidR="00F818B3">
              <w:rPr>
                <w:rFonts w:ascii="Times New Roman" w:hAnsi="Times New Roman" w:cs="Times New Roman"/>
                <w:color w:val="2F5496" w:themeColor="accent1" w:themeShade="BF"/>
                <w:sz w:val="24"/>
                <w:szCs w:val="24"/>
              </w:rPr>
              <w:t xml:space="preserve"> par proporcijas </w:t>
            </w:r>
            <w:r w:rsidR="00AC06E7">
              <w:rPr>
                <w:rFonts w:ascii="Times New Roman" w:hAnsi="Times New Roman" w:cs="Times New Roman"/>
                <w:color w:val="2F5496" w:themeColor="accent1" w:themeShade="BF"/>
                <w:sz w:val="24"/>
                <w:szCs w:val="24"/>
              </w:rPr>
              <w:t xml:space="preserve">aprēķiniem </w:t>
            </w:r>
            <w:r w:rsidRPr="013C6737">
              <w:rPr>
                <w:rFonts w:ascii="Times New Roman" w:hAnsi="Times New Roman" w:cs="Times New Roman"/>
                <w:color w:val="2F5496" w:themeColor="accent1" w:themeShade="BF"/>
                <w:sz w:val="24"/>
                <w:szCs w:val="24"/>
              </w:rPr>
              <w:t xml:space="preserve"> 8.5. punktam. </w:t>
            </w:r>
          </w:p>
          <w:p w14:paraId="3DFC1855" w14:textId="2C189920" w:rsidR="297E597A" w:rsidRDefault="297E597A" w:rsidP="04D30B3B">
            <w:pPr>
              <w:spacing w:line="240" w:lineRule="auto"/>
              <w:jc w:val="both"/>
              <w:rPr>
                <w:rFonts w:ascii="Times New Roman" w:hAnsi="Times New Roman" w:cs="Times New Roman"/>
                <w:color w:val="2F5496" w:themeColor="accent1" w:themeShade="BF"/>
                <w:sz w:val="24"/>
                <w:szCs w:val="24"/>
              </w:rPr>
            </w:pPr>
            <w:r w:rsidRPr="04D30B3B">
              <w:rPr>
                <w:rFonts w:ascii="Times New Roman" w:hAnsi="Times New Roman" w:cs="Times New Roman"/>
                <w:color w:val="2F5496" w:themeColor="accent1" w:themeShade="BF"/>
                <w:sz w:val="24"/>
                <w:szCs w:val="24"/>
              </w:rPr>
              <w:lastRenderedPageBreak/>
              <w:t>Ja ambulatorās daļas attīstāmajā infrastruktūrā ir diagnostikas kabineti (8.5.6. punkts), tad aprēķini par šiem kabinetiem būtu izdalāmi atsevišķi, savukārt, ja tiek attīstīta tikai ambulatorā daļa (bez diagnostikas kabinetiem), tad aprēķinu var veikt par kopā  visiem ambulatorajiem pakalpojumiem, atbilstoši attīstāmajai infrastruktūrai.</w:t>
            </w:r>
          </w:p>
          <w:p w14:paraId="04611C71" w14:textId="1BE085F1" w:rsidR="297E597A" w:rsidRDefault="297E597A" w:rsidP="04D30B3B">
            <w:pPr>
              <w:jc w:val="both"/>
              <w:rPr>
                <w:rFonts w:ascii="Times New Roman" w:hAnsi="Times New Roman" w:cs="Times New Roman"/>
                <w:color w:val="4472C4" w:themeColor="accent1"/>
                <w:sz w:val="24"/>
                <w:szCs w:val="24"/>
              </w:rPr>
            </w:pPr>
            <w:r w:rsidRPr="04D30B3B">
              <w:rPr>
                <w:rFonts w:ascii="Times New Roman" w:hAnsi="Times New Roman" w:cs="Times New Roman"/>
                <w:i/>
                <w:iCs/>
                <w:color w:val="4472C4" w:themeColor="accent1"/>
                <w:sz w:val="24"/>
                <w:szCs w:val="24"/>
              </w:rPr>
              <w:t>(atbilde sniegta rakstiski)</w:t>
            </w:r>
          </w:p>
        </w:tc>
      </w:tr>
      <w:tr w:rsidR="013C6737" w14:paraId="18613B75" w14:textId="77777777" w:rsidTr="0CBE80E8">
        <w:trPr>
          <w:trHeight w:val="465"/>
        </w:trPr>
        <w:tc>
          <w:tcPr>
            <w:tcW w:w="977" w:type="dxa"/>
          </w:tcPr>
          <w:p w14:paraId="4086761E" w14:textId="75C95A98" w:rsidR="297E597A" w:rsidRDefault="297E597A" w:rsidP="013C6737">
            <w:pPr>
              <w:rPr>
                <w:rFonts w:ascii="Times New Roman" w:hAnsi="Times New Roman" w:cs="Times New Roman"/>
                <w:sz w:val="24"/>
                <w:szCs w:val="24"/>
              </w:rPr>
            </w:pPr>
            <w:r w:rsidRPr="04D30B3B">
              <w:rPr>
                <w:rFonts w:ascii="Times New Roman" w:hAnsi="Times New Roman" w:cs="Times New Roman"/>
                <w:sz w:val="24"/>
                <w:szCs w:val="24"/>
              </w:rPr>
              <w:lastRenderedPageBreak/>
              <w:t>5.</w:t>
            </w:r>
            <w:r w:rsidR="067CABDE" w:rsidRPr="04D30B3B">
              <w:rPr>
                <w:rFonts w:ascii="Times New Roman" w:hAnsi="Times New Roman" w:cs="Times New Roman"/>
                <w:sz w:val="24"/>
                <w:szCs w:val="24"/>
              </w:rPr>
              <w:t>4</w:t>
            </w:r>
            <w:r w:rsidRPr="04D30B3B">
              <w:rPr>
                <w:rFonts w:ascii="Times New Roman" w:hAnsi="Times New Roman" w:cs="Times New Roman"/>
                <w:sz w:val="24"/>
                <w:szCs w:val="24"/>
              </w:rPr>
              <w:t>.</w:t>
            </w:r>
          </w:p>
        </w:tc>
        <w:tc>
          <w:tcPr>
            <w:tcW w:w="6317" w:type="dxa"/>
            <w:shd w:val="clear" w:color="auto" w:fill="auto"/>
          </w:tcPr>
          <w:p w14:paraId="79EEEC68" w14:textId="77592094" w:rsidR="297E597A" w:rsidRDefault="297E597A" w:rsidP="00B51E67">
            <w:pPr>
              <w:jc w:val="both"/>
              <w:rPr>
                <w:rFonts w:ascii="Times New Roman" w:hAnsi="Times New Roman" w:cs="Times New Roman"/>
                <w:sz w:val="24"/>
                <w:szCs w:val="24"/>
              </w:rPr>
            </w:pPr>
            <w:r w:rsidRPr="013C6737">
              <w:rPr>
                <w:rFonts w:ascii="Times New Roman" w:hAnsi="Times New Roman" w:cs="Times New Roman"/>
                <w:sz w:val="24"/>
                <w:szCs w:val="24"/>
              </w:rPr>
              <w:t>Mums ir paredzēts atjaunot arī reģistratūras daļu, kas atrodas pa vidu tieši ambulatorai nodaļai. Gribēju saprast, kā mēs šeit rādītājus ņemam par visu nodaļu kopumā? Vai tikai to kabinetu statistiku, kas ir iekļauti projektā?</w:t>
            </w:r>
          </w:p>
          <w:p w14:paraId="3973301E" w14:textId="2120726B" w:rsidR="297E597A" w:rsidRDefault="297E597A" w:rsidP="00B51E67">
            <w:pPr>
              <w:jc w:val="both"/>
              <w:rPr>
                <w:rFonts w:ascii="Times New Roman" w:hAnsi="Times New Roman" w:cs="Times New Roman"/>
                <w:i/>
                <w:iCs/>
                <w:sz w:val="24"/>
                <w:szCs w:val="24"/>
              </w:rPr>
            </w:pPr>
            <w:r w:rsidRPr="013C6737">
              <w:rPr>
                <w:rFonts w:ascii="Times New Roman" w:hAnsi="Times New Roman" w:cs="Times New Roman"/>
                <w:i/>
                <w:iCs/>
                <w:sz w:val="24"/>
                <w:szCs w:val="24"/>
              </w:rPr>
              <w:t>(rakstiski)</w:t>
            </w:r>
          </w:p>
        </w:tc>
        <w:tc>
          <w:tcPr>
            <w:tcW w:w="8094" w:type="dxa"/>
            <w:shd w:val="clear" w:color="auto" w:fill="auto"/>
          </w:tcPr>
          <w:p w14:paraId="2A317237" w14:textId="3032A8ED" w:rsidR="297E597A" w:rsidRDefault="297E597A" w:rsidP="013C6737">
            <w:pPr>
              <w:spacing w:line="240" w:lineRule="auto"/>
              <w:rPr>
                <w:rFonts w:ascii="Times New Roman" w:hAnsi="Times New Roman" w:cs="Times New Roman"/>
                <w:color w:val="2F5496" w:themeColor="accent1" w:themeShade="BF"/>
                <w:sz w:val="24"/>
                <w:szCs w:val="24"/>
              </w:rPr>
            </w:pPr>
            <w:r w:rsidRPr="013C6737">
              <w:rPr>
                <w:rFonts w:ascii="Times New Roman" w:hAnsi="Times New Roman" w:cs="Times New Roman"/>
                <w:color w:val="2F5496" w:themeColor="accent1" w:themeShade="BF"/>
                <w:sz w:val="24"/>
                <w:szCs w:val="24"/>
              </w:rPr>
              <w:t xml:space="preserve">Lai veiktu aprēķinu reģistratūras daļai, atbilstoši metodikas 19.punktam, aprēķina informācijā ir jāiekļauj visas struktūras, kas uz šo darbību attiecas, t.i. visas struktūras, ko apkalpo reģistratūra, aizpildot </w:t>
            </w:r>
            <w:r w:rsidRPr="013C6737">
              <w:rPr>
                <w:rFonts w:ascii="Times New Roman" w:hAnsi="Times New Roman" w:cs="Times New Roman"/>
                <w:i/>
                <w:iCs/>
                <w:color w:val="2F5496" w:themeColor="accent1" w:themeShade="BF"/>
                <w:sz w:val="24"/>
                <w:szCs w:val="24"/>
              </w:rPr>
              <w:t xml:space="preserve">excel  </w:t>
            </w:r>
            <w:r w:rsidRPr="013C6737">
              <w:rPr>
                <w:rFonts w:ascii="Times New Roman" w:hAnsi="Times New Roman" w:cs="Times New Roman"/>
                <w:color w:val="2F5496" w:themeColor="accent1" w:themeShade="BF"/>
                <w:sz w:val="24"/>
                <w:szCs w:val="24"/>
              </w:rPr>
              <w:t>sadaļu “saistītā infrastruktūra”  informāciju par infrastruktūru, kurai nav iespējams noteikt izmantošanas laiku.</w:t>
            </w:r>
          </w:p>
          <w:p w14:paraId="75304CFD" w14:textId="13E45D1A" w:rsidR="297E597A" w:rsidRDefault="297E597A" w:rsidP="013C6737">
            <w:pPr>
              <w:rPr>
                <w:rFonts w:ascii="Times New Roman" w:hAnsi="Times New Roman" w:cs="Times New Roman"/>
                <w:color w:val="4472C4" w:themeColor="accent1"/>
                <w:sz w:val="24"/>
                <w:szCs w:val="24"/>
              </w:rPr>
            </w:pPr>
            <w:r w:rsidRPr="013C6737">
              <w:rPr>
                <w:rFonts w:ascii="Times New Roman" w:hAnsi="Times New Roman" w:cs="Times New Roman"/>
                <w:i/>
                <w:iCs/>
                <w:color w:val="4472C4" w:themeColor="accent1"/>
                <w:sz w:val="24"/>
                <w:szCs w:val="24"/>
              </w:rPr>
              <w:t>(atbilde sniegta rakstiski)</w:t>
            </w:r>
          </w:p>
        </w:tc>
      </w:tr>
      <w:tr w:rsidR="00172B3C" w14:paraId="7CA791BE" w14:textId="77777777" w:rsidTr="0CBE80E8">
        <w:trPr>
          <w:trHeight w:val="465"/>
        </w:trPr>
        <w:tc>
          <w:tcPr>
            <w:tcW w:w="977" w:type="dxa"/>
          </w:tcPr>
          <w:p w14:paraId="57514392" w14:textId="1AD07A89" w:rsidR="00172B3C" w:rsidRPr="04D30B3B" w:rsidRDefault="00172B3C" w:rsidP="0027119C">
            <w:pPr>
              <w:jc w:val="both"/>
              <w:rPr>
                <w:rFonts w:ascii="Times New Roman" w:hAnsi="Times New Roman" w:cs="Times New Roman"/>
                <w:sz w:val="24"/>
                <w:szCs w:val="24"/>
              </w:rPr>
            </w:pPr>
            <w:r>
              <w:rPr>
                <w:rFonts w:ascii="Times New Roman" w:hAnsi="Times New Roman" w:cs="Times New Roman"/>
                <w:sz w:val="24"/>
                <w:szCs w:val="24"/>
              </w:rPr>
              <w:t>5.5.</w:t>
            </w:r>
          </w:p>
        </w:tc>
        <w:tc>
          <w:tcPr>
            <w:tcW w:w="6317" w:type="dxa"/>
            <w:shd w:val="clear" w:color="auto" w:fill="auto"/>
          </w:tcPr>
          <w:p w14:paraId="3DB843A4" w14:textId="46849089" w:rsidR="00172B3C" w:rsidRDefault="00172B3C" w:rsidP="0027119C">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1. </w:t>
            </w:r>
            <w:r w:rsidRPr="00172B3C">
              <w:rPr>
                <w:rFonts w:ascii="Times New Roman" w:hAnsi="Times New Roman" w:cs="Times New Roman"/>
                <w:sz w:val="24"/>
                <w:szCs w:val="24"/>
              </w:rPr>
              <w:t>Gatavojot projekta pieteikumu, vēlētos precizēt, kā aizpildīt projekta budžeta kopsavilkuma sadaļu - iepriekšējā projektā budžeta kopsavilkuma sadaļu pildījām pēc šāda principa - detalizēti norādījām iekārtas &gt;20k EUR, savukārt tās, kam 1 vienības izmaksas &lt;20k EUR, tika liktas visas kopā vienā budžeta pozīcijā, norādot attiecīgi klāt visu darbību numurus (skatīt zemāk, tā šobrīd izskatās mūsu šī brīža budžeta kopsavilkums). Vai pēc šāda paša principa darām arī šoreiz, vai arī vēlaties, lai arī mazās iekārtas liekam un izdalām pa vienai tāpat kā lielās iekārtas?</w:t>
            </w:r>
          </w:p>
          <w:p w14:paraId="43E1CC1B" w14:textId="334A7984" w:rsidR="00EB7334" w:rsidRPr="00172B3C" w:rsidRDefault="00EB7334" w:rsidP="0027119C">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r w:rsidR="00851A8F">
              <w:rPr>
                <w:rFonts w:ascii="Times New Roman" w:hAnsi="Times New Roman" w:cs="Times New Roman"/>
                <w:sz w:val="24"/>
                <w:szCs w:val="24"/>
              </w:rPr>
              <w:t xml:space="preserve"> </w:t>
            </w:r>
            <w:r w:rsidR="0027119C" w:rsidRPr="0027119C">
              <w:rPr>
                <w:rFonts w:ascii="Times New Roman" w:hAnsi="Times New Roman" w:cs="Times New Roman"/>
                <w:sz w:val="24"/>
                <w:szCs w:val="24"/>
              </w:rPr>
              <w:t>Vai ar izmaksas pamatojošajiem dokumentiem domāti piegādātāju piedāvājumi ar konkrētām summām vai pietiek ar iekārtu Excel sarakstu un norādītām plānotajām iekārtu iegādes izmaksām?</w:t>
            </w:r>
          </w:p>
          <w:p w14:paraId="639A1F70" w14:textId="77777777" w:rsidR="00172B3C" w:rsidRPr="013C6737" w:rsidRDefault="00172B3C" w:rsidP="0027119C">
            <w:pPr>
              <w:jc w:val="both"/>
              <w:rPr>
                <w:rFonts w:ascii="Times New Roman" w:hAnsi="Times New Roman" w:cs="Times New Roman"/>
                <w:sz w:val="24"/>
                <w:szCs w:val="24"/>
              </w:rPr>
            </w:pPr>
          </w:p>
        </w:tc>
        <w:tc>
          <w:tcPr>
            <w:tcW w:w="8094" w:type="dxa"/>
            <w:shd w:val="clear" w:color="auto" w:fill="auto"/>
          </w:tcPr>
          <w:p w14:paraId="6AA8631F" w14:textId="77777777" w:rsidR="00E97EDB" w:rsidRPr="00D951CA" w:rsidRDefault="00E97EDB" w:rsidP="00E97EDB">
            <w:pPr>
              <w:spacing w:before="100" w:beforeAutospacing="1" w:after="100" w:afterAutospacing="1"/>
              <w:rPr>
                <w:rFonts w:ascii="Times New Roman" w:hAnsi="Times New Roman" w:cs="Times New Roman"/>
                <w:color w:val="0070C0"/>
                <w:sz w:val="24"/>
                <w:szCs w:val="24"/>
              </w:rPr>
            </w:pPr>
            <w:r w:rsidRPr="00D951CA">
              <w:rPr>
                <w:rFonts w:ascii="Times New Roman" w:hAnsi="Times New Roman" w:cs="Times New Roman"/>
                <w:color w:val="0070C0"/>
                <w:sz w:val="24"/>
                <w:szCs w:val="24"/>
              </w:rPr>
              <w:t xml:space="preserve">Atbildot uz Jūsu jautājumu, skaidrojam: </w:t>
            </w:r>
          </w:p>
          <w:p w14:paraId="70788C10" w14:textId="77777777" w:rsidR="00E97EDB" w:rsidRPr="00D951CA" w:rsidRDefault="00E97EDB" w:rsidP="002E10D4">
            <w:pPr>
              <w:pStyle w:val="m-6645343138047643527msolistparagraph"/>
              <w:numPr>
                <w:ilvl w:val="0"/>
                <w:numId w:val="27"/>
              </w:numPr>
              <w:ind w:left="0" w:firstLine="242"/>
              <w:jc w:val="both"/>
              <w:rPr>
                <w:rFonts w:ascii="Times New Roman" w:hAnsi="Times New Roman" w:cs="Times New Roman"/>
                <w:color w:val="0070C0"/>
                <w:lang w:eastAsia="en-US"/>
              </w:rPr>
            </w:pPr>
            <w:r w:rsidRPr="00D951CA">
              <w:rPr>
                <w:rFonts w:ascii="Times New Roman" w:hAnsi="Times New Roman" w:cs="Times New Roman"/>
                <w:color w:val="0070C0"/>
                <w:lang w:eastAsia="en-US"/>
              </w:rPr>
              <w:t xml:space="preserve">Projekta iesnieguma sadaļā “Budžeta kopsavilkums”  var norādīt izmaksas par medicīnas tehnoloģijām (izmaksas pārsniedz 20 000 euro) kopā vienā izmaksu pozīcijā Nr. 6.2.1., izmaksas par  medicīnas tehnoloģijām (izmaksas nepārsniedz 20 000 euro) kopā vienā izmaksu pozīcijā Nr. 6.2.2. un  projekta iesniegumam pielikumā pievienot izmaksu skaidrojumu /pamatojumu excel tabulā. </w:t>
            </w:r>
          </w:p>
          <w:p w14:paraId="0A2D6EC0" w14:textId="77777777" w:rsidR="00E14E8F" w:rsidRPr="00D951CA" w:rsidRDefault="00E97EDB" w:rsidP="002E10D4">
            <w:pPr>
              <w:pStyle w:val="m-6645343138047643527msolistparagraph"/>
              <w:ind w:firstLine="242"/>
              <w:jc w:val="both"/>
              <w:rPr>
                <w:rFonts w:ascii="Times New Roman" w:hAnsi="Times New Roman" w:cs="Times New Roman"/>
                <w:color w:val="0070C0"/>
                <w:lang w:eastAsia="en-US"/>
              </w:rPr>
            </w:pPr>
            <w:r w:rsidRPr="00D951CA">
              <w:rPr>
                <w:rFonts w:ascii="Times New Roman" w:hAnsi="Times New Roman" w:cs="Times New Roman"/>
                <w:color w:val="0070C0"/>
                <w:lang w:eastAsia="en-US"/>
              </w:rPr>
              <w:t>Papildus nepieciešams izvērtēt cik daudz apakšdarbības nepieciešams veidot, jo katrai iekārtai nav nepieciešams veidot savu apakšdarbību, bet var veidot apakšdarbības, piemēram, atbilstoši ieguldījumiem nodaļā (piemēram, uzņemšanas nodaļa, otolaringologa kabinets utt.),  vai arī izveidot 1 apakšdarbību medicīnas tehnoloģijām, kuru izmaksas pārsniedz 20 000 euro un 1 apakšdarbību medicīnas tehnoloģijām, kuru izmaksas nepārsniedz 20 000 euro;</w:t>
            </w:r>
          </w:p>
          <w:p w14:paraId="6F036436" w14:textId="729DBAF9" w:rsidR="00E97EDB" w:rsidRPr="00D951CA" w:rsidRDefault="00E97EDB" w:rsidP="002E10D4">
            <w:pPr>
              <w:pStyle w:val="m-6645343138047643527msolistparagraph"/>
              <w:numPr>
                <w:ilvl w:val="0"/>
                <w:numId w:val="27"/>
              </w:numPr>
              <w:ind w:left="0" w:firstLine="242"/>
              <w:jc w:val="both"/>
              <w:rPr>
                <w:rFonts w:ascii="Times New Roman" w:hAnsi="Times New Roman" w:cs="Times New Roman"/>
                <w:color w:val="0070C0"/>
                <w:lang w:eastAsia="en-US"/>
              </w:rPr>
            </w:pPr>
            <w:r w:rsidRPr="00D951CA">
              <w:rPr>
                <w:rFonts w:ascii="Times New Roman" w:hAnsi="Times New Roman" w:cs="Times New Roman"/>
                <w:color w:val="0070C0"/>
                <w:lang w:eastAsia="en-US"/>
              </w:rPr>
              <w:t xml:space="preserve">Attiecībā uz iekārtu izmaksu pamatojumiem, var veidot arī iekārtu </w:t>
            </w:r>
            <w:r w:rsidRPr="00D951CA">
              <w:rPr>
                <w:rFonts w:ascii="Times New Roman" w:hAnsi="Times New Roman" w:cs="Times New Roman"/>
                <w:i/>
                <w:iCs/>
                <w:color w:val="0070C0"/>
                <w:lang w:eastAsia="en-US"/>
              </w:rPr>
              <w:t>excel</w:t>
            </w:r>
            <w:r w:rsidRPr="00D951CA">
              <w:rPr>
                <w:rFonts w:ascii="Times New Roman" w:hAnsi="Times New Roman" w:cs="Times New Roman"/>
                <w:color w:val="0070C0"/>
                <w:lang w:eastAsia="en-US"/>
              </w:rPr>
              <w:t xml:space="preserve"> sarakstu ar norādītām plānotajām iekārtu iegādes izmaksām, kur papildus tiek norādīta informāciju ar izmaksu pamatojumiem (piemēram, veikta tirgus izpēte, pieredze līdzīgos iepirkumos), uzmanību jāpievērš tieši medicīnas tehnoloģijām virs 20 000  euro. </w:t>
            </w:r>
          </w:p>
          <w:p w14:paraId="2BAC80E0" w14:textId="77777777" w:rsidR="00172B3C" w:rsidRPr="00D951CA" w:rsidRDefault="00C462B0" w:rsidP="00C462B0">
            <w:pPr>
              <w:pStyle w:val="m-6645343138047643527msolistparagraph"/>
              <w:jc w:val="both"/>
              <w:rPr>
                <w:rFonts w:ascii="Times New Roman" w:hAnsi="Times New Roman" w:cs="Times New Roman"/>
                <w:i/>
                <w:iCs/>
                <w:color w:val="0070C0"/>
              </w:rPr>
            </w:pPr>
            <w:r w:rsidRPr="00D951CA">
              <w:rPr>
                <w:rFonts w:ascii="Times New Roman" w:hAnsi="Times New Roman" w:cs="Times New Roman"/>
                <w:i/>
                <w:iCs/>
                <w:color w:val="0070C0"/>
              </w:rPr>
              <w:t>(atbilde sniegta rakstiski)</w:t>
            </w:r>
          </w:p>
          <w:p w14:paraId="2AB4FF01" w14:textId="57499123" w:rsidR="00C462B0" w:rsidRPr="00D951CA" w:rsidRDefault="00C462B0" w:rsidP="00C462B0">
            <w:pPr>
              <w:pStyle w:val="m-6645343138047643527msolistparagraph"/>
              <w:jc w:val="both"/>
              <w:rPr>
                <w:rFonts w:ascii="Times New Roman" w:hAnsi="Times New Roman" w:cs="Times New Roman"/>
                <w:color w:val="0070C0"/>
                <w:lang w:eastAsia="en-US"/>
              </w:rPr>
            </w:pPr>
          </w:p>
        </w:tc>
      </w:tr>
      <w:tr w:rsidR="00C7614F" w14:paraId="277F27F2" w14:textId="77777777" w:rsidTr="00E6653F">
        <w:trPr>
          <w:trHeight w:val="2117"/>
        </w:trPr>
        <w:tc>
          <w:tcPr>
            <w:tcW w:w="977" w:type="dxa"/>
          </w:tcPr>
          <w:p w14:paraId="043EFE0D" w14:textId="1DB84871" w:rsidR="00C7614F" w:rsidRDefault="00C7614F" w:rsidP="0027119C">
            <w:pPr>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6317" w:type="dxa"/>
            <w:shd w:val="clear" w:color="auto" w:fill="auto"/>
          </w:tcPr>
          <w:p w14:paraId="46688187" w14:textId="77777777" w:rsidR="00C7614F" w:rsidRPr="00C7614F" w:rsidRDefault="00C7614F" w:rsidP="00C7614F">
            <w:pPr>
              <w:jc w:val="both"/>
              <w:rPr>
                <w:rFonts w:ascii="Times New Roman" w:hAnsi="Times New Roman" w:cs="Times New Roman"/>
                <w:sz w:val="24"/>
                <w:szCs w:val="24"/>
              </w:rPr>
            </w:pPr>
            <w:r w:rsidRPr="00C7614F">
              <w:rPr>
                <w:rFonts w:ascii="Times New Roman" w:hAnsi="Times New Roman" w:cs="Times New Roman"/>
                <w:sz w:val="24"/>
                <w:szCs w:val="24"/>
              </w:rPr>
              <w:t>Vai kopumā vispār būtu jāiekļauj projektā darbības, kam nav piesaistes budžetam, jeb, kas tiks īstenotas par finansējuma saņēmēja pašu līdzekļiem - tas ir - projekta vadība un īstenošana un publicitātes pasākumi (sistēma attiecīgi neļauj tādas pievienot budžeta sadaļai, jo attiecināmo izmaksu summas ir 0)?</w:t>
            </w:r>
          </w:p>
          <w:p w14:paraId="7FA4E3F4" w14:textId="77777777" w:rsidR="00C7614F" w:rsidRDefault="00C7614F" w:rsidP="0027119C">
            <w:pPr>
              <w:spacing w:before="100" w:beforeAutospacing="1" w:after="100" w:afterAutospacing="1"/>
              <w:jc w:val="both"/>
              <w:rPr>
                <w:rFonts w:ascii="Times New Roman" w:hAnsi="Times New Roman" w:cs="Times New Roman"/>
                <w:sz w:val="24"/>
                <w:szCs w:val="24"/>
              </w:rPr>
            </w:pPr>
          </w:p>
        </w:tc>
        <w:tc>
          <w:tcPr>
            <w:tcW w:w="8094" w:type="dxa"/>
            <w:shd w:val="clear" w:color="auto" w:fill="auto"/>
          </w:tcPr>
          <w:p w14:paraId="5CA9F862" w14:textId="2B21890A" w:rsidR="00C462B0" w:rsidRPr="00D951CA" w:rsidRDefault="00C462B0" w:rsidP="00D951CA">
            <w:pPr>
              <w:pStyle w:val="Heading3"/>
              <w:shd w:val="clear" w:color="auto" w:fill="FFFFFF"/>
              <w:jc w:val="both"/>
              <w:textAlignment w:val="baseline"/>
              <w:rPr>
                <w:rFonts w:ascii="Times New Roman" w:eastAsia="Times New Roman" w:hAnsi="Times New Roman" w:cs="Times New Roman"/>
                <w:color w:val="0070C0"/>
              </w:rPr>
            </w:pPr>
            <w:r w:rsidRPr="00D951CA">
              <w:rPr>
                <w:rFonts w:ascii="Times New Roman" w:eastAsia="Times New Roman" w:hAnsi="Times New Roman" w:cs="Times New Roman"/>
                <w:color w:val="0070C0"/>
              </w:rPr>
              <w:t xml:space="preserve">Gadījumā, ja kādu no darbībām plānots segt no sava finansējuma (piemēram, vadības personāls, komunikācijas izmaksas), tad šādu darbību projekta iesniegumā nenorāda, bet projekta iesniegumā (piemēram, sadaļā “Projekta īstenošanas kapacitāte”) sniedz informāciju, ka izmaksas tiks segtas no privātā finansējumu. </w:t>
            </w:r>
          </w:p>
          <w:p w14:paraId="7FAA9E71" w14:textId="77777777" w:rsidR="00C462B0" w:rsidRPr="00D951CA" w:rsidRDefault="00C462B0" w:rsidP="00D951CA">
            <w:pPr>
              <w:pStyle w:val="Heading3"/>
              <w:shd w:val="clear" w:color="auto" w:fill="FFFFFF"/>
              <w:jc w:val="both"/>
              <w:textAlignment w:val="baseline"/>
              <w:rPr>
                <w:rFonts w:ascii="Times New Roman" w:eastAsia="Times New Roman" w:hAnsi="Times New Roman" w:cs="Times New Roman"/>
                <w:color w:val="0070C0"/>
              </w:rPr>
            </w:pPr>
            <w:r w:rsidRPr="00D951CA">
              <w:rPr>
                <w:rFonts w:ascii="Times New Roman" w:eastAsia="Times New Roman" w:hAnsi="Times New Roman" w:cs="Times New Roman"/>
                <w:color w:val="0070C0"/>
              </w:rPr>
              <w:t xml:space="preserve">Ja no projekta izmaksām netiks segtas komunikācijas un vizuālās identitātes prasību nodrošināšanas pasākumu izmaksas un attiecīgi netiks veidota šāda darbība,  svarīgi informāciju norādīt citur projektā (piemēram , sadaļā “Projekta īstenošanas kapacitāte”). </w:t>
            </w:r>
          </w:p>
          <w:p w14:paraId="056D4977" w14:textId="77777777" w:rsidR="00D951CA" w:rsidRDefault="00D951CA" w:rsidP="00D951CA">
            <w:pPr>
              <w:pStyle w:val="Heading3"/>
              <w:shd w:val="clear" w:color="auto" w:fill="FFFFFF"/>
              <w:jc w:val="both"/>
              <w:textAlignment w:val="baseline"/>
              <w:rPr>
                <w:rFonts w:ascii="Times New Roman" w:eastAsia="Times New Roman" w:hAnsi="Times New Roman" w:cs="Times New Roman"/>
                <w:color w:val="0070C0"/>
              </w:rPr>
            </w:pPr>
          </w:p>
          <w:p w14:paraId="4F8D42E5" w14:textId="1F9DD7D2" w:rsidR="00C462B0" w:rsidRPr="00D951CA" w:rsidRDefault="00C462B0" w:rsidP="00D951CA">
            <w:pPr>
              <w:pStyle w:val="Heading3"/>
              <w:shd w:val="clear" w:color="auto" w:fill="FFFFFF"/>
              <w:jc w:val="both"/>
              <w:textAlignment w:val="baseline"/>
              <w:rPr>
                <w:rFonts w:ascii="Times New Roman" w:eastAsia="Times New Roman" w:hAnsi="Times New Roman" w:cs="Times New Roman"/>
                <w:color w:val="0070C0"/>
              </w:rPr>
            </w:pPr>
            <w:r w:rsidRPr="00D951CA">
              <w:rPr>
                <w:rFonts w:ascii="Times New Roman" w:eastAsia="Times New Roman" w:hAnsi="Times New Roman" w:cs="Times New Roman"/>
                <w:color w:val="0070C0"/>
              </w:rPr>
              <w:t xml:space="preserve">Piemēram, paredzēt : </w:t>
            </w:r>
          </w:p>
          <w:p w14:paraId="794C301E" w14:textId="77777777" w:rsidR="00C462B0" w:rsidRPr="00D951CA" w:rsidRDefault="00C462B0" w:rsidP="00D951CA">
            <w:pPr>
              <w:pStyle w:val="Heading3"/>
              <w:numPr>
                <w:ilvl w:val="0"/>
                <w:numId w:val="29"/>
              </w:numPr>
              <w:shd w:val="clear" w:color="auto" w:fill="FFFFFF"/>
              <w:ind w:left="720"/>
              <w:jc w:val="both"/>
              <w:textAlignment w:val="baseline"/>
              <w:rPr>
                <w:rFonts w:ascii="Times New Roman" w:eastAsia="Times New Roman" w:hAnsi="Times New Roman" w:cs="Times New Roman"/>
                <w:color w:val="0070C0"/>
              </w:rPr>
            </w:pPr>
            <w:r w:rsidRPr="00D951CA">
              <w:rPr>
                <w:rFonts w:ascii="Times New Roman" w:eastAsia="Times New Roman" w:hAnsi="Times New Roman" w:cs="Times New Roman"/>
                <w:color w:val="0070C0"/>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 </w:t>
            </w:r>
          </w:p>
          <w:p w14:paraId="7ADEE26F" w14:textId="77777777" w:rsidR="00C462B0" w:rsidRPr="00D951CA" w:rsidRDefault="00C462B0" w:rsidP="00D951CA">
            <w:pPr>
              <w:pStyle w:val="Heading3"/>
              <w:numPr>
                <w:ilvl w:val="0"/>
                <w:numId w:val="29"/>
              </w:numPr>
              <w:shd w:val="clear" w:color="auto" w:fill="FFFFFF"/>
              <w:ind w:left="720"/>
              <w:jc w:val="both"/>
              <w:textAlignment w:val="baseline"/>
              <w:rPr>
                <w:rFonts w:ascii="Times New Roman" w:eastAsia="Times New Roman" w:hAnsi="Times New Roman" w:cs="Times New Roman"/>
                <w:color w:val="0070C0"/>
              </w:rPr>
            </w:pPr>
            <w:r w:rsidRPr="00D951CA">
              <w:rPr>
                <w:rFonts w:ascii="Times New Roman" w:eastAsia="Times New Roman" w:hAnsi="Times New Roman" w:cs="Times New Roman"/>
                <w:color w:val="0070C0"/>
              </w:rPr>
              <w:t>ar projekta īstenošanu saistītajos dokumentos un komunikācijas materiālos, ko paredzēts izplatīt sabiedrībai vai dalībniekiem, sniegt pamanāmu paziņojumu, kurā tiks uzsvērts no Eiropas Savienības saņemtais atbalsts; </w:t>
            </w:r>
          </w:p>
          <w:p w14:paraId="53A1C01F" w14:textId="77777777" w:rsidR="00C462B0" w:rsidRPr="00D951CA" w:rsidRDefault="00C462B0" w:rsidP="00D951CA">
            <w:pPr>
              <w:pStyle w:val="Heading3"/>
              <w:numPr>
                <w:ilvl w:val="0"/>
                <w:numId w:val="29"/>
              </w:numPr>
              <w:shd w:val="clear" w:color="auto" w:fill="FFFFFF"/>
              <w:ind w:left="720"/>
              <w:jc w:val="both"/>
              <w:textAlignment w:val="baseline"/>
              <w:rPr>
                <w:rFonts w:ascii="Times New Roman" w:eastAsia="Times New Roman" w:hAnsi="Times New Roman" w:cs="Times New Roman"/>
                <w:color w:val="0070C0"/>
              </w:rPr>
            </w:pPr>
            <w:r w:rsidRPr="00D951CA">
              <w:rPr>
                <w:rFonts w:ascii="Times New Roman" w:eastAsia="Times New Roman" w:hAnsi="Times New Roman" w:cs="Times New Roman"/>
                <w:color w:val="0070C0"/>
              </w:rPr>
              <w:t>projektiem, kuru kopējās izmaksas pārsniedz 500 000 euro, un ietver materiālas investīcijas vai aprīkojuma iegādi,  uzstādīt sabiedrībai skaidri redzamas ilgtspējīgas plāksnes vai informācijas stendus,  kuros ir attēlota Eiropas Savienības emblēma</w:t>
            </w:r>
            <w:r w:rsidRPr="00D951CA">
              <w:rPr>
                <w:rFonts w:ascii="Times New Roman" w:eastAsia="Times New Roman" w:hAnsi="Times New Roman" w:cs="Times New Roman"/>
                <w:color w:val="0070C0"/>
              </w:rPr>
              <w:footnoteReference w:customMarkFollows="1" w:id="2"/>
              <w:t>[1],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7F545294" w14:textId="77777777" w:rsidR="00C462B0" w:rsidRDefault="00C462B0" w:rsidP="00D951CA">
            <w:pPr>
              <w:pStyle w:val="Heading3"/>
              <w:numPr>
                <w:ilvl w:val="0"/>
                <w:numId w:val="29"/>
              </w:numPr>
              <w:shd w:val="clear" w:color="auto" w:fill="FFFFFF"/>
              <w:ind w:left="720"/>
              <w:jc w:val="both"/>
              <w:textAlignment w:val="baseline"/>
              <w:rPr>
                <w:rFonts w:ascii="Times New Roman" w:eastAsia="Times New Roman" w:hAnsi="Times New Roman" w:cs="Times New Roman"/>
                <w:color w:val="0070C0"/>
              </w:rPr>
            </w:pPr>
            <w:r w:rsidRPr="00D951CA">
              <w:rPr>
                <w:rFonts w:ascii="Times New Roman" w:eastAsia="Times New Roman" w:hAnsi="Times New Roman" w:cs="Times New Roman"/>
                <w:color w:val="0070C0"/>
              </w:rPr>
              <w:t>projektiem, kuru kopējās izmaksas nepārsniedz 500 000 euro,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6802B4D4" w14:textId="77777777" w:rsidR="00D951CA" w:rsidRPr="00D951CA" w:rsidRDefault="00D951CA" w:rsidP="00D951CA"/>
          <w:p w14:paraId="60F0F87E" w14:textId="77777777" w:rsidR="00C462B0" w:rsidRPr="00D951CA" w:rsidRDefault="00C462B0" w:rsidP="00D951CA">
            <w:pPr>
              <w:pStyle w:val="paragraph"/>
              <w:numPr>
                <w:ilvl w:val="0"/>
                <w:numId w:val="30"/>
              </w:numPr>
              <w:spacing w:before="0" w:beforeAutospacing="0" w:after="0" w:afterAutospacing="0"/>
              <w:jc w:val="both"/>
              <w:textAlignment w:val="baseline"/>
              <w:rPr>
                <w:rStyle w:val="normaltextrun"/>
                <w:color w:val="0070C0"/>
              </w:rPr>
            </w:pPr>
            <w:r w:rsidRPr="00D951CA">
              <w:rPr>
                <w:rStyle w:val="normaltextrun"/>
                <w:rFonts w:eastAsia="Times New Roman"/>
                <w:i/>
                <w:iCs/>
                <w:color w:val="0070C0"/>
              </w:rPr>
              <w:t xml:space="preserve">Plānojot projekta  komunikācijas un vizuālās identitātes prasību nodrošināšanas pasākumus, jāņem vērā Eiropas Savienības fondu 2021.–2027. gada plānošanas </w:t>
            </w:r>
            <w:r w:rsidRPr="00D951CA">
              <w:rPr>
                <w:rStyle w:val="normaltextrun"/>
                <w:rFonts w:eastAsia="Times New Roman"/>
                <w:i/>
                <w:iCs/>
                <w:color w:val="0070C0"/>
              </w:rPr>
              <w:lastRenderedPageBreak/>
              <w:t xml:space="preserve">perioda un Atveseļošanas fonda komunikācijas un dizaina vadlīnijās noteiktās prasības. Ar minētajām vadlīnijām var iepazīties tīmekļa vietnē: </w:t>
            </w:r>
            <w:hyperlink r:id="rId16" w:history="1">
              <w:r w:rsidRPr="00D951CA">
                <w:rPr>
                  <w:rStyle w:val="Hyperlink"/>
                  <w:rFonts w:eastAsia="Times New Roman"/>
                  <w:i/>
                  <w:iCs/>
                  <w:color w:val="0070C0"/>
                </w:rPr>
                <w:t>https://www.esfondi.lv/normativie-akti-un-dokumenti/2021-2027-planosanas-periods/komunikacijas-un-dizaina-vadlinijas</w:t>
              </w:r>
            </w:hyperlink>
            <w:r w:rsidRPr="00D951CA">
              <w:rPr>
                <w:rStyle w:val="normaltextrun"/>
                <w:rFonts w:eastAsia="Times New Roman"/>
                <w:i/>
                <w:iCs/>
                <w:color w:val="0070C0"/>
              </w:rPr>
              <w:t xml:space="preserve">.  </w:t>
            </w:r>
            <w:r w:rsidRPr="00D951CA">
              <w:rPr>
                <w:rStyle w:val="normaltextrun"/>
                <w:rFonts w:eastAsia="Times New Roman"/>
                <w:color w:val="0070C0"/>
              </w:rPr>
              <w:t> </w:t>
            </w:r>
          </w:p>
          <w:p w14:paraId="73CA006C" w14:textId="284E4469" w:rsidR="00C7614F" w:rsidRPr="00A61D08" w:rsidRDefault="00A61D08" w:rsidP="00A61D08">
            <w:pPr>
              <w:pStyle w:val="m-6645343138047643527msolistparagraph"/>
              <w:jc w:val="both"/>
              <w:rPr>
                <w:rFonts w:ascii="Times New Roman" w:hAnsi="Times New Roman" w:cs="Times New Roman"/>
                <w:i/>
                <w:iCs/>
                <w:color w:val="0070C0"/>
              </w:rPr>
            </w:pPr>
            <w:r w:rsidRPr="00D951CA">
              <w:rPr>
                <w:rFonts w:ascii="Times New Roman" w:hAnsi="Times New Roman" w:cs="Times New Roman"/>
                <w:i/>
                <w:iCs/>
                <w:color w:val="0070C0"/>
              </w:rPr>
              <w:t>(atbilde sniegta rakstiski)</w:t>
            </w:r>
          </w:p>
        </w:tc>
      </w:tr>
      <w:tr w:rsidR="00FD6D0D" w14:paraId="70A89F83" w14:textId="77777777" w:rsidTr="0CBE80E8">
        <w:trPr>
          <w:trHeight w:val="465"/>
        </w:trPr>
        <w:tc>
          <w:tcPr>
            <w:tcW w:w="977" w:type="dxa"/>
          </w:tcPr>
          <w:p w14:paraId="591B221D" w14:textId="24985AE3" w:rsidR="00FD6D0D" w:rsidRDefault="00FD6D0D" w:rsidP="0027119C">
            <w:pPr>
              <w:jc w:val="both"/>
              <w:rPr>
                <w:rFonts w:ascii="Times New Roman" w:hAnsi="Times New Roman" w:cs="Times New Roman"/>
                <w:sz w:val="24"/>
                <w:szCs w:val="24"/>
              </w:rPr>
            </w:pPr>
            <w:r>
              <w:rPr>
                <w:rFonts w:ascii="Times New Roman" w:hAnsi="Times New Roman" w:cs="Times New Roman"/>
                <w:sz w:val="24"/>
                <w:szCs w:val="24"/>
              </w:rPr>
              <w:lastRenderedPageBreak/>
              <w:t>5.7.</w:t>
            </w:r>
          </w:p>
        </w:tc>
        <w:tc>
          <w:tcPr>
            <w:tcW w:w="6317" w:type="dxa"/>
            <w:shd w:val="clear" w:color="auto" w:fill="auto"/>
          </w:tcPr>
          <w:p w14:paraId="0A09F95E" w14:textId="77777777" w:rsidR="00FD6D0D" w:rsidRPr="00FD6D0D" w:rsidRDefault="00FD6D0D" w:rsidP="00FD6D0D">
            <w:pPr>
              <w:jc w:val="both"/>
              <w:rPr>
                <w:rFonts w:ascii="Times New Roman" w:hAnsi="Times New Roman" w:cs="Times New Roman"/>
                <w:sz w:val="24"/>
                <w:szCs w:val="24"/>
                <w:lang w:val="en-GB"/>
              </w:rPr>
            </w:pPr>
            <w:r w:rsidRPr="00FD6D0D">
              <w:rPr>
                <w:rFonts w:ascii="Times New Roman" w:hAnsi="Times New Roman" w:cs="Times New Roman"/>
                <w:sz w:val="24"/>
                <w:szCs w:val="24"/>
                <w:lang w:val="en-GB"/>
              </w:rPr>
              <w:t>MK noteikumos ir šāds punkts:</w:t>
            </w:r>
          </w:p>
          <w:p w14:paraId="3BB031F6" w14:textId="77777777" w:rsidR="00FD6D0D" w:rsidRPr="00FD6D0D" w:rsidRDefault="00FD6D0D" w:rsidP="00FD6D0D">
            <w:pPr>
              <w:jc w:val="both"/>
              <w:rPr>
                <w:rFonts w:ascii="Times New Roman" w:hAnsi="Times New Roman" w:cs="Times New Roman"/>
                <w:sz w:val="24"/>
                <w:szCs w:val="24"/>
              </w:rPr>
            </w:pPr>
            <w:r w:rsidRPr="00FD6D0D">
              <w:rPr>
                <w:rFonts w:ascii="Times New Roman" w:hAnsi="Times New Roman" w:cs="Times New Roman"/>
                <w:sz w:val="24"/>
                <w:szCs w:val="24"/>
              </w:rPr>
              <w:t>44.2.2. veikto vides un informācijas piekļūstamības pašnovērtējumu skaits atbilstoši Labklājības ministrijas izstrādātajai metodikai. Finansējuma saņēmējam, iesniedzot noslēguma maksājuma pieprasījumu, ir pienākums sniegt minēto informāciju par visu projekta periodu;</w:t>
            </w:r>
          </w:p>
          <w:p w14:paraId="717987A6" w14:textId="77777777" w:rsidR="00FD6D0D" w:rsidRPr="00FD6D0D" w:rsidRDefault="00FD6D0D" w:rsidP="00FD6D0D">
            <w:pPr>
              <w:jc w:val="both"/>
              <w:rPr>
                <w:rFonts w:ascii="Times New Roman" w:hAnsi="Times New Roman" w:cs="Times New Roman"/>
                <w:sz w:val="24"/>
                <w:szCs w:val="24"/>
              </w:rPr>
            </w:pPr>
            <w:r w:rsidRPr="00700666">
              <w:rPr>
                <w:rFonts w:ascii="Times New Roman" w:hAnsi="Times New Roman" w:cs="Times New Roman"/>
                <w:sz w:val="24"/>
                <w:szCs w:val="24"/>
              </w:rPr>
              <w:t>Jautājums:</w:t>
            </w:r>
            <w:r w:rsidRPr="00FD6D0D">
              <w:rPr>
                <w:rFonts w:ascii="Times New Roman" w:hAnsi="Times New Roman" w:cs="Times New Roman"/>
                <w:sz w:val="24"/>
                <w:szCs w:val="24"/>
              </w:rPr>
              <w:t xml:space="preserve"> cik pašnovērtējumiem jābūt? </w:t>
            </w:r>
          </w:p>
          <w:p w14:paraId="00F8A58E" w14:textId="77777777" w:rsidR="00FD6D0D" w:rsidRPr="00C7614F" w:rsidRDefault="00FD6D0D" w:rsidP="00C7614F">
            <w:pPr>
              <w:jc w:val="both"/>
              <w:rPr>
                <w:rFonts w:ascii="Times New Roman" w:hAnsi="Times New Roman" w:cs="Times New Roman"/>
                <w:sz w:val="24"/>
                <w:szCs w:val="24"/>
              </w:rPr>
            </w:pPr>
          </w:p>
        </w:tc>
        <w:tc>
          <w:tcPr>
            <w:tcW w:w="8094" w:type="dxa"/>
            <w:shd w:val="clear" w:color="auto" w:fill="auto"/>
          </w:tcPr>
          <w:p w14:paraId="373C8BB2" w14:textId="79EA1611" w:rsidR="009353F4" w:rsidRPr="009353F4" w:rsidRDefault="009353F4" w:rsidP="009353F4">
            <w:pPr>
              <w:pStyle w:val="Heading3"/>
              <w:shd w:val="clear" w:color="auto" w:fill="FFFFFF"/>
              <w:jc w:val="both"/>
              <w:textAlignment w:val="baseline"/>
              <w:rPr>
                <w:rFonts w:ascii="Times New Roman" w:eastAsia="Times New Roman" w:hAnsi="Times New Roman" w:cs="Times New Roman"/>
                <w:color w:val="0070C0"/>
              </w:rPr>
            </w:pPr>
            <w:r w:rsidRPr="009353F4">
              <w:rPr>
                <w:rFonts w:ascii="Times New Roman" w:eastAsia="Times New Roman" w:hAnsi="Times New Roman" w:cs="Times New Roman"/>
                <w:color w:val="0070C0"/>
              </w:rPr>
              <w:t>Atbildot</w:t>
            </w:r>
            <w:r w:rsidR="00707F20" w:rsidRPr="00707F20">
              <w:rPr>
                <w:rFonts w:ascii="Times New Roman" w:eastAsia="Times New Roman" w:hAnsi="Times New Roman" w:cs="Times New Roman"/>
                <w:color w:val="0070C0"/>
              </w:rPr>
              <w:t xml:space="preserve"> un </w:t>
            </w:r>
            <w:r w:rsidRPr="009353F4">
              <w:rPr>
                <w:rFonts w:ascii="Times New Roman" w:eastAsia="Times New Roman" w:hAnsi="Times New Roman" w:cs="Times New Roman"/>
                <w:color w:val="0070C0"/>
              </w:rPr>
              <w:t>jautājum</w:t>
            </w:r>
            <w:r w:rsidR="00707F20" w:rsidRPr="00707F20">
              <w:rPr>
                <w:rFonts w:ascii="Times New Roman" w:eastAsia="Times New Roman" w:hAnsi="Times New Roman" w:cs="Times New Roman"/>
                <w:color w:val="0070C0"/>
              </w:rPr>
              <w:t>u</w:t>
            </w:r>
            <w:r w:rsidRPr="009353F4">
              <w:rPr>
                <w:rFonts w:ascii="Times New Roman" w:eastAsia="Times New Roman" w:hAnsi="Times New Roman" w:cs="Times New Roman"/>
                <w:color w:val="0070C0"/>
              </w:rPr>
              <w:t xml:space="preserve">, skaidrojam: </w:t>
            </w:r>
          </w:p>
          <w:p w14:paraId="5890CB08" w14:textId="77777777" w:rsidR="001B3E7F" w:rsidRDefault="00AB4DEB" w:rsidP="00AB4DEB">
            <w:pPr>
              <w:pStyle w:val="Heading3"/>
              <w:shd w:val="clear" w:color="auto" w:fill="FFFFFF"/>
              <w:jc w:val="both"/>
              <w:textAlignment w:val="baseline"/>
              <w:rPr>
                <w:rFonts w:ascii="Times New Roman" w:eastAsia="Times New Roman" w:hAnsi="Times New Roman" w:cs="Times New Roman"/>
                <w:color w:val="0070C0"/>
              </w:rPr>
            </w:pPr>
            <w:r w:rsidRPr="00AB4DEB">
              <w:rPr>
                <w:rFonts w:ascii="Times New Roman" w:eastAsia="Times New Roman" w:hAnsi="Times New Roman" w:cs="Times New Roman"/>
                <w:b/>
                <w:bCs/>
                <w:color w:val="0070C0"/>
              </w:rPr>
              <w:t xml:space="preserve">Projektēšanas laikā </w:t>
            </w:r>
            <w:r w:rsidRPr="00AB4DEB">
              <w:rPr>
                <w:rFonts w:ascii="Times New Roman" w:eastAsia="Times New Roman" w:hAnsi="Times New Roman" w:cs="Times New Roman"/>
                <w:color w:val="0070C0"/>
              </w:rPr>
              <w:t>(1. pašnovērtējums)</w:t>
            </w:r>
            <w:r w:rsidRPr="00AB4DEB">
              <w:rPr>
                <w:rFonts w:ascii="Times New Roman" w:eastAsia="Times New Roman" w:hAnsi="Times New Roman" w:cs="Times New Roman"/>
                <w:b/>
                <w:bCs/>
                <w:color w:val="0070C0"/>
              </w:rPr>
              <w:t xml:space="preserve">  un pirms objekta nodošanas ekspluatācijā </w:t>
            </w:r>
            <w:r w:rsidRPr="00AB4DEB">
              <w:rPr>
                <w:rFonts w:ascii="Times New Roman" w:eastAsia="Times New Roman" w:hAnsi="Times New Roman" w:cs="Times New Roman"/>
                <w:color w:val="0070C0"/>
              </w:rPr>
              <w:t>(2.pašnovērtējums)  publiskajai infrastruktūrai jāveic vides un informācijas piekļūstamības pašnovērtējums un iegūto punktu skaits nevar būt zemāks par 8 punktiem. Tādējādi, vienam objektam kopā ir nepieciešami divi pašnovērtējumi.  </w:t>
            </w:r>
          </w:p>
          <w:p w14:paraId="59EEED37" w14:textId="41E56655" w:rsidR="00AB4DEB" w:rsidRPr="00AB4DEB" w:rsidRDefault="00AB4DEB" w:rsidP="00AB4DEB">
            <w:pPr>
              <w:pStyle w:val="Heading3"/>
              <w:shd w:val="clear" w:color="auto" w:fill="FFFFFF"/>
              <w:jc w:val="both"/>
              <w:textAlignment w:val="baseline"/>
              <w:rPr>
                <w:rFonts w:ascii="Times New Roman" w:eastAsia="Times New Roman" w:hAnsi="Times New Roman" w:cs="Times New Roman"/>
                <w:color w:val="0070C0"/>
              </w:rPr>
            </w:pPr>
            <w:r w:rsidRPr="00AB4DEB">
              <w:rPr>
                <w:rFonts w:ascii="Times New Roman" w:eastAsia="Times New Roman" w:hAnsi="Times New Roman" w:cs="Times New Roman"/>
                <w:color w:val="0070C0"/>
              </w:rPr>
              <w:t xml:space="preserve">LM vides un informācijas piekļūstamības pašnovērtējuma metodika pieejama  šeit: </w:t>
            </w:r>
            <w:hyperlink r:id="rId17" w:history="1">
              <w:r w:rsidRPr="00AB4DEB">
                <w:rPr>
                  <w:rStyle w:val="Hyperlink"/>
                  <w:rFonts w:ascii="Times New Roman" w:eastAsia="Times New Roman" w:hAnsi="Times New Roman" w:cs="Times New Roman"/>
                </w:rPr>
                <w:t>https://www.lm.gov.lv/lv/vides-un-informacijas-pieklustamibas-pasnovertejums-saskana-ar-lbn-200-21</w:t>
              </w:r>
            </w:hyperlink>
            <w:r w:rsidR="001B3E7F">
              <w:rPr>
                <w:rFonts w:ascii="Times New Roman" w:eastAsia="Times New Roman" w:hAnsi="Times New Roman" w:cs="Times New Roman"/>
                <w:color w:val="0070C0"/>
              </w:rPr>
              <w:t xml:space="preserve">. </w:t>
            </w:r>
          </w:p>
          <w:p w14:paraId="5DF3E518" w14:textId="6B53180C" w:rsidR="00FD6D0D" w:rsidRPr="00D951CA" w:rsidRDefault="00F92D35" w:rsidP="44041C96">
            <w:pPr>
              <w:pStyle w:val="Heading3"/>
              <w:shd w:val="clear" w:color="auto" w:fill="FFFFFF" w:themeFill="background1"/>
              <w:jc w:val="both"/>
              <w:textAlignment w:val="baseline"/>
              <w:rPr>
                <w:rFonts w:ascii="Times New Roman" w:eastAsia="Times New Roman" w:hAnsi="Times New Roman" w:cs="Times New Roman"/>
                <w:color w:val="0070C0"/>
              </w:rPr>
            </w:pPr>
            <w:r w:rsidRPr="00D951CA">
              <w:rPr>
                <w:rFonts w:ascii="Times New Roman" w:hAnsi="Times New Roman" w:cs="Times New Roman"/>
                <w:i/>
                <w:iCs/>
                <w:color w:val="0070C0"/>
              </w:rPr>
              <w:t>(atbilde sniegta rakstiski</w:t>
            </w:r>
            <w:r w:rsidRPr="44041C96">
              <w:rPr>
                <w:rFonts w:ascii="Times New Roman" w:hAnsi="Times New Roman" w:cs="Times New Roman"/>
                <w:i/>
                <w:iCs/>
                <w:color w:val="0070C0"/>
              </w:rPr>
              <w:t>)</w:t>
            </w:r>
          </w:p>
        </w:tc>
      </w:tr>
      <w:tr w:rsidR="00FD6D0D" w14:paraId="56AFD21F" w14:textId="77777777" w:rsidTr="0CBE80E8">
        <w:trPr>
          <w:trHeight w:val="465"/>
        </w:trPr>
        <w:tc>
          <w:tcPr>
            <w:tcW w:w="977" w:type="dxa"/>
          </w:tcPr>
          <w:p w14:paraId="16254A6F" w14:textId="0B02EF2D" w:rsidR="00FD6D0D" w:rsidRDefault="00F92D35" w:rsidP="0027119C">
            <w:pPr>
              <w:jc w:val="both"/>
              <w:rPr>
                <w:rFonts w:ascii="Times New Roman" w:hAnsi="Times New Roman" w:cs="Times New Roman"/>
                <w:sz w:val="24"/>
                <w:szCs w:val="24"/>
              </w:rPr>
            </w:pPr>
            <w:r>
              <w:rPr>
                <w:rFonts w:ascii="Times New Roman" w:hAnsi="Times New Roman" w:cs="Times New Roman"/>
                <w:sz w:val="24"/>
                <w:szCs w:val="24"/>
              </w:rPr>
              <w:t>5.8.</w:t>
            </w:r>
          </w:p>
        </w:tc>
        <w:tc>
          <w:tcPr>
            <w:tcW w:w="6317" w:type="dxa"/>
            <w:shd w:val="clear" w:color="auto" w:fill="auto"/>
          </w:tcPr>
          <w:p w14:paraId="4192CF16" w14:textId="77777777" w:rsidR="00FF7DAB" w:rsidRPr="00FF7DAB" w:rsidRDefault="00FF7DAB" w:rsidP="00FF7DAB">
            <w:pPr>
              <w:jc w:val="both"/>
              <w:rPr>
                <w:rFonts w:ascii="Times New Roman" w:hAnsi="Times New Roman" w:cs="Times New Roman"/>
                <w:sz w:val="24"/>
                <w:szCs w:val="24"/>
                <w:lang w:val="en-GB"/>
              </w:rPr>
            </w:pPr>
            <w:r w:rsidRPr="00FF7DAB">
              <w:rPr>
                <w:rFonts w:ascii="Times New Roman" w:hAnsi="Times New Roman" w:cs="Times New Roman"/>
                <w:sz w:val="24"/>
                <w:szCs w:val="24"/>
                <w:lang w:val="en-GB"/>
              </w:rPr>
              <w:t>MK noteikumos ir šāds punkts:</w:t>
            </w:r>
          </w:p>
          <w:p w14:paraId="381F6439" w14:textId="77777777" w:rsidR="00FF7DAB" w:rsidRPr="00700666" w:rsidRDefault="00FF7DAB" w:rsidP="00FF7DAB">
            <w:pPr>
              <w:jc w:val="both"/>
              <w:rPr>
                <w:rFonts w:ascii="Times New Roman" w:hAnsi="Times New Roman" w:cs="Times New Roman"/>
                <w:sz w:val="24"/>
                <w:szCs w:val="24"/>
              </w:rPr>
            </w:pPr>
            <w:r w:rsidRPr="00FF7DAB">
              <w:rPr>
                <w:rFonts w:ascii="Times New Roman" w:hAnsi="Times New Roman" w:cs="Times New Roman"/>
                <w:sz w:val="24"/>
                <w:szCs w:val="24"/>
              </w:rPr>
              <w:t xml:space="preserve">32. Šo noteikumu 27.3. apakšpunktā minētās atbalstāmās darbības ietvaros ir attiecināmas šādas ārstniecības </w:t>
            </w:r>
            <w:r w:rsidRPr="00FF7DAB">
              <w:rPr>
                <w:rFonts w:ascii="Times New Roman" w:hAnsi="Times New Roman" w:cs="Times New Roman"/>
                <w:sz w:val="24"/>
                <w:szCs w:val="24"/>
              </w:rPr>
              <w:lastRenderedPageBreak/>
              <w:t xml:space="preserve">procesam tieši </w:t>
            </w:r>
            <w:r w:rsidRPr="00700666">
              <w:rPr>
                <w:rFonts w:ascii="Times New Roman" w:hAnsi="Times New Roman" w:cs="Times New Roman"/>
                <w:sz w:val="24"/>
                <w:szCs w:val="24"/>
              </w:rPr>
              <w:t>nepieciešamo tehnoloģiju iegādes, piegādes un montāžas izmaksas:</w:t>
            </w:r>
          </w:p>
          <w:p w14:paraId="2754A165" w14:textId="77777777" w:rsidR="00FF7DAB" w:rsidRPr="00700666" w:rsidRDefault="00FF7DAB" w:rsidP="00FF7DAB">
            <w:pPr>
              <w:jc w:val="both"/>
              <w:rPr>
                <w:rFonts w:ascii="Times New Roman" w:hAnsi="Times New Roman" w:cs="Times New Roman"/>
                <w:sz w:val="24"/>
                <w:szCs w:val="24"/>
              </w:rPr>
            </w:pPr>
            <w:r w:rsidRPr="00700666">
              <w:rPr>
                <w:rFonts w:ascii="Times New Roman" w:hAnsi="Times New Roman" w:cs="Times New Roman"/>
                <w:sz w:val="24"/>
                <w:szCs w:val="24"/>
              </w:rPr>
              <w:t xml:space="preserve">32.1. medicīniskās tehnoloģijas, tai skaitā iebūvējamās medicīniskās tehnoloģijas; </w:t>
            </w:r>
          </w:p>
          <w:p w14:paraId="74C06C7D" w14:textId="77777777" w:rsidR="00FF7DAB" w:rsidRPr="00700666" w:rsidRDefault="00FF7DAB" w:rsidP="00FF7DAB">
            <w:pPr>
              <w:jc w:val="both"/>
              <w:rPr>
                <w:rFonts w:ascii="Times New Roman" w:hAnsi="Times New Roman" w:cs="Times New Roman"/>
                <w:sz w:val="24"/>
                <w:szCs w:val="24"/>
              </w:rPr>
            </w:pPr>
            <w:r w:rsidRPr="00700666">
              <w:rPr>
                <w:rFonts w:ascii="Times New Roman" w:hAnsi="Times New Roman" w:cs="Times New Roman"/>
                <w:sz w:val="24"/>
                <w:szCs w:val="24"/>
              </w:rPr>
              <w:t>32.2. iekārtas, ierīces, mēbeles un aprīkojums;</w:t>
            </w:r>
          </w:p>
          <w:p w14:paraId="150EFE95" w14:textId="77777777" w:rsidR="00FF7DAB" w:rsidRPr="00FF7DAB" w:rsidRDefault="00FF7DAB" w:rsidP="00FF7DAB">
            <w:pPr>
              <w:jc w:val="both"/>
              <w:rPr>
                <w:rFonts w:ascii="Times New Roman" w:hAnsi="Times New Roman" w:cs="Times New Roman"/>
                <w:sz w:val="24"/>
                <w:szCs w:val="24"/>
              </w:rPr>
            </w:pPr>
            <w:r w:rsidRPr="00700666">
              <w:rPr>
                <w:rFonts w:ascii="Times New Roman" w:hAnsi="Times New Roman" w:cs="Times New Roman"/>
                <w:sz w:val="24"/>
                <w:szCs w:val="24"/>
              </w:rPr>
              <w:t>Jautājums: nesaprotam atšķirību:</w:t>
            </w:r>
            <w:r w:rsidRPr="00FF7DAB">
              <w:rPr>
                <w:rFonts w:ascii="Times New Roman" w:hAnsi="Times New Roman" w:cs="Times New Roman"/>
                <w:sz w:val="24"/>
                <w:szCs w:val="24"/>
              </w:rPr>
              <w:t xml:space="preserve"> medicīniskās tehnoloģijas un iekārtas. Vai ir definēts, kas ir  medicīniskās tehnoloģijas un kas ir iekārtas?</w:t>
            </w:r>
          </w:p>
          <w:p w14:paraId="2FA54F1B" w14:textId="77777777" w:rsidR="00FD6D0D" w:rsidRPr="00C7614F" w:rsidRDefault="00FD6D0D" w:rsidP="00C7614F">
            <w:pPr>
              <w:jc w:val="both"/>
              <w:rPr>
                <w:rFonts w:ascii="Times New Roman" w:hAnsi="Times New Roman" w:cs="Times New Roman"/>
                <w:sz w:val="24"/>
                <w:szCs w:val="24"/>
              </w:rPr>
            </w:pPr>
          </w:p>
        </w:tc>
        <w:tc>
          <w:tcPr>
            <w:tcW w:w="8094" w:type="dxa"/>
            <w:shd w:val="clear" w:color="auto" w:fill="auto"/>
          </w:tcPr>
          <w:p w14:paraId="3E6659D6" w14:textId="52EC5438" w:rsidR="009E162F" w:rsidRPr="008174FB" w:rsidRDefault="009E162F" w:rsidP="1783FAAF">
            <w:pPr>
              <w:pStyle w:val="Heading3"/>
              <w:shd w:val="clear" w:color="auto" w:fill="FFFFFF" w:themeFill="background1"/>
              <w:jc w:val="both"/>
              <w:textAlignment w:val="baseline"/>
              <w:rPr>
                <w:rFonts w:ascii="Times New Roman" w:eastAsia="Times New Roman" w:hAnsi="Times New Roman" w:cs="Times New Roman"/>
                <w:color w:val="0070C0"/>
              </w:rPr>
            </w:pPr>
            <w:r w:rsidRPr="1783FAAF">
              <w:rPr>
                <w:rFonts w:ascii="Times New Roman" w:eastAsia="Times New Roman" w:hAnsi="Times New Roman" w:cs="Times New Roman"/>
                <w:color w:val="0070C0"/>
              </w:rPr>
              <w:lastRenderedPageBreak/>
              <w:t xml:space="preserve">Sadarbībā ar Veselības ministriju skaidrojam, ka </w:t>
            </w:r>
            <w:hyperlink r:id="rId18">
              <w:r w:rsidRPr="00B33AB5">
                <w:rPr>
                  <w:rFonts w:ascii="Times New Roman" w:eastAsia="Times New Roman" w:hAnsi="Times New Roman" w:cs="Times New Roman"/>
                  <w:color w:val="0070C0"/>
                </w:rPr>
                <w:t>MK noteikumiem Nr. 273</w:t>
              </w:r>
            </w:hyperlink>
            <w:r w:rsidRPr="009E162F">
              <w:rPr>
                <w:rFonts w:ascii="Times New Roman" w:eastAsia="Times New Roman" w:hAnsi="Times New Roman" w:cs="Times New Roman"/>
                <w:color w:val="0070C0"/>
              </w:rPr>
              <w:t xml:space="preserve">  32.1. apakšpunktā minētās  </w:t>
            </w:r>
            <w:r w:rsidRPr="00B33AB5">
              <w:rPr>
                <w:rFonts w:ascii="Times New Roman" w:eastAsia="Times New Roman" w:hAnsi="Times New Roman" w:cs="Times New Roman"/>
                <w:b/>
                <w:bCs/>
                <w:color w:val="0070C0"/>
              </w:rPr>
              <w:t>medicīniskās tehnoloģijas</w:t>
            </w:r>
            <w:r w:rsidR="00DC7309">
              <w:rPr>
                <w:rStyle w:val="FootnoteReference"/>
                <w:rFonts w:ascii="Times New Roman" w:eastAsia="Times New Roman" w:hAnsi="Times New Roman" w:cs="Times New Roman"/>
                <w:b/>
                <w:bCs/>
                <w:color w:val="0070C0"/>
              </w:rPr>
              <w:footnoteReference w:id="3"/>
            </w:r>
            <w:r w:rsidRPr="00B33AB5">
              <w:rPr>
                <w:rFonts w:ascii="Times New Roman" w:eastAsia="Times New Roman" w:hAnsi="Times New Roman" w:cs="Times New Roman"/>
                <w:b/>
                <w:bCs/>
                <w:color w:val="0070C0"/>
              </w:rPr>
              <w:t>,</w:t>
            </w:r>
            <w:r w:rsidRPr="009E162F">
              <w:rPr>
                <w:rFonts w:ascii="Times New Roman" w:eastAsia="Times New Roman" w:hAnsi="Times New Roman" w:cs="Times New Roman"/>
                <w:color w:val="0070C0"/>
              </w:rPr>
              <w:t xml:space="preserve"> tai skaitā iebūvējamās medicīniskās </w:t>
            </w:r>
            <w:r w:rsidRPr="009E162F">
              <w:rPr>
                <w:rFonts w:ascii="Times New Roman" w:eastAsia="Times New Roman" w:hAnsi="Times New Roman" w:cs="Times New Roman"/>
                <w:color w:val="0070C0"/>
              </w:rPr>
              <w:lastRenderedPageBreak/>
              <w:t xml:space="preserve">tehnoloģijas ir saprotamas ar medicīniskajām ierīcēm, kas ir tieši saistītas ar ārstniecības procesam nepieciešamajām darbībām. </w:t>
            </w:r>
          </w:p>
          <w:p w14:paraId="7436A20B" w14:textId="77777777" w:rsidR="00C774AA" w:rsidRDefault="00C774AA" w:rsidP="008174FB">
            <w:pPr>
              <w:jc w:val="both"/>
              <w:rPr>
                <w:rFonts w:ascii="Times New Roman" w:eastAsia="Times New Roman" w:hAnsi="Times New Roman" w:cs="Times New Roman"/>
                <w:color w:val="0070C0"/>
                <w:sz w:val="24"/>
                <w:szCs w:val="24"/>
              </w:rPr>
            </w:pPr>
          </w:p>
          <w:p w14:paraId="4950CF08" w14:textId="47CBE5AB" w:rsidR="00341492" w:rsidRPr="00341492" w:rsidRDefault="00341492" w:rsidP="008174FB">
            <w:pPr>
              <w:jc w:val="both"/>
              <w:rPr>
                <w:rFonts w:ascii="Times New Roman" w:eastAsia="Times New Roman" w:hAnsi="Times New Roman" w:cs="Times New Roman"/>
                <w:color w:val="0070C0"/>
                <w:sz w:val="24"/>
                <w:szCs w:val="24"/>
              </w:rPr>
            </w:pPr>
            <w:r w:rsidRPr="00341492">
              <w:rPr>
                <w:rFonts w:ascii="Times New Roman" w:eastAsia="Times New Roman" w:hAnsi="Times New Roman" w:cs="Times New Roman"/>
                <w:color w:val="0070C0"/>
                <w:sz w:val="24"/>
                <w:szCs w:val="24"/>
              </w:rPr>
              <w:t>Savukārt MK noteikumu Nr. 273  32.2. apakšpunktā minētās  iekārtas, ierīces, mēbeles un aprīkojums ir  saprotams ar aprīkojumu telpu funkcionalitātes nodrošināšanai un pārējām ierīcēm un iekārtām, kas nav tieši saistītas ar medicīnu, bet ir nepieciešams darbības nodrošināšanai (skapis, galds, printeris ut.t.)</w:t>
            </w:r>
          </w:p>
          <w:p w14:paraId="14839126" w14:textId="77777777" w:rsidR="00FD6D0D" w:rsidRDefault="00341492" w:rsidP="00700666">
            <w:pPr>
              <w:jc w:val="both"/>
              <w:rPr>
                <w:rFonts w:ascii="Times New Roman" w:eastAsia="Times New Roman" w:hAnsi="Times New Roman" w:cs="Times New Roman"/>
                <w:color w:val="0070C0"/>
                <w:sz w:val="24"/>
                <w:szCs w:val="24"/>
              </w:rPr>
            </w:pPr>
            <w:r w:rsidRPr="00341492">
              <w:rPr>
                <w:rFonts w:ascii="Times New Roman" w:eastAsia="Times New Roman" w:hAnsi="Times New Roman" w:cs="Times New Roman"/>
                <w:color w:val="0070C0"/>
                <w:sz w:val="24"/>
                <w:szCs w:val="24"/>
              </w:rPr>
              <w:t>Papildus vēršam uzmanību, ka MK noteikumu Nr. 273  28.punktā ir uzskaitīta infrastruktūra, kurā tiek nodrošināti šādi valsts apmaksāti veselības aprūpes pakalpojumi un kuras attīstība tiek atbalstīta 4.1.1.1. pasākuma 2.kārtas finansējuma ietvaros</w:t>
            </w:r>
            <w:r w:rsidR="00700666">
              <w:rPr>
                <w:rFonts w:ascii="Times New Roman" w:eastAsia="Times New Roman" w:hAnsi="Times New Roman" w:cs="Times New Roman"/>
                <w:color w:val="0070C0"/>
                <w:sz w:val="24"/>
                <w:szCs w:val="24"/>
              </w:rPr>
              <w:t>.</w:t>
            </w:r>
          </w:p>
          <w:p w14:paraId="73D893ED" w14:textId="6644EDB3" w:rsidR="00700666" w:rsidRPr="00D951CA" w:rsidRDefault="00700666" w:rsidP="00700666">
            <w:pPr>
              <w:jc w:val="both"/>
              <w:rPr>
                <w:rFonts w:ascii="Times New Roman" w:eastAsia="Times New Roman" w:hAnsi="Times New Roman" w:cs="Times New Roman"/>
                <w:color w:val="0070C0"/>
              </w:rPr>
            </w:pPr>
            <w:r w:rsidRPr="00D951CA">
              <w:rPr>
                <w:rFonts w:ascii="Times New Roman" w:hAnsi="Times New Roman" w:cs="Times New Roman"/>
                <w:i/>
                <w:iCs/>
                <w:color w:val="0070C0"/>
              </w:rPr>
              <w:t>(</w:t>
            </w:r>
            <w:r w:rsidRPr="00700666">
              <w:rPr>
                <w:rFonts w:ascii="Times New Roman" w:eastAsiaTheme="majorEastAsia" w:hAnsi="Times New Roman" w:cs="Times New Roman"/>
                <w:i/>
                <w:iCs/>
                <w:color w:val="0070C0"/>
                <w:sz w:val="24"/>
                <w:szCs w:val="24"/>
              </w:rPr>
              <w:t>atbilde sniegta rakstiski</w:t>
            </w:r>
            <w:r w:rsidRPr="44041C96">
              <w:rPr>
                <w:rFonts w:ascii="Times New Roman" w:eastAsiaTheme="majorEastAsia" w:hAnsi="Times New Roman" w:cs="Times New Roman"/>
                <w:i/>
                <w:iCs/>
                <w:color w:val="0070C0"/>
                <w:sz w:val="24"/>
                <w:szCs w:val="24"/>
              </w:rPr>
              <w:t>)</w:t>
            </w:r>
          </w:p>
        </w:tc>
      </w:tr>
      <w:tr w:rsidR="00FD6D0D" w14:paraId="31FD07B7" w14:textId="77777777" w:rsidTr="0CBE80E8">
        <w:trPr>
          <w:trHeight w:val="465"/>
        </w:trPr>
        <w:tc>
          <w:tcPr>
            <w:tcW w:w="977" w:type="dxa"/>
          </w:tcPr>
          <w:p w14:paraId="45F107C8" w14:textId="24B955A4" w:rsidR="00FD6D0D" w:rsidRPr="00F104A1" w:rsidRDefault="00700666" w:rsidP="0027119C">
            <w:pPr>
              <w:jc w:val="both"/>
              <w:rPr>
                <w:rFonts w:ascii="Times New Roman" w:hAnsi="Times New Roman" w:cs="Times New Roman"/>
                <w:sz w:val="24"/>
                <w:szCs w:val="24"/>
              </w:rPr>
            </w:pPr>
            <w:r w:rsidRPr="00F104A1">
              <w:rPr>
                <w:rFonts w:ascii="Times New Roman" w:hAnsi="Times New Roman" w:cs="Times New Roman"/>
                <w:sz w:val="24"/>
                <w:szCs w:val="24"/>
              </w:rPr>
              <w:lastRenderedPageBreak/>
              <w:t>5.9.</w:t>
            </w:r>
          </w:p>
        </w:tc>
        <w:tc>
          <w:tcPr>
            <w:tcW w:w="6317" w:type="dxa"/>
            <w:shd w:val="clear" w:color="auto" w:fill="auto"/>
          </w:tcPr>
          <w:p w14:paraId="7B9EB2F1" w14:textId="60E78BCA" w:rsidR="00515410" w:rsidRPr="00515410" w:rsidRDefault="00515410" w:rsidP="00F104A1">
            <w:pPr>
              <w:jc w:val="both"/>
              <w:rPr>
                <w:rFonts w:ascii="Times New Roman" w:hAnsi="Times New Roman" w:cs="Times New Roman"/>
                <w:sz w:val="24"/>
                <w:szCs w:val="24"/>
              </w:rPr>
            </w:pPr>
            <w:r w:rsidRPr="00515410">
              <w:rPr>
                <w:rFonts w:ascii="Times New Roman" w:hAnsi="Times New Roman" w:cs="Times New Roman"/>
                <w:sz w:val="24"/>
                <w:szCs w:val="24"/>
              </w:rPr>
              <w:t>Projekta summas ietvaros varam iekļaut tikai nelielu daļu no medicīnas iekārtām un / vai tehnoloģijām. Vai pārējo plānoto summu iekārtām norādīt kā neattiecināmās izmaksas vai nenorādīt vispār? medicīnas iekārtu un / vai tehnoloģiju sarakstā plānojas arī iekārtas, kuru 1 vienības izmaksas pārsniedz eur</w:t>
            </w:r>
            <w:r w:rsidR="005207E4">
              <w:rPr>
                <w:rFonts w:ascii="Times New Roman" w:hAnsi="Times New Roman" w:cs="Times New Roman"/>
                <w:sz w:val="24"/>
                <w:szCs w:val="24"/>
              </w:rPr>
              <w:t>o</w:t>
            </w:r>
            <w:r w:rsidRPr="00515410">
              <w:rPr>
                <w:rFonts w:ascii="Times New Roman" w:hAnsi="Times New Roman" w:cs="Times New Roman"/>
                <w:sz w:val="24"/>
                <w:szCs w:val="24"/>
              </w:rPr>
              <w:t xml:space="preserve"> 20</w:t>
            </w:r>
            <w:r w:rsidR="00C84383">
              <w:rPr>
                <w:rFonts w:ascii="Times New Roman" w:hAnsi="Times New Roman" w:cs="Times New Roman"/>
                <w:sz w:val="24"/>
                <w:szCs w:val="24"/>
              </w:rPr>
              <w:t> </w:t>
            </w:r>
            <w:r w:rsidRPr="00515410">
              <w:rPr>
                <w:rFonts w:ascii="Times New Roman" w:hAnsi="Times New Roman" w:cs="Times New Roman"/>
                <w:sz w:val="24"/>
                <w:szCs w:val="24"/>
              </w:rPr>
              <w:t>000</w:t>
            </w:r>
            <w:r w:rsidR="00C84383">
              <w:rPr>
                <w:rFonts w:ascii="Times New Roman" w:hAnsi="Times New Roman" w:cs="Times New Roman"/>
                <w:sz w:val="24"/>
                <w:szCs w:val="24"/>
              </w:rPr>
              <w:t>,</w:t>
            </w:r>
            <w:r w:rsidRPr="00515410">
              <w:rPr>
                <w:rFonts w:ascii="Times New Roman" w:hAnsi="Times New Roman" w:cs="Times New Roman"/>
                <w:sz w:val="24"/>
                <w:szCs w:val="24"/>
              </w:rPr>
              <w:t xml:space="preserve"> vai tādas būtu jānorāda pie attiecināmām un jāsaskaņo ar ministriju vai pie neattiecināmām, nesaskaņojot ar ministriju?</w:t>
            </w:r>
          </w:p>
          <w:p w14:paraId="4AC45E18" w14:textId="77777777" w:rsidR="00FD6D0D" w:rsidRPr="00F104A1" w:rsidRDefault="00FD6D0D" w:rsidP="00C7614F">
            <w:pPr>
              <w:jc w:val="both"/>
              <w:rPr>
                <w:rFonts w:ascii="Times New Roman" w:hAnsi="Times New Roman" w:cs="Times New Roman"/>
                <w:sz w:val="24"/>
                <w:szCs w:val="24"/>
              </w:rPr>
            </w:pPr>
          </w:p>
        </w:tc>
        <w:tc>
          <w:tcPr>
            <w:tcW w:w="8094" w:type="dxa"/>
            <w:shd w:val="clear" w:color="auto" w:fill="auto"/>
          </w:tcPr>
          <w:p w14:paraId="292F8E50" w14:textId="70CFC7E1" w:rsidR="005907F4" w:rsidRPr="005907F4" w:rsidRDefault="005907F4" w:rsidP="005907F4">
            <w:pPr>
              <w:pStyle w:val="Heading3"/>
              <w:shd w:val="clear" w:color="auto" w:fill="FFFFFF"/>
              <w:jc w:val="both"/>
              <w:textAlignment w:val="baseline"/>
              <w:rPr>
                <w:rFonts w:ascii="Times New Roman" w:eastAsia="Times New Roman" w:hAnsi="Times New Roman" w:cs="Times New Roman"/>
                <w:color w:val="0070C0"/>
              </w:rPr>
            </w:pPr>
            <w:r w:rsidRPr="005907F4">
              <w:rPr>
                <w:rFonts w:ascii="Times New Roman" w:eastAsia="Times New Roman" w:hAnsi="Times New Roman" w:cs="Times New Roman"/>
                <w:color w:val="0070C0"/>
              </w:rPr>
              <w:t xml:space="preserve">Par izmaksām skaidrojam: </w:t>
            </w:r>
          </w:p>
          <w:p w14:paraId="0D355F9E" w14:textId="77777777" w:rsidR="00887521" w:rsidRDefault="005907F4" w:rsidP="005907F4">
            <w:pPr>
              <w:pStyle w:val="Heading3"/>
              <w:numPr>
                <w:ilvl w:val="0"/>
                <w:numId w:val="35"/>
              </w:numPr>
              <w:shd w:val="clear" w:color="auto" w:fill="FFFFFF"/>
              <w:ind w:left="0" w:firstLine="393"/>
              <w:jc w:val="both"/>
              <w:textAlignment w:val="baseline"/>
              <w:rPr>
                <w:rFonts w:ascii="Times New Roman" w:eastAsia="Times New Roman" w:hAnsi="Times New Roman" w:cs="Times New Roman"/>
                <w:color w:val="0070C0"/>
              </w:rPr>
            </w:pPr>
            <w:r w:rsidRPr="005907F4">
              <w:rPr>
                <w:rFonts w:ascii="Times New Roman" w:eastAsia="Times New Roman" w:hAnsi="Times New Roman" w:cs="Times New Roman"/>
                <w:color w:val="0070C0"/>
              </w:rPr>
              <w:t xml:space="preserve">projekta iesniegumā jānorāda darbības un izmaksas atbilstoši projektam pieejamām attiecināmām izmaksām </w:t>
            </w:r>
            <w:r w:rsidR="00887521">
              <w:rPr>
                <w:rFonts w:ascii="Times New Roman" w:eastAsia="Times New Roman" w:hAnsi="Times New Roman" w:cs="Times New Roman"/>
                <w:color w:val="0070C0"/>
              </w:rPr>
              <w:t>.</w:t>
            </w:r>
          </w:p>
          <w:p w14:paraId="20735860" w14:textId="74406991" w:rsidR="005907F4" w:rsidRPr="005907F4" w:rsidRDefault="005907F4" w:rsidP="00887521">
            <w:pPr>
              <w:pStyle w:val="Heading3"/>
              <w:shd w:val="clear" w:color="auto" w:fill="FFFFFF"/>
              <w:jc w:val="both"/>
              <w:textAlignment w:val="baseline"/>
              <w:rPr>
                <w:rFonts w:ascii="Times New Roman" w:eastAsia="Times New Roman" w:hAnsi="Times New Roman" w:cs="Times New Roman"/>
                <w:color w:val="0070C0"/>
              </w:rPr>
            </w:pPr>
            <w:r w:rsidRPr="005907F4">
              <w:rPr>
                <w:rFonts w:ascii="Times New Roman" w:eastAsia="Times New Roman" w:hAnsi="Times New Roman" w:cs="Times New Roman"/>
                <w:color w:val="0070C0"/>
              </w:rPr>
              <w:t>Atbilstoši  </w:t>
            </w:r>
            <w:hyperlink r:id="rId19" w:history="1">
              <w:r w:rsidRPr="005907F4">
                <w:rPr>
                  <w:rStyle w:val="Hyperlink"/>
                  <w:rFonts w:ascii="Times New Roman" w:eastAsia="Times New Roman" w:hAnsi="Times New Roman" w:cs="Times New Roman"/>
                  <w:u w:val="none"/>
                </w:rPr>
                <w:t>MK noteikumiem Nr. 273</w:t>
              </w:r>
            </w:hyperlink>
            <w:r w:rsidRPr="005907F4">
              <w:rPr>
                <w:rFonts w:ascii="Times New Roman" w:eastAsia="Times New Roman" w:hAnsi="Times New Roman" w:cs="Times New Roman"/>
                <w:color w:val="0070C0"/>
              </w:rPr>
              <w:t xml:space="preserve">  projekta iesniegumā nav jāiekļauj izmaksas, ko projekta iesniedzējs plāno nodrošināt no saviem līdzekļiem ārpus projekta (piemēram, neattiecināmā</w:t>
            </w:r>
            <w:r w:rsidR="00E4314F">
              <w:rPr>
                <w:rFonts w:ascii="Times New Roman" w:eastAsia="Times New Roman" w:hAnsi="Times New Roman" w:cs="Times New Roman"/>
                <w:color w:val="0070C0"/>
              </w:rPr>
              <w:t>s</w:t>
            </w:r>
            <w:r w:rsidRPr="005907F4">
              <w:rPr>
                <w:rFonts w:ascii="Times New Roman" w:eastAsia="Times New Roman" w:hAnsi="Times New Roman" w:cs="Times New Roman"/>
                <w:color w:val="0070C0"/>
              </w:rPr>
              <w:t xml:space="preserve"> izmaksas)</w:t>
            </w:r>
            <w:r w:rsidR="00E4314F">
              <w:rPr>
                <w:rFonts w:ascii="Times New Roman" w:eastAsia="Times New Roman" w:hAnsi="Times New Roman" w:cs="Times New Roman"/>
                <w:color w:val="0070C0"/>
              </w:rPr>
              <w:t>;</w:t>
            </w:r>
          </w:p>
          <w:p w14:paraId="04120F07" w14:textId="77777777" w:rsidR="005907F4" w:rsidRPr="005907F4" w:rsidRDefault="005907F4" w:rsidP="005907F4">
            <w:pPr>
              <w:pStyle w:val="Heading3"/>
              <w:numPr>
                <w:ilvl w:val="0"/>
                <w:numId w:val="35"/>
              </w:numPr>
              <w:shd w:val="clear" w:color="auto" w:fill="FFFFFF"/>
              <w:ind w:left="0" w:firstLine="393"/>
              <w:jc w:val="both"/>
              <w:textAlignment w:val="baseline"/>
              <w:rPr>
                <w:rFonts w:ascii="Times New Roman" w:eastAsia="Times New Roman" w:hAnsi="Times New Roman" w:cs="Times New Roman"/>
                <w:color w:val="0070C0"/>
              </w:rPr>
            </w:pPr>
            <w:r w:rsidRPr="005907F4">
              <w:rPr>
                <w:rFonts w:ascii="Times New Roman" w:eastAsia="Times New Roman" w:hAnsi="Times New Roman" w:cs="Times New Roman"/>
                <w:color w:val="0070C0"/>
              </w:rPr>
              <w:t xml:space="preserve">saskaņā ar </w:t>
            </w:r>
            <w:hyperlink r:id="rId20" w:history="1">
              <w:r w:rsidRPr="005907F4">
                <w:rPr>
                  <w:rStyle w:val="Hyperlink"/>
                  <w:rFonts w:ascii="Times New Roman" w:eastAsia="Times New Roman" w:hAnsi="Times New Roman" w:cs="Times New Roman"/>
                </w:rPr>
                <w:t>MK noteikumu Nr.</w:t>
              </w:r>
            </w:hyperlink>
            <w:r w:rsidRPr="005907F4">
              <w:rPr>
                <w:rFonts w:ascii="Times New Roman" w:eastAsia="Times New Roman" w:hAnsi="Times New Roman" w:cs="Times New Roman"/>
                <w:color w:val="0070C0"/>
              </w:rPr>
              <w:t xml:space="preserve"> 273 33.punktu  Veselības ministrijas izveidotās tehnoloģiju komisijas  saskaņojums par medicīniskajām tehnoloģijām, kuru vienas vienības piegādes izmaksas pārsniedz 20 000 euro (turpmāk – saskaņojums), ieskaitot pievienotās vērtības nodokli, jāiesniedz aģentūrā </w:t>
            </w:r>
            <w:r w:rsidRPr="005907F4">
              <w:rPr>
                <w:rFonts w:ascii="Times New Roman" w:eastAsia="Times New Roman" w:hAnsi="Times New Roman" w:cs="Times New Roman"/>
                <w:b/>
                <w:bCs/>
                <w:color w:val="0070C0"/>
              </w:rPr>
              <w:t>attiecinot</w:t>
            </w:r>
            <w:r w:rsidRPr="005907F4">
              <w:rPr>
                <w:rFonts w:ascii="Times New Roman" w:eastAsia="Times New Roman" w:hAnsi="Times New Roman" w:cs="Times New Roman"/>
                <w:color w:val="0070C0"/>
              </w:rPr>
              <w:t xml:space="preserve"> (piemēram, kopā ar maksājumu pieprasījumu) medicīniskās tehnoloģijas, savukārt uz </w:t>
            </w:r>
            <w:r w:rsidRPr="005907F4">
              <w:rPr>
                <w:rFonts w:ascii="Times New Roman" w:eastAsia="Times New Roman" w:hAnsi="Times New Roman" w:cs="Times New Roman"/>
                <w:b/>
                <w:bCs/>
                <w:color w:val="0070C0"/>
              </w:rPr>
              <w:t>projekta iesnieguma iesniegšanas brīdi saskaņojumi nav obligāti, tehnoloģiju izmaksas norāda kā attiecināmās izmaksas</w:t>
            </w:r>
            <w:r w:rsidRPr="005907F4">
              <w:rPr>
                <w:rFonts w:ascii="Times New Roman" w:eastAsia="Times New Roman" w:hAnsi="Times New Roman" w:cs="Times New Roman"/>
                <w:color w:val="0070C0"/>
              </w:rPr>
              <w:t xml:space="preserve">. </w:t>
            </w:r>
          </w:p>
          <w:p w14:paraId="43D74334" w14:textId="77777777" w:rsidR="005907F4" w:rsidRPr="005907F4" w:rsidRDefault="005907F4" w:rsidP="005907F4">
            <w:pPr>
              <w:pStyle w:val="Heading3"/>
              <w:ind w:firstLine="393"/>
              <w:jc w:val="both"/>
              <w:textAlignment w:val="baseline"/>
              <w:rPr>
                <w:rFonts w:ascii="Times New Roman" w:eastAsia="Times New Roman" w:hAnsi="Times New Roman" w:cs="Times New Roman"/>
                <w:color w:val="0070C0"/>
              </w:rPr>
            </w:pPr>
            <w:r w:rsidRPr="005907F4">
              <w:rPr>
                <w:rFonts w:ascii="Times New Roman" w:eastAsia="Times New Roman" w:hAnsi="Times New Roman" w:cs="Times New Roman"/>
                <w:color w:val="0070C0"/>
              </w:rPr>
              <w:t>Informācija par saskaņojumiem un  </w:t>
            </w:r>
            <w:bookmarkStart w:id="13" w:name="_Hlk99025990"/>
            <w:r w:rsidRPr="005907F4">
              <w:rPr>
                <w:rFonts w:ascii="Times New Roman" w:eastAsia="Times New Roman" w:hAnsi="Times New Roman" w:cs="Times New Roman"/>
                <w:color w:val="0070C0"/>
              </w:rPr>
              <w:t>ārstniecības procesam tieši nepieciešamo medicīnisk</w:t>
            </w:r>
            <w:bookmarkEnd w:id="13"/>
            <w:r w:rsidRPr="005907F4">
              <w:rPr>
                <w:rFonts w:ascii="Times New Roman" w:eastAsia="Times New Roman" w:hAnsi="Times New Roman" w:cs="Times New Roman"/>
                <w:color w:val="0070C0"/>
              </w:rPr>
              <w:t xml:space="preserve">o tehnoloģiju vērtēšanas kārtība pieejama Veselības ministrijas tīmekļa vietnē - </w:t>
            </w:r>
            <w:hyperlink r:id="rId21" w:history="1">
              <w:r w:rsidRPr="005907F4">
                <w:rPr>
                  <w:rStyle w:val="Hyperlink"/>
                  <w:rFonts w:ascii="Times New Roman" w:eastAsia="Times New Roman" w:hAnsi="Times New Roman" w:cs="Times New Roman"/>
                </w:rPr>
                <w:t>https://www.vm.gov.lv/lv/4111-arstniecibas-iestazu-infrastrukturas-attistiba-2karta</w:t>
              </w:r>
            </w:hyperlink>
            <w:r w:rsidRPr="005907F4">
              <w:rPr>
                <w:rFonts w:ascii="Times New Roman" w:eastAsia="Times New Roman" w:hAnsi="Times New Roman" w:cs="Times New Roman"/>
                <w:color w:val="0070C0"/>
              </w:rPr>
              <w:t xml:space="preserve">. </w:t>
            </w:r>
          </w:p>
          <w:p w14:paraId="6A5AA1C6" w14:textId="6980AF99" w:rsidR="00FD6D0D" w:rsidRPr="005907F4" w:rsidRDefault="006961D6" w:rsidP="44041C96">
            <w:pPr>
              <w:pStyle w:val="Heading3"/>
              <w:shd w:val="clear" w:color="auto" w:fill="FFFFFF" w:themeFill="background1"/>
              <w:jc w:val="both"/>
              <w:textAlignment w:val="baseline"/>
              <w:rPr>
                <w:rFonts w:ascii="Times New Roman" w:eastAsia="Times New Roman" w:hAnsi="Times New Roman" w:cs="Times New Roman"/>
                <w:color w:val="0070C0"/>
              </w:rPr>
            </w:pPr>
            <w:r w:rsidRPr="00D951CA">
              <w:rPr>
                <w:rFonts w:ascii="Times New Roman" w:hAnsi="Times New Roman" w:cs="Times New Roman"/>
                <w:i/>
                <w:iCs/>
                <w:color w:val="0070C0"/>
              </w:rPr>
              <w:t>(</w:t>
            </w:r>
            <w:r w:rsidRPr="00700666">
              <w:rPr>
                <w:rFonts w:ascii="Times New Roman" w:hAnsi="Times New Roman" w:cs="Times New Roman"/>
                <w:i/>
                <w:iCs/>
                <w:color w:val="0070C0"/>
              </w:rPr>
              <w:t>atbilde sniegta rakstiski</w:t>
            </w:r>
            <w:r w:rsidRPr="44041C96">
              <w:rPr>
                <w:rFonts w:ascii="Times New Roman" w:hAnsi="Times New Roman" w:cs="Times New Roman"/>
                <w:i/>
                <w:iCs/>
                <w:color w:val="0070C0"/>
              </w:rPr>
              <w:t>)</w:t>
            </w:r>
          </w:p>
        </w:tc>
      </w:tr>
      <w:tr w:rsidR="00304C2C" w14:paraId="28015076" w14:textId="77777777" w:rsidTr="0CBE80E8">
        <w:trPr>
          <w:trHeight w:val="465"/>
        </w:trPr>
        <w:tc>
          <w:tcPr>
            <w:tcW w:w="977" w:type="dxa"/>
          </w:tcPr>
          <w:p w14:paraId="63055B94" w14:textId="28FE620D" w:rsidR="00304C2C" w:rsidRPr="00F104A1" w:rsidRDefault="00304C2C" w:rsidP="0027119C">
            <w:pPr>
              <w:jc w:val="both"/>
              <w:rPr>
                <w:rFonts w:ascii="Times New Roman" w:hAnsi="Times New Roman" w:cs="Times New Roman"/>
                <w:sz w:val="24"/>
                <w:szCs w:val="24"/>
              </w:rPr>
            </w:pPr>
            <w:r>
              <w:rPr>
                <w:rFonts w:ascii="Times New Roman" w:hAnsi="Times New Roman" w:cs="Times New Roman"/>
                <w:sz w:val="24"/>
                <w:szCs w:val="24"/>
              </w:rPr>
              <w:t>5.10.</w:t>
            </w:r>
          </w:p>
        </w:tc>
        <w:tc>
          <w:tcPr>
            <w:tcW w:w="6317" w:type="dxa"/>
            <w:shd w:val="clear" w:color="auto" w:fill="auto"/>
          </w:tcPr>
          <w:p w14:paraId="1C618938" w14:textId="2CE2FD88" w:rsidR="00304C2C" w:rsidRPr="00304C2C" w:rsidRDefault="00304C2C" w:rsidP="00304C2C">
            <w:pPr>
              <w:jc w:val="both"/>
              <w:rPr>
                <w:rFonts w:ascii="Times New Roman" w:hAnsi="Times New Roman" w:cs="Times New Roman"/>
                <w:sz w:val="24"/>
                <w:szCs w:val="24"/>
              </w:rPr>
            </w:pPr>
            <w:r w:rsidRPr="00304C2C">
              <w:rPr>
                <w:rFonts w:ascii="Times New Roman" w:hAnsi="Times New Roman" w:cs="Times New Roman"/>
                <w:sz w:val="24"/>
                <w:szCs w:val="24"/>
              </w:rPr>
              <w:t>KPVIS sistēmā aizpildot projektā Darbības pie darbības rādītājiem nav izvēles iespējas izvēlēties rādītājus kā piemēram, darbībai – Būvprojekta sagatavošana , rādītājs – sagatavots 1 būvprojekts vai</w:t>
            </w:r>
            <w:r>
              <w:rPr>
                <w:rFonts w:ascii="Times New Roman" w:hAnsi="Times New Roman" w:cs="Times New Roman"/>
                <w:sz w:val="24"/>
                <w:szCs w:val="24"/>
              </w:rPr>
              <w:t xml:space="preserve"> </w:t>
            </w:r>
            <w:r w:rsidRPr="00304C2C">
              <w:rPr>
                <w:rFonts w:ascii="Times New Roman" w:hAnsi="Times New Roman" w:cs="Times New Roman"/>
                <w:sz w:val="24"/>
                <w:szCs w:val="24"/>
              </w:rPr>
              <w:t xml:space="preserve">darbībai – būvuzraudzība </w:t>
            </w:r>
            <w:r w:rsidRPr="00304C2C">
              <w:rPr>
                <w:rFonts w:ascii="Times New Roman" w:hAnsi="Times New Roman" w:cs="Times New Roman"/>
                <w:sz w:val="24"/>
                <w:szCs w:val="24"/>
              </w:rPr>
              <w:lastRenderedPageBreak/>
              <w:t>, rādītājs – veikta 1 būvuzraudzība, izpildīts būvuzraudzības 1 līgums utml.</w:t>
            </w:r>
          </w:p>
          <w:p w14:paraId="64D9E882" w14:textId="77777777" w:rsidR="00304C2C" w:rsidRPr="00304C2C" w:rsidRDefault="00304C2C" w:rsidP="00304C2C">
            <w:pPr>
              <w:jc w:val="both"/>
              <w:rPr>
                <w:rFonts w:ascii="Times New Roman" w:hAnsi="Times New Roman" w:cs="Times New Roman"/>
                <w:sz w:val="24"/>
                <w:szCs w:val="24"/>
              </w:rPr>
            </w:pPr>
            <w:r w:rsidRPr="00304C2C">
              <w:rPr>
                <w:rFonts w:ascii="Times New Roman" w:hAnsi="Times New Roman" w:cs="Times New Roman"/>
                <w:sz w:val="24"/>
                <w:szCs w:val="24"/>
              </w:rPr>
              <w:t>Vai šādiem rādītājiem nav jābūt pie darbībām?</w:t>
            </w:r>
          </w:p>
          <w:p w14:paraId="5F97292F" w14:textId="77777777" w:rsidR="00304C2C" w:rsidRPr="00515410" w:rsidRDefault="00304C2C" w:rsidP="00F104A1">
            <w:pPr>
              <w:jc w:val="both"/>
              <w:rPr>
                <w:rFonts w:ascii="Times New Roman" w:hAnsi="Times New Roman" w:cs="Times New Roman"/>
                <w:sz w:val="24"/>
                <w:szCs w:val="24"/>
              </w:rPr>
            </w:pPr>
          </w:p>
        </w:tc>
        <w:tc>
          <w:tcPr>
            <w:tcW w:w="8094" w:type="dxa"/>
            <w:shd w:val="clear" w:color="auto" w:fill="auto"/>
          </w:tcPr>
          <w:p w14:paraId="70258990" w14:textId="6512ED07" w:rsidR="00F23E8D" w:rsidRPr="00FE493E" w:rsidRDefault="00F23E8D" w:rsidP="003E501E">
            <w:pPr>
              <w:jc w:val="both"/>
              <w:rPr>
                <w:rFonts w:ascii="Times New Roman" w:eastAsia="Times New Roman" w:hAnsi="Times New Roman" w:cs="Times New Roman"/>
                <w:color w:val="0070C0"/>
                <w:sz w:val="24"/>
                <w:szCs w:val="24"/>
              </w:rPr>
            </w:pPr>
            <w:r w:rsidRPr="00FE493E">
              <w:rPr>
                <w:rFonts w:ascii="Times New Roman" w:eastAsia="Times New Roman" w:hAnsi="Times New Roman" w:cs="Times New Roman"/>
                <w:color w:val="0070C0"/>
                <w:sz w:val="24"/>
                <w:szCs w:val="24"/>
              </w:rPr>
              <w:lastRenderedPageBreak/>
              <w:t xml:space="preserve">Projekta iesnieguma sadaļā “Darbības” </w:t>
            </w:r>
            <w:r w:rsidR="003E501E" w:rsidRPr="003E501E">
              <w:rPr>
                <w:rFonts w:ascii="Times New Roman" w:eastAsia="Times New Roman" w:hAnsi="Times New Roman" w:cs="Times New Roman"/>
                <w:color w:val="0070C0"/>
                <w:sz w:val="24"/>
                <w:szCs w:val="24"/>
              </w:rPr>
              <w:t xml:space="preserve">jāizveido </w:t>
            </w:r>
            <w:r w:rsidRPr="00FE493E">
              <w:rPr>
                <w:rFonts w:ascii="Times New Roman" w:eastAsia="Times New Roman" w:hAnsi="Times New Roman" w:cs="Times New Roman"/>
                <w:color w:val="0070C0"/>
                <w:sz w:val="24"/>
                <w:szCs w:val="24"/>
              </w:rPr>
              <w:t>darbības vai apakšdarbības rezultāt</w:t>
            </w:r>
            <w:r w:rsidR="003E501E">
              <w:rPr>
                <w:rFonts w:ascii="Times New Roman" w:eastAsia="Times New Roman" w:hAnsi="Times New Roman" w:cs="Times New Roman"/>
                <w:color w:val="0070C0"/>
                <w:sz w:val="24"/>
                <w:szCs w:val="24"/>
              </w:rPr>
              <w:t>s</w:t>
            </w:r>
            <w:r w:rsidRPr="00FE493E">
              <w:rPr>
                <w:rFonts w:ascii="Times New Roman" w:eastAsia="Times New Roman" w:hAnsi="Times New Roman" w:cs="Times New Roman"/>
                <w:color w:val="0070C0"/>
                <w:sz w:val="24"/>
                <w:szCs w:val="24"/>
              </w:rPr>
              <w:t xml:space="preserve">. </w:t>
            </w:r>
          </w:p>
          <w:p w14:paraId="6B1B5398" w14:textId="77777777" w:rsidR="00F23E8D" w:rsidRPr="00FE493E" w:rsidRDefault="00F23E8D" w:rsidP="00F23E8D">
            <w:pPr>
              <w:rPr>
                <w:rFonts w:ascii="Times New Roman" w:eastAsia="Times New Roman" w:hAnsi="Times New Roman" w:cs="Times New Roman"/>
                <w:color w:val="0070C0"/>
                <w:sz w:val="24"/>
                <w:szCs w:val="24"/>
              </w:rPr>
            </w:pPr>
            <w:r w:rsidRPr="00FE493E">
              <w:rPr>
                <w:rFonts w:ascii="Times New Roman" w:eastAsia="Times New Roman" w:hAnsi="Times New Roman" w:cs="Times New Roman"/>
                <w:color w:val="0070C0"/>
                <w:sz w:val="24"/>
                <w:szCs w:val="24"/>
              </w:rPr>
              <w:t xml:space="preserve">Piemēram: </w:t>
            </w:r>
          </w:p>
          <w:p w14:paraId="1262D8D8" w14:textId="77777777" w:rsidR="00F23E8D" w:rsidRPr="00FE493E" w:rsidRDefault="00F23E8D" w:rsidP="00F23E8D">
            <w:pPr>
              <w:numPr>
                <w:ilvl w:val="0"/>
                <w:numId w:val="37"/>
              </w:numPr>
              <w:rPr>
                <w:rFonts w:ascii="Times New Roman" w:eastAsia="Times New Roman" w:hAnsi="Times New Roman" w:cs="Times New Roman"/>
                <w:color w:val="0070C0"/>
                <w:sz w:val="24"/>
                <w:szCs w:val="24"/>
              </w:rPr>
            </w:pPr>
            <w:r w:rsidRPr="00FE493E">
              <w:rPr>
                <w:rFonts w:ascii="Times New Roman" w:eastAsia="Times New Roman" w:hAnsi="Times New Roman" w:cs="Times New Roman"/>
                <w:color w:val="0070C0"/>
                <w:sz w:val="24"/>
                <w:szCs w:val="24"/>
              </w:rPr>
              <w:lastRenderedPageBreak/>
              <w:t>izvēlās “Pārvaldīt rādītājus”</w:t>
            </w:r>
          </w:p>
          <w:p w14:paraId="75259C39" w14:textId="77777777" w:rsidR="00F23E8D" w:rsidRPr="00FE493E" w:rsidRDefault="00F23E8D" w:rsidP="00F23E8D">
            <w:r w:rsidRPr="00FE493E">
              <w:rPr>
                <w:noProof/>
              </w:rPr>
              <w:drawing>
                <wp:inline distT="0" distB="0" distL="0" distR="0" wp14:anchorId="73946515" wp14:editId="6C792696">
                  <wp:extent cx="4306988" cy="1874520"/>
                  <wp:effectExtent l="0" t="0" r="0" b="0"/>
                  <wp:docPr id="62189342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93420" name="Picture 6" descr="A screenshot of a computer&#10;&#10;Description automatically generated"/>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312255" cy="1876812"/>
                          </a:xfrm>
                          <a:prstGeom prst="rect">
                            <a:avLst/>
                          </a:prstGeom>
                          <a:noFill/>
                          <a:ln>
                            <a:noFill/>
                          </a:ln>
                        </pic:spPr>
                      </pic:pic>
                    </a:graphicData>
                  </a:graphic>
                </wp:inline>
              </w:drawing>
            </w:r>
          </w:p>
          <w:p w14:paraId="3EE73B08" w14:textId="77777777" w:rsidR="00F23E8D" w:rsidRPr="00FE493E" w:rsidRDefault="00F23E8D" w:rsidP="00F23E8D">
            <w:pPr>
              <w:numPr>
                <w:ilvl w:val="0"/>
                <w:numId w:val="37"/>
              </w:numPr>
              <w:rPr>
                <w:rFonts w:ascii="Times New Roman" w:eastAsia="Times New Roman" w:hAnsi="Times New Roman" w:cs="Times New Roman"/>
                <w:color w:val="0070C0"/>
                <w:sz w:val="24"/>
                <w:szCs w:val="24"/>
              </w:rPr>
            </w:pPr>
            <w:r w:rsidRPr="00FE493E">
              <w:rPr>
                <w:rFonts w:ascii="Times New Roman" w:eastAsia="Times New Roman" w:hAnsi="Times New Roman" w:cs="Times New Roman"/>
                <w:color w:val="0070C0"/>
                <w:sz w:val="24"/>
                <w:szCs w:val="24"/>
              </w:rPr>
              <w:t>tad izvēlās -  pievienot darbības rezultātu (iespēja norādīta apakšā)</w:t>
            </w:r>
          </w:p>
          <w:p w14:paraId="47D0735A" w14:textId="77777777" w:rsidR="00F23E8D" w:rsidRPr="00FE493E" w:rsidRDefault="00F23E8D" w:rsidP="00F23E8D">
            <w:r w:rsidRPr="00FE493E">
              <w:rPr>
                <w:noProof/>
              </w:rPr>
              <w:drawing>
                <wp:inline distT="0" distB="0" distL="0" distR="0" wp14:anchorId="7C54F54D" wp14:editId="6253834E">
                  <wp:extent cx="4418847" cy="2240280"/>
                  <wp:effectExtent l="0" t="0" r="1270" b="7620"/>
                  <wp:docPr id="1332799256"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99256" name="Picture 5" descr="A screenshot of a computer&#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4424255" cy="2243022"/>
                          </a:xfrm>
                          <a:prstGeom prst="rect">
                            <a:avLst/>
                          </a:prstGeom>
                          <a:noFill/>
                          <a:ln>
                            <a:noFill/>
                          </a:ln>
                        </pic:spPr>
                      </pic:pic>
                    </a:graphicData>
                  </a:graphic>
                </wp:inline>
              </w:drawing>
            </w:r>
          </w:p>
          <w:p w14:paraId="22E62E8C" w14:textId="1DA06D35" w:rsidR="00F23E8D" w:rsidRPr="00FE493E" w:rsidRDefault="00F23E8D" w:rsidP="00053B15">
            <w:pPr>
              <w:numPr>
                <w:ilvl w:val="0"/>
                <w:numId w:val="37"/>
              </w:numPr>
              <w:jc w:val="both"/>
              <w:rPr>
                <w:rFonts w:ascii="Times New Roman" w:eastAsia="Times New Roman" w:hAnsi="Times New Roman" w:cs="Times New Roman"/>
                <w:color w:val="0070C0"/>
                <w:sz w:val="24"/>
                <w:szCs w:val="24"/>
              </w:rPr>
            </w:pPr>
            <w:r w:rsidRPr="00FE493E">
              <w:rPr>
                <w:rFonts w:ascii="Times New Roman" w:eastAsia="Times New Roman" w:hAnsi="Times New Roman" w:cs="Times New Roman"/>
                <w:color w:val="0070C0"/>
                <w:sz w:val="24"/>
                <w:szCs w:val="24"/>
              </w:rPr>
              <w:t xml:space="preserve">pievieno darbības rezultātu , izvēlās no iespējām vai izveido pats jaunu. Attiecīgi norāda informāciju datu laukos – “Darbība rezultāta nosaukums”, “Mērvienība”, “Skaits”. </w:t>
            </w:r>
          </w:p>
          <w:p w14:paraId="24DAFCCF" w14:textId="77777777" w:rsidR="00304C2C" w:rsidRDefault="00924D23" w:rsidP="005907F4">
            <w:pPr>
              <w:pStyle w:val="Heading3"/>
              <w:shd w:val="clear" w:color="auto" w:fill="FFFFFF"/>
              <w:jc w:val="both"/>
              <w:textAlignment w:val="baseline"/>
              <w:rPr>
                <w:rFonts w:ascii="Times New Roman" w:eastAsia="Times New Roman" w:hAnsi="Times New Roman" w:cs="Times New Roman"/>
                <w:color w:val="0070C0"/>
              </w:rPr>
            </w:pPr>
            <w:r w:rsidRPr="00FE493E">
              <w:rPr>
                <w:noProof/>
              </w:rPr>
              <w:lastRenderedPageBreak/>
              <w:drawing>
                <wp:inline distT="0" distB="0" distL="0" distR="0" wp14:anchorId="6F02FA92" wp14:editId="68460FD6">
                  <wp:extent cx="5434366" cy="1684020"/>
                  <wp:effectExtent l="0" t="0" r="0" b="0"/>
                  <wp:docPr id="1954010470"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10470" name="Picture 4" descr="A screenshot of a phone&#10;&#10;Description automatically generated"/>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58244" cy="1691419"/>
                          </a:xfrm>
                          <a:prstGeom prst="rect">
                            <a:avLst/>
                          </a:prstGeom>
                          <a:noFill/>
                          <a:ln>
                            <a:noFill/>
                          </a:ln>
                        </pic:spPr>
                      </pic:pic>
                    </a:graphicData>
                  </a:graphic>
                </wp:inline>
              </w:drawing>
            </w:r>
          </w:p>
          <w:p w14:paraId="4513E9E8" w14:textId="5CBABF4E" w:rsidR="00924D23" w:rsidRPr="00924D23" w:rsidRDefault="008A5135" w:rsidP="00924D23">
            <w:r w:rsidRPr="00D951CA">
              <w:rPr>
                <w:rFonts w:ascii="Times New Roman" w:hAnsi="Times New Roman" w:cs="Times New Roman"/>
                <w:i/>
                <w:iCs/>
                <w:color w:val="0070C0"/>
              </w:rPr>
              <w:t>(</w:t>
            </w:r>
            <w:r w:rsidRPr="00700666">
              <w:rPr>
                <w:rFonts w:ascii="Times New Roman" w:eastAsiaTheme="majorEastAsia" w:hAnsi="Times New Roman" w:cs="Times New Roman"/>
                <w:i/>
                <w:iCs/>
                <w:color w:val="0070C0"/>
                <w:sz w:val="24"/>
                <w:szCs w:val="24"/>
              </w:rPr>
              <w:t xml:space="preserve">atbilde sniegta rakstiski </w:t>
            </w:r>
            <w:r w:rsidRPr="44041C96">
              <w:rPr>
                <w:rFonts w:ascii="Times New Roman" w:eastAsiaTheme="majorEastAsia" w:hAnsi="Times New Roman" w:cs="Times New Roman"/>
                <w:i/>
                <w:iCs/>
                <w:color w:val="0070C0"/>
                <w:sz w:val="24"/>
                <w:szCs w:val="24"/>
              </w:rPr>
              <w:t>)</w:t>
            </w:r>
          </w:p>
        </w:tc>
      </w:tr>
      <w:tr w:rsidR="00FB372F" w14:paraId="3E3B1B6B" w14:textId="77777777" w:rsidTr="0CBE80E8">
        <w:trPr>
          <w:trHeight w:val="465"/>
        </w:trPr>
        <w:tc>
          <w:tcPr>
            <w:tcW w:w="977" w:type="dxa"/>
          </w:tcPr>
          <w:p w14:paraId="75FCC78F" w14:textId="0B7B6213" w:rsidR="00FB372F" w:rsidRDefault="00B56A20" w:rsidP="0027119C">
            <w:pPr>
              <w:jc w:val="both"/>
              <w:rPr>
                <w:rFonts w:ascii="Times New Roman" w:hAnsi="Times New Roman" w:cs="Times New Roman"/>
                <w:sz w:val="24"/>
                <w:szCs w:val="24"/>
              </w:rPr>
            </w:pPr>
            <w:r>
              <w:rPr>
                <w:rFonts w:ascii="Times New Roman" w:hAnsi="Times New Roman" w:cs="Times New Roman"/>
                <w:sz w:val="24"/>
                <w:szCs w:val="24"/>
              </w:rPr>
              <w:lastRenderedPageBreak/>
              <w:t>5.12.</w:t>
            </w:r>
          </w:p>
        </w:tc>
        <w:tc>
          <w:tcPr>
            <w:tcW w:w="6317" w:type="dxa"/>
            <w:shd w:val="clear" w:color="auto" w:fill="auto"/>
          </w:tcPr>
          <w:p w14:paraId="35ED4A3A" w14:textId="0E188D30" w:rsidR="00B56A20" w:rsidRPr="00B56A20" w:rsidRDefault="008A5135" w:rsidP="00B56A20">
            <w:pPr>
              <w:jc w:val="both"/>
              <w:rPr>
                <w:rFonts w:ascii="Times New Roman" w:hAnsi="Times New Roman" w:cs="Times New Roman"/>
                <w:sz w:val="24"/>
                <w:szCs w:val="24"/>
              </w:rPr>
            </w:pPr>
            <w:r>
              <w:rPr>
                <w:rFonts w:ascii="Times New Roman" w:hAnsi="Times New Roman" w:cs="Times New Roman"/>
                <w:sz w:val="24"/>
                <w:szCs w:val="24"/>
              </w:rPr>
              <w:t>J</w:t>
            </w:r>
            <w:r w:rsidR="00B56A20" w:rsidRPr="00B56A20">
              <w:rPr>
                <w:rFonts w:ascii="Times New Roman" w:hAnsi="Times New Roman" w:cs="Times New Roman"/>
                <w:sz w:val="24"/>
                <w:szCs w:val="24"/>
              </w:rPr>
              <w:t>autājums par veidlapu lielo iekārtu saskaņošanai ar VM - pie projekta atlases dokumentiem </w:t>
            </w:r>
            <w:hyperlink r:id="rId28" w:history="1">
              <w:r w:rsidR="00B56A20" w:rsidRPr="00B56A20">
                <w:rPr>
                  <w:rStyle w:val="Hyperlink"/>
                  <w:rFonts w:ascii="Times New Roman" w:hAnsi="Times New Roman" w:cs="Times New Roman"/>
                  <w:sz w:val="24"/>
                  <w:szCs w:val="24"/>
                </w:rPr>
                <w:t>https://www.cfla.gov.lv/lv/4-1-1-1-k-2</w:t>
              </w:r>
            </w:hyperlink>
            <w:r w:rsidR="00B56A20" w:rsidRPr="00B56A20">
              <w:rPr>
                <w:rFonts w:ascii="Times New Roman" w:hAnsi="Times New Roman" w:cs="Times New Roman"/>
                <w:sz w:val="24"/>
                <w:szCs w:val="24"/>
              </w:rPr>
              <w:t xml:space="preserve"> tā nav atrodama. Gribētu jau tās laicīgi sagatavot un saskaņot ar VM. </w:t>
            </w:r>
          </w:p>
          <w:p w14:paraId="7D80AF7B" w14:textId="77777777" w:rsidR="00FB372F" w:rsidRPr="00304C2C" w:rsidRDefault="00FB372F" w:rsidP="00304C2C">
            <w:pPr>
              <w:jc w:val="both"/>
              <w:rPr>
                <w:rFonts w:ascii="Times New Roman" w:hAnsi="Times New Roman" w:cs="Times New Roman"/>
                <w:sz w:val="24"/>
                <w:szCs w:val="24"/>
              </w:rPr>
            </w:pPr>
          </w:p>
        </w:tc>
        <w:tc>
          <w:tcPr>
            <w:tcW w:w="8094" w:type="dxa"/>
            <w:shd w:val="clear" w:color="auto" w:fill="auto"/>
          </w:tcPr>
          <w:p w14:paraId="62BDD938" w14:textId="26C9F98D" w:rsidR="00227B7B" w:rsidRPr="00227B7B" w:rsidRDefault="00227B7B" w:rsidP="00227B7B">
            <w:pPr>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I</w:t>
            </w:r>
            <w:r w:rsidRPr="00227B7B">
              <w:rPr>
                <w:rFonts w:ascii="Times New Roman" w:eastAsia="Times New Roman" w:hAnsi="Times New Roman" w:cs="Times New Roman"/>
                <w:color w:val="0070C0"/>
                <w:sz w:val="24"/>
                <w:szCs w:val="24"/>
              </w:rPr>
              <w:t xml:space="preserve">nformējam, ka saskaņā ar </w:t>
            </w:r>
            <w:hyperlink r:id="rId29" w:history="1">
              <w:r w:rsidRPr="00227B7B">
                <w:rPr>
                  <w:rStyle w:val="Hyperlink"/>
                  <w:rFonts w:ascii="Times New Roman" w:eastAsia="Times New Roman" w:hAnsi="Times New Roman" w:cs="Times New Roman"/>
                  <w:sz w:val="24"/>
                  <w:szCs w:val="24"/>
                </w:rPr>
                <w:t>MK noteikumu</w:t>
              </w:r>
            </w:hyperlink>
            <w:r w:rsidRPr="00227B7B">
              <w:rPr>
                <w:rFonts w:ascii="Times New Roman" w:eastAsia="Times New Roman" w:hAnsi="Times New Roman" w:cs="Times New Roman"/>
                <w:color w:val="0070C0"/>
                <w:sz w:val="24"/>
                <w:szCs w:val="24"/>
              </w:rPr>
              <w:t xml:space="preserve"> 33.punktu  Veselības ministrijas izveidotās tehnoloģiju komisijas  saskaņojums par medicīniskajām tehnoloģijām, kuru vienas vienības piegādes izmaksas pārsniedz 20 000 </w:t>
            </w:r>
            <w:r w:rsidRPr="003919B5">
              <w:rPr>
                <w:rFonts w:ascii="Times New Roman" w:eastAsia="Times New Roman" w:hAnsi="Times New Roman" w:cs="Times New Roman"/>
                <w:i/>
                <w:iCs/>
                <w:color w:val="0070C0"/>
                <w:sz w:val="24"/>
                <w:szCs w:val="24"/>
              </w:rPr>
              <w:t xml:space="preserve">euro </w:t>
            </w:r>
            <w:r w:rsidRPr="00227B7B">
              <w:rPr>
                <w:rFonts w:ascii="Times New Roman" w:eastAsia="Times New Roman" w:hAnsi="Times New Roman" w:cs="Times New Roman"/>
                <w:color w:val="0070C0"/>
                <w:sz w:val="24"/>
                <w:szCs w:val="24"/>
              </w:rPr>
              <w:t xml:space="preserve">(turpmāk – saskaņojums), ieskaitot pievienotās vērtības nodokli, jāiesniedz aģentūrā attiecinot medicīniskās tehnoloģijas, savukārt uz projekta iesnieguma iesniegšanas brīdi saskaņojumi nav obligāti. </w:t>
            </w:r>
          </w:p>
          <w:p w14:paraId="542D7F9C" w14:textId="77777777" w:rsidR="00FB372F" w:rsidRDefault="00227B7B" w:rsidP="008A5135">
            <w:pPr>
              <w:jc w:val="both"/>
              <w:rPr>
                <w:rFonts w:ascii="Times New Roman" w:eastAsia="Times New Roman" w:hAnsi="Times New Roman" w:cs="Times New Roman"/>
                <w:color w:val="0070C0"/>
                <w:sz w:val="24"/>
                <w:szCs w:val="24"/>
              </w:rPr>
            </w:pPr>
            <w:r w:rsidRPr="00227B7B">
              <w:rPr>
                <w:rFonts w:ascii="Times New Roman" w:eastAsia="Times New Roman" w:hAnsi="Times New Roman" w:cs="Times New Roman"/>
                <w:color w:val="0070C0"/>
                <w:sz w:val="24"/>
                <w:szCs w:val="24"/>
              </w:rPr>
              <w:t xml:space="preserve">Informācija par saskaņojumiem un  ārstniecības procesam tieši nepieciešamo medicīnisko tehnoloģiju vērtēšanas kārtība pieejama Veselības ministrijas tīmekļa vietnē - </w:t>
            </w:r>
            <w:hyperlink r:id="rId30" w:history="1">
              <w:r w:rsidRPr="00227B7B">
                <w:rPr>
                  <w:rStyle w:val="Hyperlink"/>
                  <w:rFonts w:ascii="Times New Roman" w:eastAsia="Times New Roman" w:hAnsi="Times New Roman" w:cs="Times New Roman"/>
                  <w:sz w:val="24"/>
                  <w:szCs w:val="24"/>
                </w:rPr>
                <w:t>https://www.vm.gov.lv/lv/4111-arstniecibas-iestazu-infrastrukturas-attistiba-2karta</w:t>
              </w:r>
            </w:hyperlink>
            <w:r w:rsidRPr="00227B7B">
              <w:rPr>
                <w:rFonts w:ascii="Times New Roman" w:eastAsia="Times New Roman" w:hAnsi="Times New Roman" w:cs="Times New Roman"/>
                <w:color w:val="0070C0"/>
                <w:sz w:val="24"/>
                <w:szCs w:val="24"/>
              </w:rPr>
              <w:t xml:space="preserve"> (piemērs zemāk). </w:t>
            </w:r>
          </w:p>
          <w:p w14:paraId="76C20F83" w14:textId="55820091" w:rsidR="00D364E3" w:rsidRDefault="00D364E3" w:rsidP="008A5135">
            <w:pPr>
              <w:jc w:val="both"/>
              <w:rPr>
                <w:rFonts w:ascii="Times New Roman" w:eastAsia="Times New Roman" w:hAnsi="Times New Roman" w:cs="Times New Roman"/>
                <w:color w:val="0070C0"/>
                <w:sz w:val="24"/>
                <w:szCs w:val="24"/>
              </w:rPr>
            </w:pPr>
            <w:r>
              <w:rPr>
                <w:rFonts w:ascii="Times New Roman" w:hAnsi="Times New Roman" w:cs="Times New Roman"/>
                <w:noProof/>
                <w:color w:val="000000"/>
              </w:rPr>
              <w:drawing>
                <wp:inline distT="0" distB="0" distL="0" distR="0" wp14:anchorId="58A3618C" wp14:editId="3FA1A6D3">
                  <wp:extent cx="4206240" cy="1822079"/>
                  <wp:effectExtent l="0" t="0" r="3810" b="6985"/>
                  <wp:docPr id="1144698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249747" cy="1840926"/>
                          </a:xfrm>
                          <a:prstGeom prst="rect">
                            <a:avLst/>
                          </a:prstGeom>
                          <a:noFill/>
                          <a:ln>
                            <a:noFill/>
                          </a:ln>
                        </pic:spPr>
                      </pic:pic>
                    </a:graphicData>
                  </a:graphic>
                </wp:inline>
              </w:drawing>
            </w:r>
          </w:p>
          <w:p w14:paraId="4CD90FAC" w14:textId="7B4A41C1" w:rsidR="008A5135" w:rsidRPr="00FE493E" w:rsidRDefault="008A5135" w:rsidP="008A5135">
            <w:pPr>
              <w:jc w:val="both"/>
              <w:rPr>
                <w:rFonts w:ascii="Times New Roman" w:eastAsia="Times New Roman" w:hAnsi="Times New Roman" w:cs="Times New Roman"/>
                <w:color w:val="0070C0"/>
                <w:sz w:val="24"/>
                <w:szCs w:val="24"/>
              </w:rPr>
            </w:pPr>
            <w:r w:rsidRPr="00D951CA">
              <w:rPr>
                <w:rFonts w:ascii="Times New Roman" w:hAnsi="Times New Roman" w:cs="Times New Roman"/>
                <w:i/>
                <w:iCs/>
                <w:color w:val="0070C0"/>
              </w:rPr>
              <w:t>(</w:t>
            </w:r>
            <w:r w:rsidRPr="00700666">
              <w:rPr>
                <w:rFonts w:ascii="Times New Roman" w:eastAsiaTheme="majorEastAsia" w:hAnsi="Times New Roman" w:cs="Times New Roman"/>
                <w:i/>
                <w:iCs/>
                <w:color w:val="0070C0"/>
                <w:sz w:val="24"/>
                <w:szCs w:val="24"/>
              </w:rPr>
              <w:t xml:space="preserve">atbilde sniegta rakstiski </w:t>
            </w:r>
            <w:r w:rsidRPr="44041C96">
              <w:rPr>
                <w:rFonts w:ascii="Times New Roman" w:eastAsiaTheme="majorEastAsia" w:hAnsi="Times New Roman" w:cs="Times New Roman"/>
                <w:i/>
                <w:iCs/>
                <w:color w:val="0070C0"/>
                <w:sz w:val="24"/>
                <w:szCs w:val="24"/>
              </w:rPr>
              <w:t>)</w:t>
            </w:r>
          </w:p>
        </w:tc>
      </w:tr>
      <w:tr w:rsidR="004E4DF9" w14:paraId="2994035E" w14:textId="77777777" w:rsidTr="0CBE80E8">
        <w:trPr>
          <w:trHeight w:val="465"/>
        </w:trPr>
        <w:tc>
          <w:tcPr>
            <w:tcW w:w="977" w:type="dxa"/>
          </w:tcPr>
          <w:p w14:paraId="33630D1F" w14:textId="0BC715E2" w:rsidR="004E4DF9" w:rsidRDefault="004E4DF9" w:rsidP="0027119C">
            <w:pPr>
              <w:jc w:val="both"/>
              <w:rPr>
                <w:rFonts w:ascii="Times New Roman" w:hAnsi="Times New Roman" w:cs="Times New Roman"/>
                <w:sz w:val="24"/>
                <w:szCs w:val="24"/>
              </w:rPr>
            </w:pPr>
            <w:r>
              <w:rPr>
                <w:rFonts w:ascii="Times New Roman" w:hAnsi="Times New Roman" w:cs="Times New Roman"/>
                <w:sz w:val="24"/>
                <w:szCs w:val="24"/>
              </w:rPr>
              <w:t>5.13.</w:t>
            </w:r>
          </w:p>
        </w:tc>
        <w:tc>
          <w:tcPr>
            <w:tcW w:w="6317" w:type="dxa"/>
            <w:shd w:val="clear" w:color="auto" w:fill="auto"/>
          </w:tcPr>
          <w:p w14:paraId="4A4E5AB7" w14:textId="2B3E4734" w:rsidR="004D208C" w:rsidRPr="004D208C" w:rsidRDefault="004D208C" w:rsidP="004D208C">
            <w:pPr>
              <w:jc w:val="both"/>
              <w:rPr>
                <w:rFonts w:ascii="Times New Roman" w:hAnsi="Times New Roman" w:cs="Times New Roman"/>
                <w:sz w:val="24"/>
                <w:szCs w:val="24"/>
              </w:rPr>
            </w:pPr>
            <w:r>
              <w:rPr>
                <w:rFonts w:ascii="Times New Roman" w:hAnsi="Times New Roman" w:cs="Times New Roman"/>
                <w:sz w:val="24"/>
                <w:szCs w:val="24"/>
              </w:rPr>
              <w:t>K</w:t>
            </w:r>
            <w:r w:rsidRPr="004D208C">
              <w:rPr>
                <w:rFonts w:ascii="Times New Roman" w:hAnsi="Times New Roman" w:cs="Times New Roman"/>
                <w:sz w:val="24"/>
                <w:szCs w:val="24"/>
              </w:rPr>
              <w:t xml:space="preserve">urā sadaļā jānorāda diagnostikas iekārtas un sterilizācijas iekārtas  - pamatinfrastruktūra vai saistītā </w:t>
            </w:r>
            <w:r w:rsidRPr="004D208C">
              <w:rPr>
                <w:rFonts w:ascii="Times New Roman" w:hAnsi="Times New Roman" w:cs="Times New Roman"/>
                <w:sz w:val="24"/>
                <w:szCs w:val="24"/>
              </w:rPr>
              <w:lastRenderedPageBreak/>
              <w:t>infrastruktūra? Ievadot pacientu skaitu vai darbību skaitu, kopsavilkumā pēc formulām sanāk proporcija, kas nav matemātiski  maksas pakalp/kopējais apjoms.</w:t>
            </w:r>
          </w:p>
          <w:p w14:paraId="79FB2238" w14:textId="77777777" w:rsidR="004E4DF9" w:rsidRDefault="004E4DF9" w:rsidP="00B56A20">
            <w:pPr>
              <w:jc w:val="both"/>
              <w:rPr>
                <w:rFonts w:ascii="Times New Roman" w:hAnsi="Times New Roman" w:cs="Times New Roman"/>
                <w:sz w:val="24"/>
                <w:szCs w:val="24"/>
              </w:rPr>
            </w:pPr>
          </w:p>
        </w:tc>
        <w:tc>
          <w:tcPr>
            <w:tcW w:w="8094" w:type="dxa"/>
            <w:shd w:val="clear" w:color="auto" w:fill="auto"/>
          </w:tcPr>
          <w:p w14:paraId="4B09F8BF" w14:textId="77777777" w:rsidR="003B3469" w:rsidRPr="003B3469" w:rsidRDefault="003B3469" w:rsidP="003B3469">
            <w:pPr>
              <w:jc w:val="both"/>
              <w:rPr>
                <w:rFonts w:ascii="Times New Roman" w:eastAsia="Times New Roman" w:hAnsi="Times New Roman" w:cs="Times New Roman"/>
                <w:color w:val="0070C0"/>
                <w:sz w:val="24"/>
                <w:szCs w:val="24"/>
              </w:rPr>
            </w:pPr>
            <w:r w:rsidRPr="003B3469">
              <w:rPr>
                <w:rFonts w:ascii="Times New Roman" w:eastAsia="Times New Roman" w:hAnsi="Times New Roman" w:cs="Times New Roman"/>
                <w:color w:val="0070C0"/>
                <w:sz w:val="24"/>
                <w:szCs w:val="24"/>
              </w:rPr>
              <w:lastRenderedPageBreak/>
              <w:t xml:space="preserve">Atbilstoši </w:t>
            </w:r>
            <w:r w:rsidRPr="003B3469">
              <w:rPr>
                <w:rFonts w:ascii="Times New Roman" w:eastAsia="Times New Roman" w:hAnsi="Times New Roman" w:cs="Times New Roman"/>
                <w:i/>
                <w:iCs/>
                <w:color w:val="0070C0"/>
                <w:sz w:val="24"/>
                <w:szCs w:val="24"/>
              </w:rPr>
              <w:t xml:space="preserve">Infrastruktūras izmantošanas valsts apmaksāto pakalpojumu sniegšanai un citu darbību veikšanai proporcijas aprēķināšanas un aprēķina iekļaušanas projekta </w:t>
            </w:r>
            <w:r w:rsidRPr="003B3469">
              <w:rPr>
                <w:rFonts w:ascii="Times New Roman" w:eastAsia="Times New Roman" w:hAnsi="Times New Roman" w:cs="Times New Roman"/>
                <w:i/>
                <w:iCs/>
                <w:color w:val="0070C0"/>
                <w:sz w:val="24"/>
                <w:szCs w:val="24"/>
              </w:rPr>
              <w:lastRenderedPageBreak/>
              <w:t>iesnieguma veidlapā metodikai</w:t>
            </w:r>
            <w:r w:rsidRPr="003B3469">
              <w:rPr>
                <w:rFonts w:ascii="Times New Roman" w:eastAsia="Times New Roman" w:hAnsi="Times New Roman" w:cs="Times New Roman"/>
                <w:color w:val="0070C0"/>
                <w:sz w:val="24"/>
                <w:szCs w:val="24"/>
              </w:rPr>
              <w:t xml:space="preserve"> (turpmāk – </w:t>
            </w:r>
            <w:hyperlink r:id="rId33" w:history="1">
              <w:r w:rsidRPr="003B3469">
                <w:rPr>
                  <w:rStyle w:val="Hyperlink"/>
                  <w:rFonts w:ascii="Times New Roman" w:eastAsia="Times New Roman" w:hAnsi="Times New Roman" w:cs="Times New Roman"/>
                  <w:sz w:val="24"/>
                  <w:szCs w:val="24"/>
                </w:rPr>
                <w:t>metodika</w:t>
              </w:r>
            </w:hyperlink>
            <w:r w:rsidRPr="003B3469">
              <w:rPr>
                <w:rFonts w:ascii="Times New Roman" w:eastAsia="Times New Roman" w:hAnsi="Times New Roman" w:cs="Times New Roman"/>
                <w:color w:val="0070C0"/>
                <w:sz w:val="24"/>
                <w:szCs w:val="24"/>
              </w:rPr>
              <w:t>)  diagnostikas iekārtas un sterilizācijas iekārtas  norāda aprēķinu datnē “Pamata infrastruktūra 2” -  informācija par struktūrvienībām, kurām var noteikt laika sadalījumu pēc pakalpojumu skaita (piemērs zemāk) .  Vadības izmaksas proporcijas aprēķinā nenorāda, bet piemēro  vidējo proporciju, norādot informāciju  aprēķinu datnē “Atbalsta darbības”.</w:t>
            </w:r>
          </w:p>
          <w:p w14:paraId="5715CB04" w14:textId="77777777" w:rsidR="004E4DF9" w:rsidRDefault="0068212B" w:rsidP="00227B7B">
            <w:pPr>
              <w:jc w:val="both"/>
              <w:rPr>
                <w:rFonts w:ascii="Times New Roman" w:eastAsia="Times New Roman" w:hAnsi="Times New Roman" w:cs="Times New Roman"/>
                <w:color w:val="0070C0"/>
                <w:sz w:val="24"/>
                <w:szCs w:val="24"/>
              </w:rPr>
            </w:pPr>
            <w:r>
              <w:rPr>
                <w:rFonts w:ascii="Aptos" w:hAnsi="Aptos"/>
                <w:noProof/>
              </w:rPr>
              <w:drawing>
                <wp:inline distT="0" distB="0" distL="0" distR="0" wp14:anchorId="1F3B8BFF" wp14:editId="38DF602B">
                  <wp:extent cx="4404360" cy="2658488"/>
                  <wp:effectExtent l="0" t="0" r="0" b="8890"/>
                  <wp:docPr id="54313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4410472" cy="2662178"/>
                          </a:xfrm>
                          <a:prstGeom prst="rect">
                            <a:avLst/>
                          </a:prstGeom>
                          <a:noFill/>
                          <a:ln>
                            <a:noFill/>
                          </a:ln>
                        </pic:spPr>
                      </pic:pic>
                    </a:graphicData>
                  </a:graphic>
                </wp:inline>
              </w:drawing>
            </w:r>
          </w:p>
          <w:p w14:paraId="325CB4E2" w14:textId="294ED19D" w:rsidR="004C5E58" w:rsidRDefault="004C5E58" w:rsidP="00227B7B">
            <w:pPr>
              <w:jc w:val="both"/>
              <w:rPr>
                <w:rFonts w:ascii="Times New Roman" w:eastAsia="Times New Roman" w:hAnsi="Times New Roman" w:cs="Times New Roman"/>
                <w:color w:val="0070C0"/>
                <w:sz w:val="24"/>
                <w:szCs w:val="24"/>
              </w:rPr>
            </w:pPr>
            <w:r w:rsidRPr="00D951CA">
              <w:rPr>
                <w:rFonts w:ascii="Times New Roman" w:hAnsi="Times New Roman" w:cs="Times New Roman"/>
                <w:i/>
                <w:iCs/>
                <w:color w:val="0070C0"/>
              </w:rPr>
              <w:t>(</w:t>
            </w:r>
            <w:r w:rsidRPr="00700666">
              <w:rPr>
                <w:rFonts w:ascii="Times New Roman" w:eastAsiaTheme="majorEastAsia" w:hAnsi="Times New Roman" w:cs="Times New Roman"/>
                <w:i/>
                <w:iCs/>
                <w:color w:val="0070C0"/>
                <w:sz w:val="24"/>
                <w:szCs w:val="24"/>
              </w:rPr>
              <w:t>atbilde sniegta rakstiski</w:t>
            </w:r>
            <w:r w:rsidRPr="44041C96">
              <w:rPr>
                <w:rFonts w:ascii="Times New Roman" w:eastAsiaTheme="majorEastAsia" w:hAnsi="Times New Roman" w:cs="Times New Roman"/>
                <w:i/>
                <w:iCs/>
                <w:color w:val="0070C0"/>
                <w:sz w:val="24"/>
                <w:szCs w:val="24"/>
              </w:rPr>
              <w:t>)</w:t>
            </w:r>
          </w:p>
        </w:tc>
      </w:tr>
      <w:tr w:rsidR="00841E7F" w:rsidRPr="001F6A34" w14:paraId="694FE4EE" w14:textId="77777777" w:rsidTr="0CBE80E8">
        <w:trPr>
          <w:trHeight w:val="321"/>
        </w:trPr>
        <w:tc>
          <w:tcPr>
            <w:tcW w:w="5000" w:type="pct"/>
            <w:gridSpan w:val="3"/>
            <w:shd w:val="clear" w:color="auto" w:fill="D0CECE" w:themeFill="background2" w:themeFillShade="E6"/>
          </w:tcPr>
          <w:p w14:paraId="7A4FFAA7" w14:textId="5F48FE53" w:rsidR="00841E7F" w:rsidRPr="001F6A34" w:rsidRDefault="00841E7F" w:rsidP="00E97EDB">
            <w:pPr>
              <w:pStyle w:val="Heading1"/>
              <w:numPr>
                <w:ilvl w:val="0"/>
                <w:numId w:val="27"/>
              </w:numPr>
              <w:ind w:left="0" w:firstLine="0"/>
              <w:rPr>
                <w:rFonts w:cs="Times New Roman"/>
                <w:sz w:val="24"/>
                <w:szCs w:val="24"/>
              </w:rPr>
            </w:pPr>
            <w:bookmarkStart w:id="14" w:name="_Toc20918693"/>
            <w:bookmarkStart w:id="15" w:name="_Toc46148098"/>
            <w:bookmarkStart w:id="16" w:name="_Toc127803617"/>
            <w:r w:rsidRPr="001F6A34">
              <w:rPr>
                <w:rFonts w:cs="Times New Roman"/>
                <w:sz w:val="24"/>
                <w:szCs w:val="24"/>
              </w:rPr>
              <w:lastRenderedPageBreak/>
              <w:t>Personāls</w:t>
            </w:r>
            <w:bookmarkEnd w:id="14"/>
            <w:bookmarkEnd w:id="15"/>
            <w:r>
              <w:rPr>
                <w:rFonts w:cs="Times New Roman"/>
                <w:sz w:val="24"/>
                <w:szCs w:val="24"/>
              </w:rPr>
              <w:t xml:space="preserve"> un p</w:t>
            </w:r>
            <w:r w:rsidRPr="001F6A34">
              <w:rPr>
                <w:rFonts w:cs="Times New Roman"/>
                <w:sz w:val="24"/>
                <w:szCs w:val="24"/>
              </w:rPr>
              <w:t>artneri</w:t>
            </w:r>
            <w:bookmarkEnd w:id="16"/>
          </w:p>
        </w:tc>
      </w:tr>
      <w:tr w:rsidR="00640E97" w:rsidRPr="001F6A34" w14:paraId="0CF6209B" w14:textId="77777777" w:rsidTr="0CBE80E8">
        <w:trPr>
          <w:trHeight w:val="465"/>
        </w:trPr>
        <w:tc>
          <w:tcPr>
            <w:tcW w:w="317" w:type="pct"/>
          </w:tcPr>
          <w:p w14:paraId="3FCCC274" w14:textId="77777777" w:rsidR="00640E97" w:rsidRPr="001F6A34" w:rsidRDefault="00640E97">
            <w:pPr>
              <w:pStyle w:val="PlainText"/>
              <w:rPr>
                <w:rFonts w:ascii="Times New Roman" w:eastAsia="Times New Roman" w:hAnsi="Times New Roman" w:cs="Times New Roman"/>
                <w:sz w:val="24"/>
                <w:szCs w:val="24"/>
                <w:lang w:val="lv-LV" w:eastAsia="lv-LV"/>
              </w:rPr>
            </w:pPr>
          </w:p>
        </w:tc>
        <w:tc>
          <w:tcPr>
            <w:tcW w:w="2053" w:type="pct"/>
            <w:shd w:val="clear" w:color="auto" w:fill="auto"/>
            <w:vAlign w:val="center"/>
          </w:tcPr>
          <w:p w14:paraId="390E7FDD" w14:textId="05E7D89B" w:rsidR="00640E97" w:rsidRPr="001F6A34" w:rsidRDefault="00640E97">
            <w:pPr>
              <w:pStyle w:val="PlainText"/>
              <w:rPr>
                <w:rFonts w:ascii="Times New Roman" w:eastAsia="Times New Roman" w:hAnsi="Times New Roman" w:cs="Times New Roman"/>
                <w:sz w:val="24"/>
                <w:szCs w:val="24"/>
                <w:lang w:val="lv-LV" w:eastAsia="lv-LV"/>
              </w:rPr>
            </w:pPr>
          </w:p>
        </w:tc>
        <w:tc>
          <w:tcPr>
            <w:tcW w:w="2630" w:type="pct"/>
            <w:shd w:val="clear" w:color="auto" w:fill="auto"/>
          </w:tcPr>
          <w:p w14:paraId="7C4C0F5B" w14:textId="2513DBE6" w:rsidR="00640E97" w:rsidRPr="00841E7F" w:rsidRDefault="00640E97">
            <w:pPr>
              <w:rPr>
                <w:rFonts w:ascii="Times New Roman" w:hAnsi="Times New Roman" w:cs="Times New Roman"/>
                <w:color w:val="2F5496" w:themeColor="accent1" w:themeShade="BF"/>
                <w:sz w:val="24"/>
                <w:szCs w:val="24"/>
              </w:rPr>
            </w:pPr>
          </w:p>
        </w:tc>
      </w:tr>
      <w:tr w:rsidR="00841E7F" w:rsidRPr="001F6A34" w14:paraId="32696442" w14:textId="77777777" w:rsidTr="0CBE80E8">
        <w:trPr>
          <w:trHeight w:val="274"/>
        </w:trPr>
        <w:tc>
          <w:tcPr>
            <w:tcW w:w="5000" w:type="pct"/>
            <w:gridSpan w:val="3"/>
            <w:shd w:val="clear" w:color="auto" w:fill="D0CECE" w:themeFill="background2" w:themeFillShade="E6"/>
          </w:tcPr>
          <w:p w14:paraId="55D6F45D" w14:textId="30C4C97D" w:rsidR="00841E7F" w:rsidRPr="001F6A34" w:rsidRDefault="00BC514B" w:rsidP="00BC514B">
            <w:pPr>
              <w:pStyle w:val="Heading1"/>
              <w:ind w:left="460"/>
              <w:rPr>
                <w:rFonts w:cs="Times New Roman"/>
                <w:i/>
                <w:iCs/>
                <w:color w:val="0070C0"/>
                <w:sz w:val="24"/>
                <w:szCs w:val="24"/>
              </w:rPr>
            </w:pPr>
            <w:bookmarkStart w:id="17" w:name="_Toc127803618"/>
            <w:r>
              <w:rPr>
                <w:rFonts w:cs="Times New Roman"/>
                <w:sz w:val="24"/>
                <w:szCs w:val="24"/>
              </w:rPr>
              <w:t>4.</w:t>
            </w:r>
            <w:r w:rsidR="00841E7F" w:rsidRPr="001F6A34">
              <w:rPr>
                <w:rFonts w:cs="Times New Roman"/>
                <w:sz w:val="24"/>
                <w:szCs w:val="24"/>
              </w:rPr>
              <w:t>Projekta rezultātu uzturēšana un ilgtspējas nodrošināšana</w:t>
            </w:r>
            <w:bookmarkEnd w:id="17"/>
          </w:p>
        </w:tc>
      </w:tr>
      <w:tr w:rsidR="00640E97" w:rsidRPr="001F6A34" w14:paraId="6E7E3660" w14:textId="77777777" w:rsidTr="0CBE80E8">
        <w:trPr>
          <w:trHeight w:val="465"/>
        </w:trPr>
        <w:tc>
          <w:tcPr>
            <w:tcW w:w="317" w:type="pct"/>
          </w:tcPr>
          <w:p w14:paraId="48CAC39F" w14:textId="77777777" w:rsidR="00640E97" w:rsidRPr="001F6A34" w:rsidRDefault="00640E97" w:rsidP="00BC514B">
            <w:pPr>
              <w:pStyle w:val="PlainText"/>
              <w:jc w:val="center"/>
              <w:rPr>
                <w:rFonts w:ascii="Times New Roman" w:eastAsia="Times New Roman" w:hAnsi="Times New Roman" w:cs="Times New Roman"/>
                <w:sz w:val="24"/>
                <w:szCs w:val="24"/>
                <w:lang w:val="lv-LV" w:eastAsia="lv-LV"/>
              </w:rPr>
            </w:pPr>
          </w:p>
        </w:tc>
        <w:tc>
          <w:tcPr>
            <w:tcW w:w="2053" w:type="pct"/>
            <w:shd w:val="clear" w:color="auto" w:fill="auto"/>
          </w:tcPr>
          <w:p w14:paraId="103814F7" w14:textId="580AF5DF" w:rsidR="00640E97" w:rsidRPr="001F6A34" w:rsidRDefault="00640E97" w:rsidP="00BC514B">
            <w:pPr>
              <w:pStyle w:val="PlainText"/>
              <w:jc w:val="center"/>
              <w:rPr>
                <w:rFonts w:ascii="Times New Roman" w:eastAsia="Times New Roman" w:hAnsi="Times New Roman" w:cs="Times New Roman"/>
                <w:sz w:val="24"/>
                <w:szCs w:val="24"/>
                <w:lang w:val="lv-LV" w:eastAsia="lv-LV"/>
              </w:rPr>
            </w:pPr>
          </w:p>
        </w:tc>
        <w:tc>
          <w:tcPr>
            <w:tcW w:w="2630" w:type="pct"/>
            <w:shd w:val="clear" w:color="auto" w:fill="auto"/>
          </w:tcPr>
          <w:p w14:paraId="52890B2A" w14:textId="442B9BF6" w:rsidR="00640E97" w:rsidRPr="00841E7F" w:rsidRDefault="00640E97">
            <w:pPr>
              <w:rPr>
                <w:rFonts w:ascii="Times New Roman" w:hAnsi="Times New Roman" w:cs="Times New Roman"/>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B50AEE">
      <w:headerReference w:type="default" r:id="rId36"/>
      <w:headerReference w:type="first" r:id="rId37"/>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CDA0" w14:textId="77777777" w:rsidR="006B102D" w:rsidRDefault="006B102D" w:rsidP="00F40189">
      <w:pPr>
        <w:spacing w:after="0" w:line="240" w:lineRule="auto"/>
      </w:pPr>
      <w:r>
        <w:separator/>
      </w:r>
    </w:p>
  </w:endnote>
  <w:endnote w:type="continuationSeparator" w:id="0">
    <w:p w14:paraId="7EAB83F7" w14:textId="77777777" w:rsidR="006B102D" w:rsidRDefault="006B102D" w:rsidP="00F40189">
      <w:pPr>
        <w:spacing w:after="0" w:line="240" w:lineRule="auto"/>
      </w:pPr>
      <w:r>
        <w:continuationSeparator/>
      </w:r>
    </w:p>
  </w:endnote>
  <w:endnote w:type="continuationNotice" w:id="1">
    <w:p w14:paraId="3A20354B" w14:textId="77777777" w:rsidR="006B102D" w:rsidRDefault="006B1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altName w:val="Cambria"/>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F8F2A" w14:textId="77777777" w:rsidR="006B102D" w:rsidRDefault="006B102D" w:rsidP="00F40189">
      <w:pPr>
        <w:spacing w:after="0" w:line="240" w:lineRule="auto"/>
      </w:pPr>
      <w:r>
        <w:separator/>
      </w:r>
    </w:p>
  </w:footnote>
  <w:footnote w:type="continuationSeparator" w:id="0">
    <w:p w14:paraId="7D1110D3" w14:textId="77777777" w:rsidR="006B102D" w:rsidRDefault="006B102D" w:rsidP="00F40189">
      <w:pPr>
        <w:spacing w:after="0" w:line="240" w:lineRule="auto"/>
      </w:pPr>
      <w:r>
        <w:continuationSeparator/>
      </w:r>
    </w:p>
  </w:footnote>
  <w:footnote w:type="continuationNotice" w:id="1">
    <w:p w14:paraId="55B631C0" w14:textId="77777777" w:rsidR="006B102D" w:rsidRDefault="006B102D">
      <w:pPr>
        <w:spacing w:after="0" w:line="240" w:lineRule="auto"/>
      </w:pPr>
    </w:p>
  </w:footnote>
  <w:footnote w:id="2">
    <w:p w14:paraId="1779D603" w14:textId="77777777" w:rsidR="00C462B0" w:rsidRDefault="00C462B0" w:rsidP="00C462B0">
      <w:pPr>
        <w:pStyle w:val="FootnoteText"/>
        <w:jc w:val="both"/>
        <w:rPr>
          <w:sz w:val="18"/>
          <w:szCs w:val="18"/>
        </w:rPr>
      </w:pPr>
      <w:r>
        <w:rPr>
          <w:rStyle w:val="FootnoteReference"/>
          <w:rFonts w:hint="eastAsia"/>
          <w:sz w:val="18"/>
          <w:szCs w:val="18"/>
        </w:rPr>
        <w:t>[1]</w:t>
      </w:r>
      <w:r>
        <w:rPr>
          <w:rFonts w:hint="eastAsia"/>
          <w:sz w:val="18"/>
          <w:szCs w:val="18"/>
        </w:rPr>
        <w:t xml:space="preserve"> Vizuālās identitātes prasības un paraugi iekļauti Eiropas Savienības fondu 2021.–2027. gada plānošanas perioda un Atveseļošanas fonda komunikācijas un dizaina vadlīnijās. Pieejamas: Esfondi.lv: </w:t>
      </w:r>
      <w:hyperlink r:id="rId1" w:history="1">
        <w:r>
          <w:rPr>
            <w:rStyle w:val="Hyperlink"/>
            <w:rFonts w:hint="eastAsia"/>
            <w:sz w:val="18"/>
            <w:szCs w:val="18"/>
          </w:rPr>
          <w:t>https://www.esfondi.lv/vadlinijas</w:t>
        </w:r>
      </w:hyperlink>
      <w:r>
        <w:rPr>
          <w:rStyle w:val="Hyperlink"/>
          <w:rFonts w:hint="eastAsia"/>
          <w:sz w:val="18"/>
          <w:szCs w:val="18"/>
        </w:rPr>
        <w:t>.</w:t>
      </w:r>
    </w:p>
  </w:footnote>
  <w:footnote w:id="3">
    <w:p w14:paraId="349C8710" w14:textId="77777777" w:rsidR="00642214" w:rsidRPr="00642214" w:rsidRDefault="00DC7309" w:rsidP="00642214">
      <w:pPr>
        <w:pStyle w:val="FootnoteText"/>
        <w:jc w:val="both"/>
        <w:rPr>
          <w:rFonts w:ascii="Times New Roman" w:hAnsi="Times New Roman" w:cs="Times New Roman"/>
          <w:sz w:val="18"/>
          <w:szCs w:val="18"/>
        </w:rPr>
      </w:pPr>
      <w:r>
        <w:rPr>
          <w:rStyle w:val="FootnoteReference"/>
        </w:rPr>
        <w:footnoteRef/>
      </w:r>
      <w:r>
        <w:t xml:space="preserve"> </w:t>
      </w:r>
      <w:r w:rsidR="00642214" w:rsidRPr="00642214">
        <w:rPr>
          <w:rFonts w:ascii="Times New Roman" w:hAnsi="Times New Roman" w:cs="Times New Roman"/>
          <w:sz w:val="18"/>
          <w:szCs w:val="18"/>
        </w:rPr>
        <w:t xml:space="preserve">Atbilstoši Ārstniecības likuma 1. panta 21.punktā noteiktajam </w:t>
      </w:r>
      <w:r w:rsidR="00642214" w:rsidRPr="00642214">
        <w:rPr>
          <w:rFonts w:ascii="Times New Roman" w:hAnsi="Times New Roman" w:cs="Times New Roman"/>
          <w:b/>
          <w:bCs/>
          <w:sz w:val="18"/>
          <w:szCs w:val="18"/>
        </w:rPr>
        <w:t>-</w:t>
      </w:r>
      <w:r w:rsidR="00642214" w:rsidRPr="00642214">
        <w:rPr>
          <w:rFonts w:ascii="Times New Roman" w:hAnsi="Times New Roman" w:cs="Times New Roman"/>
          <w:sz w:val="18"/>
          <w:szCs w:val="18"/>
        </w:rPr>
        <w:t xml:space="preserve"> </w:t>
      </w:r>
      <w:r w:rsidR="00642214" w:rsidRPr="00642214">
        <w:rPr>
          <w:rFonts w:ascii="Times New Roman" w:hAnsi="Times New Roman" w:cs="Times New Roman"/>
          <w:b/>
          <w:bCs/>
          <w:sz w:val="18"/>
          <w:szCs w:val="18"/>
        </w:rPr>
        <w:t>medicīniskās ierīces</w:t>
      </w:r>
      <w:r w:rsidR="00642214" w:rsidRPr="00642214">
        <w:rPr>
          <w:rFonts w:ascii="Times New Roman" w:hAnsi="Times New Roman" w:cs="Times New Roman"/>
          <w:sz w:val="18"/>
          <w:szCs w:val="18"/>
        </w:rPr>
        <w:t> </w:t>
      </w:r>
      <w:r w:rsidR="00642214" w:rsidRPr="00642214">
        <w:rPr>
          <w:rFonts w:ascii="Times New Roman" w:hAnsi="Times New Roman" w:cs="Times New Roman"/>
          <w:b/>
          <w:bCs/>
          <w:sz w:val="18"/>
          <w:szCs w:val="18"/>
        </w:rPr>
        <w:t>-</w:t>
      </w:r>
      <w:r w:rsidR="00642214" w:rsidRPr="00642214">
        <w:rPr>
          <w:rFonts w:ascii="Times New Roman" w:hAnsi="Times New Roman" w:cs="Times New Roman"/>
          <w:sz w:val="18"/>
          <w:szCs w:val="18"/>
        </w:rPr>
        <w:t xml:space="preserve"> jebkurš instruments, aparāts, ierīce, programmatūra, implants, reaģents, materiāls vai cits priekšmets, kurš atbilst Eiropas Parlamenta un Padomes 2017. gada 5. aprīļa regulas (ES) Nr. 2017/745, kas attiecas uz medicīniskām ierīcēm, ar ko groza direktīvu </w:t>
      </w:r>
      <w:hyperlink r:id="rId2" w:tgtFrame="_blank" w:history="1">
        <w:r w:rsidR="00642214" w:rsidRPr="00642214">
          <w:rPr>
            <w:rStyle w:val="Hyperlink"/>
            <w:rFonts w:ascii="Times New Roman" w:hAnsi="Times New Roman" w:cs="Times New Roman"/>
            <w:sz w:val="18"/>
            <w:szCs w:val="18"/>
          </w:rPr>
          <w:t>2001/83/EK</w:t>
        </w:r>
      </w:hyperlink>
      <w:r w:rsidR="00642214" w:rsidRPr="00642214">
        <w:rPr>
          <w:rFonts w:ascii="Times New Roman" w:hAnsi="Times New Roman" w:cs="Times New Roman"/>
          <w:sz w:val="18"/>
          <w:szCs w:val="18"/>
        </w:rPr>
        <w:t xml:space="preserve">, regulu (EK) Nr. </w:t>
      </w:r>
      <w:hyperlink r:id="rId3" w:tgtFrame="_blank" w:history="1">
        <w:r w:rsidR="00642214" w:rsidRPr="00642214">
          <w:rPr>
            <w:rStyle w:val="Hyperlink"/>
            <w:rFonts w:ascii="Times New Roman" w:hAnsi="Times New Roman" w:cs="Times New Roman"/>
            <w:sz w:val="18"/>
            <w:szCs w:val="18"/>
          </w:rPr>
          <w:t>178/2002</w:t>
        </w:r>
      </w:hyperlink>
      <w:r w:rsidR="00642214" w:rsidRPr="00642214">
        <w:rPr>
          <w:rFonts w:ascii="Times New Roman" w:hAnsi="Times New Roman" w:cs="Times New Roman"/>
          <w:sz w:val="18"/>
          <w:szCs w:val="18"/>
        </w:rPr>
        <w:t xml:space="preserve"> un regulu (EK) Nr. 1223/2009 un atceļ Padomes direktīvas </w:t>
      </w:r>
      <w:hyperlink r:id="rId4" w:tgtFrame="_blank" w:history="1">
        <w:r w:rsidR="00642214" w:rsidRPr="00642214">
          <w:rPr>
            <w:rStyle w:val="Hyperlink"/>
            <w:rFonts w:ascii="Times New Roman" w:hAnsi="Times New Roman" w:cs="Times New Roman"/>
            <w:sz w:val="18"/>
            <w:szCs w:val="18"/>
          </w:rPr>
          <w:t>90/385/EK</w:t>
        </w:r>
      </w:hyperlink>
      <w:r w:rsidR="00642214" w:rsidRPr="00642214">
        <w:rPr>
          <w:rFonts w:ascii="Times New Roman" w:hAnsi="Times New Roman" w:cs="Times New Roman"/>
          <w:sz w:val="18"/>
          <w:szCs w:val="18"/>
        </w:rPr>
        <w:t xml:space="preserve"> un </w:t>
      </w:r>
      <w:hyperlink r:id="rId5" w:tgtFrame="_blank" w:history="1">
        <w:r w:rsidR="00642214" w:rsidRPr="00642214">
          <w:rPr>
            <w:rStyle w:val="Hyperlink"/>
            <w:rFonts w:ascii="Times New Roman" w:hAnsi="Times New Roman" w:cs="Times New Roman"/>
            <w:sz w:val="18"/>
            <w:szCs w:val="18"/>
          </w:rPr>
          <w:t>93/42/EEK</w:t>
        </w:r>
      </w:hyperlink>
      <w:r w:rsidR="00642214" w:rsidRPr="00642214">
        <w:rPr>
          <w:rFonts w:ascii="Times New Roman" w:hAnsi="Times New Roman" w:cs="Times New Roman"/>
          <w:sz w:val="18"/>
          <w:szCs w:val="18"/>
        </w:rPr>
        <w:t> 2. panta 1. punktā minētajai definīcijai, tas ir - “medicīniska ierīce” ir jebkurš instruments, aparāts, ierīce, programmatūra, implants, reaģents, materiāls vai cits priekšmets, kuru ražotājs paredzējis atsevišķai vai kombinētai izmantošanai cilvēkiem vienā vai vairākos šādos konkrētos medicīniskos nolūkos:</w:t>
      </w:r>
    </w:p>
    <w:tbl>
      <w:tblPr>
        <w:tblW w:w="12236" w:type="dxa"/>
        <w:tblCellMar>
          <w:left w:w="0" w:type="dxa"/>
          <w:right w:w="0" w:type="dxa"/>
        </w:tblCellMar>
        <w:tblLook w:val="04A0" w:firstRow="1" w:lastRow="0" w:firstColumn="1" w:lastColumn="0" w:noHBand="0" w:noVBand="1"/>
      </w:tblPr>
      <w:tblGrid>
        <w:gridCol w:w="54"/>
        <w:gridCol w:w="12182"/>
      </w:tblGrid>
      <w:tr w:rsidR="00642214" w:rsidRPr="00642214" w14:paraId="761608E4" w14:textId="77777777" w:rsidTr="00642214">
        <w:tc>
          <w:tcPr>
            <w:tcW w:w="0" w:type="auto"/>
            <w:tcMar>
              <w:top w:w="15" w:type="dxa"/>
              <w:left w:w="15" w:type="dxa"/>
              <w:bottom w:w="15" w:type="dxa"/>
              <w:right w:w="15" w:type="dxa"/>
            </w:tcMar>
            <w:hideMark/>
          </w:tcPr>
          <w:p w14:paraId="73F63E6F" w14:textId="77777777" w:rsidR="00642214" w:rsidRPr="00642214" w:rsidRDefault="00642214" w:rsidP="00642214">
            <w:pPr>
              <w:pStyle w:val="FootnoteText"/>
              <w:jc w:val="both"/>
              <w:rPr>
                <w:rFonts w:ascii="Times New Roman" w:hAnsi="Times New Roman" w:cs="Times New Roman"/>
                <w:sz w:val="18"/>
                <w:szCs w:val="18"/>
              </w:rPr>
            </w:pPr>
          </w:p>
        </w:tc>
        <w:tc>
          <w:tcPr>
            <w:tcW w:w="0" w:type="auto"/>
            <w:tcMar>
              <w:top w:w="15" w:type="dxa"/>
              <w:left w:w="15" w:type="dxa"/>
              <w:bottom w:w="15" w:type="dxa"/>
              <w:right w:w="15" w:type="dxa"/>
            </w:tcMar>
            <w:hideMark/>
          </w:tcPr>
          <w:p w14:paraId="48C62F6B" w14:textId="77777777" w:rsidR="00642214" w:rsidRPr="00642214" w:rsidRDefault="00642214" w:rsidP="00642214">
            <w:pPr>
              <w:pStyle w:val="FootnoteText"/>
              <w:numPr>
                <w:ilvl w:val="0"/>
                <w:numId w:val="33"/>
              </w:numPr>
              <w:jc w:val="both"/>
              <w:rPr>
                <w:rFonts w:ascii="Times New Roman" w:hAnsi="Times New Roman" w:cs="Times New Roman"/>
                <w:sz w:val="18"/>
                <w:szCs w:val="18"/>
              </w:rPr>
            </w:pPr>
            <w:r w:rsidRPr="00642214">
              <w:rPr>
                <w:rFonts w:ascii="Times New Roman" w:hAnsi="Times New Roman" w:cs="Times New Roman"/>
                <w:sz w:val="18"/>
                <w:szCs w:val="18"/>
              </w:rPr>
              <w:t>slimību diagnostikai, profilaksei, kontrolei, paredzēšanai, prognozēšanai, ārstēšanai vai atvieglošanai,</w:t>
            </w:r>
          </w:p>
        </w:tc>
      </w:tr>
    </w:tbl>
    <w:p w14:paraId="465FF7AE" w14:textId="77777777" w:rsidR="00642214" w:rsidRPr="00642214" w:rsidRDefault="00642214" w:rsidP="00642214">
      <w:pPr>
        <w:pStyle w:val="FootnoteText"/>
        <w:jc w:val="both"/>
        <w:rPr>
          <w:rFonts w:ascii="Times New Roman" w:hAnsi="Times New Roman" w:cs="Times New Roman"/>
          <w:vanish/>
          <w:sz w:val="18"/>
          <w:szCs w:val="18"/>
        </w:rPr>
      </w:pPr>
    </w:p>
    <w:tbl>
      <w:tblPr>
        <w:tblW w:w="12236" w:type="dxa"/>
        <w:tblCellMar>
          <w:left w:w="0" w:type="dxa"/>
          <w:right w:w="0" w:type="dxa"/>
        </w:tblCellMar>
        <w:tblLook w:val="04A0" w:firstRow="1" w:lastRow="0" w:firstColumn="1" w:lastColumn="0" w:noHBand="0" w:noVBand="1"/>
      </w:tblPr>
      <w:tblGrid>
        <w:gridCol w:w="58"/>
        <w:gridCol w:w="12178"/>
      </w:tblGrid>
      <w:tr w:rsidR="00642214" w:rsidRPr="00642214" w14:paraId="7D425486" w14:textId="77777777" w:rsidTr="00642214">
        <w:trPr>
          <w:hidden/>
        </w:trPr>
        <w:tc>
          <w:tcPr>
            <w:tcW w:w="0" w:type="auto"/>
            <w:tcMar>
              <w:top w:w="15" w:type="dxa"/>
              <w:left w:w="15" w:type="dxa"/>
              <w:bottom w:w="15" w:type="dxa"/>
              <w:right w:w="15" w:type="dxa"/>
            </w:tcMar>
            <w:hideMark/>
          </w:tcPr>
          <w:p w14:paraId="6AADBAEE" w14:textId="77777777" w:rsidR="00642214" w:rsidRPr="00642214" w:rsidRDefault="00642214" w:rsidP="00642214">
            <w:pPr>
              <w:pStyle w:val="FootnoteText"/>
              <w:jc w:val="both"/>
              <w:rPr>
                <w:rFonts w:ascii="Times New Roman" w:hAnsi="Times New Roman" w:cs="Times New Roman"/>
                <w:vanish/>
                <w:sz w:val="18"/>
                <w:szCs w:val="18"/>
              </w:rPr>
            </w:pPr>
          </w:p>
        </w:tc>
        <w:tc>
          <w:tcPr>
            <w:tcW w:w="0" w:type="auto"/>
            <w:tcMar>
              <w:top w:w="15" w:type="dxa"/>
              <w:left w:w="15" w:type="dxa"/>
              <w:bottom w:w="15" w:type="dxa"/>
              <w:right w:w="15" w:type="dxa"/>
            </w:tcMar>
            <w:hideMark/>
          </w:tcPr>
          <w:p w14:paraId="25E92BCE" w14:textId="77777777" w:rsidR="00642214" w:rsidRPr="00642214" w:rsidRDefault="00642214" w:rsidP="00642214">
            <w:pPr>
              <w:pStyle w:val="FootnoteText"/>
              <w:numPr>
                <w:ilvl w:val="0"/>
                <w:numId w:val="33"/>
              </w:numPr>
              <w:jc w:val="both"/>
              <w:rPr>
                <w:rFonts w:ascii="Times New Roman" w:hAnsi="Times New Roman" w:cs="Times New Roman"/>
                <w:sz w:val="18"/>
                <w:szCs w:val="18"/>
              </w:rPr>
            </w:pPr>
            <w:r w:rsidRPr="00642214">
              <w:rPr>
                <w:rFonts w:ascii="Times New Roman" w:hAnsi="Times New Roman" w:cs="Times New Roman"/>
                <w:sz w:val="18"/>
                <w:szCs w:val="18"/>
              </w:rPr>
              <w:t>ievainojumu vai nespējas diagnostikai, kontrolei, ārstēšanai, atvieglošanai vai kompensēšanai,</w:t>
            </w:r>
          </w:p>
        </w:tc>
      </w:tr>
    </w:tbl>
    <w:p w14:paraId="74B19EF3" w14:textId="77777777" w:rsidR="00642214" w:rsidRPr="00642214" w:rsidRDefault="00642214" w:rsidP="00642214">
      <w:pPr>
        <w:pStyle w:val="FootnoteText"/>
        <w:jc w:val="both"/>
        <w:rPr>
          <w:rFonts w:ascii="Times New Roman" w:hAnsi="Times New Roman" w:cs="Times New Roman"/>
          <w:vanish/>
          <w:sz w:val="18"/>
          <w:szCs w:val="18"/>
        </w:rPr>
      </w:pPr>
    </w:p>
    <w:tbl>
      <w:tblPr>
        <w:tblW w:w="12236" w:type="dxa"/>
        <w:tblCellMar>
          <w:left w:w="0" w:type="dxa"/>
          <w:right w:w="0" w:type="dxa"/>
        </w:tblCellMar>
        <w:tblLook w:val="04A0" w:firstRow="1" w:lastRow="0" w:firstColumn="1" w:lastColumn="0" w:noHBand="0" w:noVBand="1"/>
      </w:tblPr>
      <w:tblGrid>
        <w:gridCol w:w="49"/>
        <w:gridCol w:w="12187"/>
      </w:tblGrid>
      <w:tr w:rsidR="00642214" w:rsidRPr="00642214" w14:paraId="02840850" w14:textId="77777777" w:rsidTr="00642214">
        <w:trPr>
          <w:hidden/>
        </w:trPr>
        <w:tc>
          <w:tcPr>
            <w:tcW w:w="0" w:type="auto"/>
            <w:tcMar>
              <w:top w:w="15" w:type="dxa"/>
              <w:left w:w="15" w:type="dxa"/>
              <w:bottom w:w="15" w:type="dxa"/>
              <w:right w:w="15" w:type="dxa"/>
            </w:tcMar>
            <w:hideMark/>
          </w:tcPr>
          <w:p w14:paraId="5D2BBD4C" w14:textId="77777777" w:rsidR="00642214" w:rsidRPr="00642214" w:rsidRDefault="00642214" w:rsidP="00642214">
            <w:pPr>
              <w:pStyle w:val="FootnoteText"/>
              <w:jc w:val="both"/>
              <w:rPr>
                <w:rFonts w:ascii="Times New Roman" w:hAnsi="Times New Roman" w:cs="Times New Roman"/>
                <w:vanish/>
                <w:sz w:val="18"/>
                <w:szCs w:val="18"/>
              </w:rPr>
            </w:pPr>
          </w:p>
        </w:tc>
        <w:tc>
          <w:tcPr>
            <w:tcW w:w="0" w:type="auto"/>
            <w:tcMar>
              <w:top w:w="15" w:type="dxa"/>
              <w:left w:w="15" w:type="dxa"/>
              <w:bottom w:w="15" w:type="dxa"/>
              <w:right w:w="15" w:type="dxa"/>
            </w:tcMar>
            <w:hideMark/>
          </w:tcPr>
          <w:p w14:paraId="7209F189" w14:textId="77777777" w:rsidR="00642214" w:rsidRPr="00642214" w:rsidRDefault="00642214" w:rsidP="00642214">
            <w:pPr>
              <w:pStyle w:val="FootnoteText"/>
              <w:numPr>
                <w:ilvl w:val="0"/>
                <w:numId w:val="33"/>
              </w:numPr>
              <w:jc w:val="both"/>
              <w:rPr>
                <w:rFonts w:ascii="Times New Roman" w:hAnsi="Times New Roman" w:cs="Times New Roman"/>
                <w:sz w:val="18"/>
                <w:szCs w:val="18"/>
              </w:rPr>
            </w:pPr>
            <w:r w:rsidRPr="00642214">
              <w:rPr>
                <w:rFonts w:ascii="Times New Roman" w:hAnsi="Times New Roman" w:cs="Times New Roman"/>
                <w:sz w:val="18"/>
                <w:szCs w:val="18"/>
              </w:rPr>
              <w:t>ķermeņa anatomijas vai fizioloģiska vai patoloģiska procesa vai stāvokļa pētīšanai, aizstāšanai vai modificēšanai,</w:t>
            </w:r>
          </w:p>
        </w:tc>
      </w:tr>
    </w:tbl>
    <w:p w14:paraId="1E3F9C23" w14:textId="77777777" w:rsidR="00642214" w:rsidRPr="00642214" w:rsidRDefault="00642214" w:rsidP="00642214">
      <w:pPr>
        <w:pStyle w:val="FootnoteText"/>
        <w:jc w:val="both"/>
        <w:rPr>
          <w:rFonts w:ascii="Times New Roman" w:hAnsi="Times New Roman" w:cs="Times New Roman"/>
          <w:vanish/>
          <w:sz w:val="18"/>
          <w:szCs w:val="18"/>
        </w:rPr>
      </w:pPr>
    </w:p>
    <w:tbl>
      <w:tblPr>
        <w:tblW w:w="12236" w:type="dxa"/>
        <w:tblCellMar>
          <w:left w:w="0" w:type="dxa"/>
          <w:right w:w="0" w:type="dxa"/>
        </w:tblCellMar>
        <w:tblLook w:val="04A0" w:firstRow="1" w:lastRow="0" w:firstColumn="1" w:lastColumn="0" w:noHBand="0" w:noVBand="1"/>
      </w:tblPr>
      <w:tblGrid>
        <w:gridCol w:w="46"/>
        <w:gridCol w:w="12190"/>
      </w:tblGrid>
      <w:tr w:rsidR="00642214" w:rsidRPr="00642214" w14:paraId="70168853" w14:textId="77777777" w:rsidTr="00642214">
        <w:trPr>
          <w:hidden/>
        </w:trPr>
        <w:tc>
          <w:tcPr>
            <w:tcW w:w="0" w:type="auto"/>
            <w:tcMar>
              <w:top w:w="15" w:type="dxa"/>
              <w:left w:w="15" w:type="dxa"/>
              <w:bottom w:w="15" w:type="dxa"/>
              <w:right w:w="15" w:type="dxa"/>
            </w:tcMar>
            <w:hideMark/>
          </w:tcPr>
          <w:p w14:paraId="0955B19A" w14:textId="77777777" w:rsidR="00642214" w:rsidRPr="00642214" w:rsidRDefault="00642214" w:rsidP="00642214">
            <w:pPr>
              <w:pStyle w:val="FootnoteText"/>
              <w:jc w:val="both"/>
              <w:rPr>
                <w:rFonts w:ascii="Times New Roman" w:hAnsi="Times New Roman" w:cs="Times New Roman"/>
                <w:vanish/>
                <w:sz w:val="18"/>
                <w:szCs w:val="18"/>
              </w:rPr>
            </w:pPr>
          </w:p>
        </w:tc>
        <w:tc>
          <w:tcPr>
            <w:tcW w:w="0" w:type="auto"/>
            <w:tcMar>
              <w:top w:w="15" w:type="dxa"/>
              <w:left w:w="15" w:type="dxa"/>
              <w:bottom w:w="15" w:type="dxa"/>
              <w:right w:w="15" w:type="dxa"/>
            </w:tcMar>
            <w:hideMark/>
          </w:tcPr>
          <w:p w14:paraId="378B24FB" w14:textId="77777777" w:rsidR="00642214" w:rsidRPr="00642214" w:rsidRDefault="00642214" w:rsidP="00642214">
            <w:pPr>
              <w:pStyle w:val="FootnoteText"/>
              <w:numPr>
                <w:ilvl w:val="0"/>
                <w:numId w:val="34"/>
              </w:numPr>
              <w:jc w:val="both"/>
              <w:rPr>
                <w:rFonts w:ascii="Times New Roman" w:hAnsi="Times New Roman" w:cs="Times New Roman"/>
                <w:sz w:val="18"/>
                <w:szCs w:val="18"/>
              </w:rPr>
            </w:pPr>
            <w:r w:rsidRPr="00642214">
              <w:rPr>
                <w:rFonts w:ascii="Times New Roman" w:hAnsi="Times New Roman" w:cs="Times New Roman"/>
                <w:sz w:val="18"/>
                <w:szCs w:val="18"/>
              </w:rPr>
              <w:t xml:space="preserve">informācijas gūšanai, </w:t>
            </w:r>
            <w:r w:rsidRPr="00642214">
              <w:rPr>
                <w:rFonts w:ascii="Times New Roman" w:hAnsi="Times New Roman" w:cs="Times New Roman"/>
                <w:i/>
                <w:iCs/>
                <w:sz w:val="18"/>
                <w:szCs w:val="18"/>
              </w:rPr>
              <w:t>in vitro</w:t>
            </w:r>
            <w:r w:rsidRPr="00642214">
              <w:rPr>
                <w:rFonts w:ascii="Times New Roman" w:hAnsi="Times New Roman" w:cs="Times New Roman"/>
                <w:sz w:val="18"/>
                <w:szCs w:val="18"/>
              </w:rPr>
              <w:t> izmeklējot no cilvēka ķermeņa iegūtus paraugus, tostarp orgānu, asins un audu ziedojumus,</w:t>
            </w:r>
          </w:p>
        </w:tc>
      </w:tr>
    </w:tbl>
    <w:p w14:paraId="2B78BB82" w14:textId="77777777" w:rsidR="00642214" w:rsidRPr="00642214" w:rsidRDefault="00642214" w:rsidP="00642214">
      <w:pPr>
        <w:pStyle w:val="FootnoteText"/>
        <w:jc w:val="both"/>
        <w:rPr>
          <w:rFonts w:ascii="Times New Roman" w:hAnsi="Times New Roman" w:cs="Times New Roman"/>
          <w:sz w:val="18"/>
          <w:szCs w:val="18"/>
        </w:rPr>
      </w:pPr>
      <w:r w:rsidRPr="00642214">
        <w:rPr>
          <w:rFonts w:ascii="Times New Roman" w:hAnsi="Times New Roman" w:cs="Times New Roman"/>
          <w:sz w:val="18"/>
          <w:szCs w:val="18"/>
        </w:rPr>
        <w:t>un kurš paredzēto pamatiedarbību cilvēka ķermenī vai uz cilvēka ķermeni nepanāk ar farmakoloģiskiem, imunoloģiskiem vai metaboliskiem līdzekļiem, bet kura darbībai šādi līdzekļi var palīdzēt.</w:t>
      </w:r>
    </w:p>
    <w:p w14:paraId="51BE3EAC" w14:textId="77777777" w:rsidR="00642214" w:rsidRPr="00642214" w:rsidRDefault="00642214" w:rsidP="00642214">
      <w:pPr>
        <w:pStyle w:val="FootnoteText"/>
        <w:jc w:val="both"/>
        <w:rPr>
          <w:rFonts w:ascii="Times New Roman" w:hAnsi="Times New Roman" w:cs="Times New Roman"/>
          <w:sz w:val="18"/>
          <w:szCs w:val="18"/>
        </w:rPr>
      </w:pPr>
    </w:p>
    <w:p w14:paraId="0A771B2A" w14:textId="77777777" w:rsidR="00642214" w:rsidRPr="00642214" w:rsidRDefault="00642214" w:rsidP="00642214">
      <w:pPr>
        <w:pStyle w:val="FootnoteText"/>
        <w:jc w:val="both"/>
        <w:rPr>
          <w:rFonts w:ascii="Times New Roman" w:hAnsi="Times New Roman" w:cs="Times New Roman"/>
          <w:sz w:val="18"/>
          <w:szCs w:val="18"/>
        </w:rPr>
      </w:pPr>
      <w:r w:rsidRPr="00642214">
        <w:rPr>
          <w:rFonts w:ascii="Times New Roman" w:hAnsi="Times New Roman" w:cs="Times New Roman"/>
          <w:sz w:val="18"/>
          <w:szCs w:val="18"/>
        </w:rPr>
        <w:t>Par medicīniskām ierīcēm uzskata arī šādus izstrādājumus:</w:t>
      </w:r>
    </w:p>
    <w:tbl>
      <w:tblPr>
        <w:tblW w:w="12236" w:type="dxa"/>
        <w:tblCellMar>
          <w:left w:w="0" w:type="dxa"/>
          <w:right w:w="0" w:type="dxa"/>
        </w:tblCellMar>
        <w:tblLook w:val="04A0" w:firstRow="1" w:lastRow="0" w:firstColumn="1" w:lastColumn="0" w:noHBand="0" w:noVBand="1"/>
      </w:tblPr>
      <w:tblGrid>
        <w:gridCol w:w="79"/>
        <w:gridCol w:w="12157"/>
      </w:tblGrid>
      <w:tr w:rsidR="00642214" w:rsidRPr="00642214" w14:paraId="2F702503" w14:textId="77777777" w:rsidTr="00642214">
        <w:tc>
          <w:tcPr>
            <w:tcW w:w="0" w:type="auto"/>
            <w:tcMar>
              <w:top w:w="15" w:type="dxa"/>
              <w:left w:w="15" w:type="dxa"/>
              <w:bottom w:w="15" w:type="dxa"/>
              <w:right w:w="15" w:type="dxa"/>
            </w:tcMar>
            <w:hideMark/>
          </w:tcPr>
          <w:p w14:paraId="1659C319" w14:textId="77777777" w:rsidR="00642214" w:rsidRPr="00642214" w:rsidRDefault="00642214" w:rsidP="00642214">
            <w:pPr>
              <w:pStyle w:val="FootnoteText"/>
              <w:jc w:val="both"/>
              <w:rPr>
                <w:rFonts w:ascii="Times New Roman" w:hAnsi="Times New Roman" w:cs="Times New Roman"/>
                <w:sz w:val="18"/>
                <w:szCs w:val="18"/>
              </w:rPr>
            </w:pPr>
          </w:p>
        </w:tc>
        <w:tc>
          <w:tcPr>
            <w:tcW w:w="0" w:type="auto"/>
            <w:tcMar>
              <w:top w:w="15" w:type="dxa"/>
              <w:left w:w="15" w:type="dxa"/>
              <w:bottom w:w="15" w:type="dxa"/>
              <w:right w:w="15" w:type="dxa"/>
            </w:tcMar>
            <w:hideMark/>
          </w:tcPr>
          <w:p w14:paraId="0C9E4956" w14:textId="77777777" w:rsidR="00642214" w:rsidRPr="00642214" w:rsidRDefault="00642214" w:rsidP="00642214">
            <w:pPr>
              <w:pStyle w:val="FootnoteText"/>
              <w:numPr>
                <w:ilvl w:val="0"/>
                <w:numId w:val="34"/>
              </w:numPr>
              <w:jc w:val="both"/>
              <w:rPr>
                <w:rFonts w:ascii="Times New Roman" w:hAnsi="Times New Roman" w:cs="Times New Roman"/>
                <w:sz w:val="18"/>
                <w:szCs w:val="18"/>
              </w:rPr>
            </w:pPr>
            <w:r w:rsidRPr="00642214">
              <w:rPr>
                <w:rFonts w:ascii="Times New Roman" w:hAnsi="Times New Roman" w:cs="Times New Roman"/>
                <w:sz w:val="18"/>
                <w:szCs w:val="18"/>
              </w:rPr>
              <w:t>ierīces apaugļošanās kontrolei vai apaugļošanās procesa atbalstam,</w:t>
            </w:r>
          </w:p>
        </w:tc>
      </w:tr>
    </w:tbl>
    <w:p w14:paraId="7C48A37A" w14:textId="77777777" w:rsidR="00642214" w:rsidRPr="00642214" w:rsidRDefault="00642214" w:rsidP="00642214">
      <w:pPr>
        <w:pStyle w:val="FootnoteText"/>
        <w:jc w:val="both"/>
        <w:rPr>
          <w:rFonts w:ascii="Times New Roman" w:hAnsi="Times New Roman" w:cs="Times New Roman"/>
          <w:vanish/>
          <w:sz w:val="18"/>
          <w:szCs w:val="18"/>
        </w:rPr>
      </w:pPr>
    </w:p>
    <w:tbl>
      <w:tblPr>
        <w:tblW w:w="12236" w:type="dxa"/>
        <w:tblCellMar>
          <w:left w:w="0" w:type="dxa"/>
          <w:right w:w="0" w:type="dxa"/>
        </w:tblCellMar>
        <w:tblLook w:val="04A0" w:firstRow="1" w:lastRow="0" w:firstColumn="1" w:lastColumn="0" w:noHBand="0" w:noVBand="1"/>
      </w:tblPr>
      <w:tblGrid>
        <w:gridCol w:w="37"/>
        <w:gridCol w:w="12199"/>
      </w:tblGrid>
      <w:tr w:rsidR="00642214" w:rsidRPr="00642214" w14:paraId="3EED298B" w14:textId="77777777" w:rsidTr="00642214">
        <w:trPr>
          <w:hidden/>
        </w:trPr>
        <w:tc>
          <w:tcPr>
            <w:tcW w:w="0" w:type="auto"/>
            <w:tcMar>
              <w:top w:w="15" w:type="dxa"/>
              <w:left w:w="15" w:type="dxa"/>
              <w:bottom w:w="15" w:type="dxa"/>
              <w:right w:w="15" w:type="dxa"/>
            </w:tcMar>
            <w:hideMark/>
          </w:tcPr>
          <w:p w14:paraId="09B472CA" w14:textId="77777777" w:rsidR="00642214" w:rsidRPr="00642214" w:rsidRDefault="00642214" w:rsidP="00642214">
            <w:pPr>
              <w:pStyle w:val="FootnoteText"/>
              <w:jc w:val="both"/>
              <w:rPr>
                <w:rFonts w:ascii="Times New Roman" w:hAnsi="Times New Roman" w:cs="Times New Roman"/>
                <w:vanish/>
                <w:sz w:val="18"/>
                <w:szCs w:val="18"/>
              </w:rPr>
            </w:pPr>
          </w:p>
        </w:tc>
        <w:tc>
          <w:tcPr>
            <w:tcW w:w="0" w:type="auto"/>
            <w:tcMar>
              <w:top w:w="15" w:type="dxa"/>
              <w:left w:w="15" w:type="dxa"/>
              <w:bottom w:w="15" w:type="dxa"/>
              <w:right w:w="15" w:type="dxa"/>
            </w:tcMar>
            <w:hideMark/>
          </w:tcPr>
          <w:p w14:paraId="6AA45F69" w14:textId="77777777" w:rsidR="00642214" w:rsidRPr="00642214" w:rsidRDefault="00642214" w:rsidP="00642214">
            <w:pPr>
              <w:pStyle w:val="FootnoteText"/>
              <w:numPr>
                <w:ilvl w:val="0"/>
                <w:numId w:val="34"/>
              </w:numPr>
              <w:jc w:val="both"/>
              <w:rPr>
                <w:rFonts w:ascii="Times New Roman" w:hAnsi="Times New Roman" w:cs="Times New Roman"/>
                <w:sz w:val="18"/>
                <w:szCs w:val="18"/>
              </w:rPr>
            </w:pPr>
            <w:r w:rsidRPr="00642214">
              <w:rPr>
                <w:rFonts w:ascii="Times New Roman" w:hAnsi="Times New Roman" w:cs="Times New Roman"/>
                <w:sz w:val="18"/>
                <w:szCs w:val="18"/>
              </w:rPr>
              <w:t>izstrādājumus, kas īpaši paredzēti, lai tīrītu, dezinficētu vai sterilizētu ierīces, kas minētas 1. panta 4. punktā, un ierīces, kas minētas šā punkta pirmajā daļā.</w:t>
            </w:r>
          </w:p>
        </w:tc>
      </w:tr>
    </w:tbl>
    <w:p w14:paraId="4F67B897" w14:textId="2B5F90A4" w:rsidR="00DC7309" w:rsidRPr="00642214" w:rsidRDefault="00DC7309" w:rsidP="00642214">
      <w:pPr>
        <w:pStyle w:val="FootnoteText"/>
        <w:jc w:val="both"/>
        <w:rPr>
          <w:rFonts w:ascii="Times New Roman" w:hAnsi="Times New Roman" w:cs="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1FW+St98II/M1a" int2:id="CsFyBkV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AF33D86"/>
    <w:multiLevelType w:val="hybridMultilevel"/>
    <w:tmpl w:val="60B225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A49E4"/>
    <w:multiLevelType w:val="multilevel"/>
    <w:tmpl w:val="03E260C0"/>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659135C"/>
    <w:multiLevelType w:val="multilevel"/>
    <w:tmpl w:val="AF8AB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8"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9" w15:restartNumberingAfterBreak="0">
    <w:nsid w:val="1E4B6DBB"/>
    <w:multiLevelType w:val="hybridMultilevel"/>
    <w:tmpl w:val="5CDE44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1" w15:restartNumberingAfterBreak="0">
    <w:nsid w:val="29415D35"/>
    <w:multiLevelType w:val="hybridMultilevel"/>
    <w:tmpl w:val="5A42E9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B9C37C2"/>
    <w:multiLevelType w:val="hybridMultilevel"/>
    <w:tmpl w:val="CD9421F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D6F25FE"/>
    <w:multiLevelType w:val="hybridMultilevel"/>
    <w:tmpl w:val="1A72E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5"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E9649D5"/>
    <w:multiLevelType w:val="hybridMultilevel"/>
    <w:tmpl w:val="58701B6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EA15E10"/>
    <w:multiLevelType w:val="multilevel"/>
    <w:tmpl w:val="0164ABAC"/>
    <w:lvl w:ilvl="0">
      <w:start w:val="1"/>
      <w:numFmt w:val="decimal"/>
      <w:lvlText w:val="%1."/>
      <w:lvlJc w:val="left"/>
      <w:pPr>
        <w:ind w:left="720" w:hanging="360"/>
      </w:pPr>
      <w:rPr>
        <w:b/>
        <w:bCs/>
        <w:i w:val="0"/>
        <w:iCs w:val="0"/>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9" w15:restartNumberingAfterBreak="0">
    <w:nsid w:val="3FDF03CC"/>
    <w:multiLevelType w:val="hybridMultilevel"/>
    <w:tmpl w:val="C50280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15:restartNumberingAfterBreak="0">
    <w:nsid w:val="4FF22E5E"/>
    <w:multiLevelType w:val="hybridMultilevel"/>
    <w:tmpl w:val="F1AE3E6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2" w15:restartNumberingAfterBreak="0">
    <w:nsid w:val="50244347"/>
    <w:multiLevelType w:val="hybridMultilevel"/>
    <w:tmpl w:val="58AE748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4"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5" w15:restartNumberingAfterBreak="0">
    <w:nsid w:val="59FC625E"/>
    <w:multiLevelType w:val="hybridMultilevel"/>
    <w:tmpl w:val="05421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5941FB"/>
    <w:multiLevelType w:val="hybridMultilevel"/>
    <w:tmpl w:val="13A85BF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9" w15:restartNumberingAfterBreak="0">
    <w:nsid w:val="68AE23F2"/>
    <w:multiLevelType w:val="hybridMultilevel"/>
    <w:tmpl w:val="8850D45C"/>
    <w:lvl w:ilvl="0" w:tplc="04046EFE">
      <w:start w:val="1"/>
      <w:numFmt w:val="decimal"/>
      <w:lvlText w:val="%1."/>
      <w:lvlJc w:val="left"/>
      <w:pPr>
        <w:ind w:left="460" w:hanging="360"/>
      </w:pPr>
      <w:rPr>
        <w:rFonts w:ascii="Times New Roman" w:hAnsi="Times New Roman" w:cs="Times New Roman" w:hint="default"/>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30"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31" w15:restartNumberingAfterBreak="0">
    <w:nsid w:val="69B055A6"/>
    <w:multiLevelType w:val="multilevel"/>
    <w:tmpl w:val="FFFFFFFF"/>
    <w:lvl w:ilvl="0">
      <w:start w:val="1"/>
      <w:numFmt w:val="decimal"/>
      <w:lvlText w:val="%1."/>
      <w:lvlJc w:val="left"/>
      <w:pPr>
        <w:ind w:left="540" w:hanging="540"/>
      </w:pPr>
      <w:rPr>
        <w:rFonts w:cs="Times New Roman" w:hint="default"/>
        <w:b/>
        <w:bCs/>
        <w:i w:val="0"/>
        <w:iCs w:val="0"/>
        <w:color w:val="auto"/>
      </w:rPr>
    </w:lvl>
    <w:lvl w:ilvl="1">
      <w:start w:val="1"/>
      <w:numFmt w:val="decimal"/>
      <w:lvlText w:val="%1.%2."/>
      <w:lvlJc w:val="left"/>
      <w:pPr>
        <w:ind w:left="540" w:hanging="540"/>
      </w:pPr>
      <w:rPr>
        <w:rFonts w:cs="Times New Roman" w:hint="default"/>
        <w:b w:val="0"/>
        <w:bCs w:val="0"/>
        <w:i w:val="0"/>
        <w:iCs w:val="0"/>
        <w:color w:val="auto"/>
      </w:rPr>
    </w:lvl>
    <w:lvl w:ilvl="2">
      <w:start w:val="1"/>
      <w:numFmt w:val="decimal"/>
      <w:lvlText w:val="%1.%2.%3."/>
      <w:lvlJc w:val="left"/>
      <w:pPr>
        <w:ind w:left="720" w:hanging="720"/>
      </w:pPr>
      <w:rPr>
        <w:rFonts w:cs="Times New Roman" w:hint="default"/>
        <w:b w:val="0"/>
        <w:bCs/>
        <w:color w:val="auto"/>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A174612"/>
    <w:multiLevelType w:val="hybridMultilevel"/>
    <w:tmpl w:val="AA3AE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4" w15:restartNumberingAfterBreak="0">
    <w:nsid w:val="6C605CEB"/>
    <w:multiLevelType w:val="hybridMultilevel"/>
    <w:tmpl w:val="20025FB2"/>
    <w:lvl w:ilvl="0" w:tplc="63787460">
      <w:start w:val="1"/>
      <w:numFmt w:val="low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23"/>
  </w:num>
  <w:num w:numId="2" w16cid:durableId="365525267">
    <w:abstractNumId w:val="8"/>
  </w:num>
  <w:num w:numId="3" w16cid:durableId="2035423361">
    <w:abstractNumId w:val="30"/>
  </w:num>
  <w:num w:numId="4" w16cid:durableId="780682338">
    <w:abstractNumId w:val="7"/>
  </w:num>
  <w:num w:numId="5" w16cid:durableId="2083260641">
    <w:abstractNumId w:val="28"/>
  </w:num>
  <w:num w:numId="6" w16cid:durableId="941036152">
    <w:abstractNumId w:val="18"/>
  </w:num>
  <w:num w:numId="7" w16cid:durableId="1823233868">
    <w:abstractNumId w:val="10"/>
  </w:num>
  <w:num w:numId="8" w16cid:durableId="79916257">
    <w:abstractNumId w:val="24"/>
  </w:num>
  <w:num w:numId="9" w16cid:durableId="1622373122">
    <w:abstractNumId w:val="5"/>
  </w:num>
  <w:num w:numId="10" w16cid:durableId="2064670825">
    <w:abstractNumId w:val="35"/>
  </w:num>
  <w:num w:numId="11" w16cid:durableId="1605920383">
    <w:abstractNumId w:val="14"/>
  </w:num>
  <w:num w:numId="12" w16cid:durableId="888498772">
    <w:abstractNumId w:val="1"/>
  </w:num>
  <w:num w:numId="13" w16cid:durableId="433984200">
    <w:abstractNumId w:val="15"/>
  </w:num>
  <w:num w:numId="14" w16cid:durableId="1048719193">
    <w:abstractNumId w:val="0"/>
  </w:num>
  <w:num w:numId="15" w16cid:durableId="361322553">
    <w:abstractNumId w:val="3"/>
  </w:num>
  <w:num w:numId="16" w16cid:durableId="1448114778">
    <w:abstractNumId w:val="17"/>
  </w:num>
  <w:num w:numId="17" w16cid:durableId="1528981843">
    <w:abstractNumId w:val="17"/>
    <w:lvlOverride w:ilvl="0">
      <w:startOverride w:val="1"/>
    </w:lvlOverride>
  </w:num>
  <w:num w:numId="18" w16cid:durableId="2249939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3066133">
    <w:abstractNumId w:val="20"/>
  </w:num>
  <w:num w:numId="20" w16cid:durableId="2042437990">
    <w:abstractNumId w:val="33"/>
  </w:num>
  <w:num w:numId="21" w16cid:durableId="1796369447">
    <w:abstractNumId w:val="31"/>
  </w:num>
  <w:num w:numId="22" w16cid:durableId="538469337">
    <w:abstractNumId w:val="19"/>
  </w:num>
  <w:num w:numId="23" w16cid:durableId="1839494964">
    <w:abstractNumId w:val="32"/>
  </w:num>
  <w:num w:numId="24" w16cid:durableId="1781412875">
    <w:abstractNumId w:val="25"/>
  </w:num>
  <w:num w:numId="25" w16cid:durableId="1731880106">
    <w:abstractNumId w:val="13"/>
  </w:num>
  <w:num w:numId="26" w16cid:durableId="1029261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4369762">
    <w:abstractNumId w:val="29"/>
  </w:num>
  <w:num w:numId="28" w16cid:durableId="1711614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6688152">
    <w:abstractNumId w:val="21"/>
  </w:num>
  <w:num w:numId="30" w16cid:durableId="1942757850">
    <w:abstractNumId w:val="4"/>
    <w:lvlOverride w:ilvl="0"/>
    <w:lvlOverride w:ilvl="1">
      <w:startOverride w:val="1"/>
    </w:lvlOverride>
    <w:lvlOverride w:ilvl="2"/>
    <w:lvlOverride w:ilvl="3"/>
    <w:lvlOverride w:ilvl="4"/>
    <w:lvlOverride w:ilvl="5"/>
    <w:lvlOverride w:ilvl="6"/>
    <w:lvlOverride w:ilvl="7"/>
    <w:lvlOverride w:ilvl="8"/>
  </w:num>
  <w:num w:numId="31" w16cid:durableId="1656565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77165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5153105">
    <w:abstractNumId w:val="12"/>
  </w:num>
  <w:num w:numId="34" w16cid:durableId="434177659">
    <w:abstractNumId w:val="9"/>
  </w:num>
  <w:num w:numId="35" w16cid:durableId="5994129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140689">
    <w:abstractNumId w:val="22"/>
  </w:num>
  <w:num w:numId="37" w16cid:durableId="2502426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098"/>
    <w:rsid w:val="00000816"/>
    <w:rsid w:val="00005791"/>
    <w:rsid w:val="000070FA"/>
    <w:rsid w:val="00013536"/>
    <w:rsid w:val="000168F9"/>
    <w:rsid w:val="00016F8B"/>
    <w:rsid w:val="0001751C"/>
    <w:rsid w:val="00020AC8"/>
    <w:rsid w:val="0002204C"/>
    <w:rsid w:val="00022969"/>
    <w:rsid w:val="00023788"/>
    <w:rsid w:val="00023FBC"/>
    <w:rsid w:val="000268CB"/>
    <w:rsid w:val="00026BDE"/>
    <w:rsid w:val="00030F10"/>
    <w:rsid w:val="00033A69"/>
    <w:rsid w:val="000344B4"/>
    <w:rsid w:val="00053B15"/>
    <w:rsid w:val="00053E95"/>
    <w:rsid w:val="00054588"/>
    <w:rsid w:val="000621E1"/>
    <w:rsid w:val="00063281"/>
    <w:rsid w:val="000651FE"/>
    <w:rsid w:val="00066E8C"/>
    <w:rsid w:val="00074D3B"/>
    <w:rsid w:val="00086A5C"/>
    <w:rsid w:val="00093FC5"/>
    <w:rsid w:val="00094BFD"/>
    <w:rsid w:val="0009618E"/>
    <w:rsid w:val="00096B6E"/>
    <w:rsid w:val="000A1F85"/>
    <w:rsid w:val="000A3B3D"/>
    <w:rsid w:val="000A4F89"/>
    <w:rsid w:val="000A55D3"/>
    <w:rsid w:val="000A7C86"/>
    <w:rsid w:val="000B438A"/>
    <w:rsid w:val="000B5474"/>
    <w:rsid w:val="000C1A35"/>
    <w:rsid w:val="000C2F90"/>
    <w:rsid w:val="000D00F2"/>
    <w:rsid w:val="000EB3B5"/>
    <w:rsid w:val="000F4155"/>
    <w:rsid w:val="000F5272"/>
    <w:rsid w:val="0010443B"/>
    <w:rsid w:val="00104FA6"/>
    <w:rsid w:val="00105400"/>
    <w:rsid w:val="001075C1"/>
    <w:rsid w:val="00116792"/>
    <w:rsid w:val="0012239A"/>
    <w:rsid w:val="00124CE6"/>
    <w:rsid w:val="00142637"/>
    <w:rsid w:val="00147BDD"/>
    <w:rsid w:val="00150C99"/>
    <w:rsid w:val="00152975"/>
    <w:rsid w:val="0015598E"/>
    <w:rsid w:val="0016127B"/>
    <w:rsid w:val="001619C4"/>
    <w:rsid w:val="001645FB"/>
    <w:rsid w:val="0016771C"/>
    <w:rsid w:val="00172B3C"/>
    <w:rsid w:val="00176E69"/>
    <w:rsid w:val="001804D6"/>
    <w:rsid w:val="00180C94"/>
    <w:rsid w:val="00181C2D"/>
    <w:rsid w:val="00183C9E"/>
    <w:rsid w:val="00187E75"/>
    <w:rsid w:val="001926F3"/>
    <w:rsid w:val="00194C70"/>
    <w:rsid w:val="00194C9D"/>
    <w:rsid w:val="00196B21"/>
    <w:rsid w:val="001A3B23"/>
    <w:rsid w:val="001A76B7"/>
    <w:rsid w:val="001B3E7F"/>
    <w:rsid w:val="001B6B0E"/>
    <w:rsid w:val="001C01EE"/>
    <w:rsid w:val="001C16B5"/>
    <w:rsid w:val="001D2CB9"/>
    <w:rsid w:val="001D7374"/>
    <w:rsid w:val="001E04D4"/>
    <w:rsid w:val="001E21AA"/>
    <w:rsid w:val="001E265B"/>
    <w:rsid w:val="001E464F"/>
    <w:rsid w:val="001E53CA"/>
    <w:rsid w:val="001E70B2"/>
    <w:rsid w:val="001F18E9"/>
    <w:rsid w:val="001F5CA0"/>
    <w:rsid w:val="001F6A34"/>
    <w:rsid w:val="0020215E"/>
    <w:rsid w:val="0020284B"/>
    <w:rsid w:val="00205CE7"/>
    <w:rsid w:val="0020703B"/>
    <w:rsid w:val="00216FD8"/>
    <w:rsid w:val="002178D5"/>
    <w:rsid w:val="002251E3"/>
    <w:rsid w:val="002259A7"/>
    <w:rsid w:val="00225B4E"/>
    <w:rsid w:val="002267DC"/>
    <w:rsid w:val="002268A3"/>
    <w:rsid w:val="00227B7B"/>
    <w:rsid w:val="00234AD5"/>
    <w:rsid w:val="002377E0"/>
    <w:rsid w:val="00237F17"/>
    <w:rsid w:val="00240C21"/>
    <w:rsid w:val="00241071"/>
    <w:rsid w:val="00241990"/>
    <w:rsid w:val="00244B2B"/>
    <w:rsid w:val="00246748"/>
    <w:rsid w:val="0025088A"/>
    <w:rsid w:val="00250EF4"/>
    <w:rsid w:val="00253A32"/>
    <w:rsid w:val="002633B3"/>
    <w:rsid w:val="002652C9"/>
    <w:rsid w:val="00267C71"/>
    <w:rsid w:val="0027119C"/>
    <w:rsid w:val="00277306"/>
    <w:rsid w:val="00281A2E"/>
    <w:rsid w:val="0028555D"/>
    <w:rsid w:val="002877E6"/>
    <w:rsid w:val="00290AF9"/>
    <w:rsid w:val="00291EED"/>
    <w:rsid w:val="002925CB"/>
    <w:rsid w:val="00292A08"/>
    <w:rsid w:val="002939EC"/>
    <w:rsid w:val="002A0E1B"/>
    <w:rsid w:val="002A18B0"/>
    <w:rsid w:val="002A24E8"/>
    <w:rsid w:val="002A3952"/>
    <w:rsid w:val="002A6AB6"/>
    <w:rsid w:val="002A6AFA"/>
    <w:rsid w:val="002B11EE"/>
    <w:rsid w:val="002B3E40"/>
    <w:rsid w:val="002B5DAA"/>
    <w:rsid w:val="002C3CEB"/>
    <w:rsid w:val="002C7CF5"/>
    <w:rsid w:val="002D33FD"/>
    <w:rsid w:val="002D4C96"/>
    <w:rsid w:val="002E10D4"/>
    <w:rsid w:val="002E3B52"/>
    <w:rsid w:val="002F1EAB"/>
    <w:rsid w:val="002F243D"/>
    <w:rsid w:val="002F3607"/>
    <w:rsid w:val="00301829"/>
    <w:rsid w:val="00303C62"/>
    <w:rsid w:val="003044E0"/>
    <w:rsid w:val="00304C2C"/>
    <w:rsid w:val="00307EDF"/>
    <w:rsid w:val="00310DBA"/>
    <w:rsid w:val="003118C8"/>
    <w:rsid w:val="00321198"/>
    <w:rsid w:val="0032264F"/>
    <w:rsid w:val="0032525D"/>
    <w:rsid w:val="00325897"/>
    <w:rsid w:val="00331BDD"/>
    <w:rsid w:val="00336E7A"/>
    <w:rsid w:val="00340B23"/>
    <w:rsid w:val="00341492"/>
    <w:rsid w:val="00342144"/>
    <w:rsid w:val="00344147"/>
    <w:rsid w:val="003511ED"/>
    <w:rsid w:val="0035626C"/>
    <w:rsid w:val="00356E11"/>
    <w:rsid w:val="00361E4D"/>
    <w:rsid w:val="00363F25"/>
    <w:rsid w:val="003718B1"/>
    <w:rsid w:val="003756AE"/>
    <w:rsid w:val="00375721"/>
    <w:rsid w:val="00377E9D"/>
    <w:rsid w:val="0038395A"/>
    <w:rsid w:val="00385AE9"/>
    <w:rsid w:val="00390344"/>
    <w:rsid w:val="00391551"/>
    <w:rsid w:val="003919B5"/>
    <w:rsid w:val="00392227"/>
    <w:rsid w:val="003932E0"/>
    <w:rsid w:val="00397B53"/>
    <w:rsid w:val="003A1E5E"/>
    <w:rsid w:val="003A266D"/>
    <w:rsid w:val="003A2A7E"/>
    <w:rsid w:val="003A36A5"/>
    <w:rsid w:val="003B063E"/>
    <w:rsid w:val="003B2685"/>
    <w:rsid w:val="003B3469"/>
    <w:rsid w:val="003B404D"/>
    <w:rsid w:val="003B5124"/>
    <w:rsid w:val="003B5B1D"/>
    <w:rsid w:val="003C1000"/>
    <w:rsid w:val="003C2958"/>
    <w:rsid w:val="003C7811"/>
    <w:rsid w:val="003D319D"/>
    <w:rsid w:val="003D675C"/>
    <w:rsid w:val="003E3479"/>
    <w:rsid w:val="003E501E"/>
    <w:rsid w:val="003E5BCE"/>
    <w:rsid w:val="003F2C3B"/>
    <w:rsid w:val="003F46F5"/>
    <w:rsid w:val="003F51F7"/>
    <w:rsid w:val="004014D1"/>
    <w:rsid w:val="00404504"/>
    <w:rsid w:val="0040675E"/>
    <w:rsid w:val="0041751E"/>
    <w:rsid w:val="0042174D"/>
    <w:rsid w:val="00423091"/>
    <w:rsid w:val="00431D9B"/>
    <w:rsid w:val="00433034"/>
    <w:rsid w:val="004377FD"/>
    <w:rsid w:val="00437936"/>
    <w:rsid w:val="00442F2B"/>
    <w:rsid w:val="00443567"/>
    <w:rsid w:val="00455027"/>
    <w:rsid w:val="00460D7D"/>
    <w:rsid w:val="0046324B"/>
    <w:rsid w:val="004632C6"/>
    <w:rsid w:val="004661A5"/>
    <w:rsid w:val="00466B6D"/>
    <w:rsid w:val="00472434"/>
    <w:rsid w:val="00472F67"/>
    <w:rsid w:val="00474FCA"/>
    <w:rsid w:val="004752B3"/>
    <w:rsid w:val="00486948"/>
    <w:rsid w:val="00492641"/>
    <w:rsid w:val="004A79F8"/>
    <w:rsid w:val="004B5BAF"/>
    <w:rsid w:val="004B7300"/>
    <w:rsid w:val="004C5E58"/>
    <w:rsid w:val="004C68FE"/>
    <w:rsid w:val="004D208C"/>
    <w:rsid w:val="004D2546"/>
    <w:rsid w:val="004D7D1E"/>
    <w:rsid w:val="004E4DF9"/>
    <w:rsid w:val="004E5451"/>
    <w:rsid w:val="004E6203"/>
    <w:rsid w:val="004F1400"/>
    <w:rsid w:val="004F2494"/>
    <w:rsid w:val="004F508A"/>
    <w:rsid w:val="004F5E88"/>
    <w:rsid w:val="004F66B1"/>
    <w:rsid w:val="005118EC"/>
    <w:rsid w:val="00515410"/>
    <w:rsid w:val="005207E4"/>
    <w:rsid w:val="00520EF7"/>
    <w:rsid w:val="005217A6"/>
    <w:rsid w:val="005300A6"/>
    <w:rsid w:val="005318A0"/>
    <w:rsid w:val="00537B06"/>
    <w:rsid w:val="005440F3"/>
    <w:rsid w:val="00544299"/>
    <w:rsid w:val="00546847"/>
    <w:rsid w:val="00546F2C"/>
    <w:rsid w:val="00550498"/>
    <w:rsid w:val="0055133D"/>
    <w:rsid w:val="00554489"/>
    <w:rsid w:val="00554DE5"/>
    <w:rsid w:val="005579B7"/>
    <w:rsid w:val="00557F0C"/>
    <w:rsid w:val="00562486"/>
    <w:rsid w:val="0056349A"/>
    <w:rsid w:val="00567F5B"/>
    <w:rsid w:val="00572B31"/>
    <w:rsid w:val="00577F08"/>
    <w:rsid w:val="00583E77"/>
    <w:rsid w:val="0058468E"/>
    <w:rsid w:val="005871EE"/>
    <w:rsid w:val="005907F4"/>
    <w:rsid w:val="00593DA2"/>
    <w:rsid w:val="0059586E"/>
    <w:rsid w:val="00595AC1"/>
    <w:rsid w:val="00596DF2"/>
    <w:rsid w:val="005A04E3"/>
    <w:rsid w:val="005B2462"/>
    <w:rsid w:val="005B4645"/>
    <w:rsid w:val="005B6B38"/>
    <w:rsid w:val="005B7252"/>
    <w:rsid w:val="005C3B0D"/>
    <w:rsid w:val="005C449E"/>
    <w:rsid w:val="005C52CE"/>
    <w:rsid w:val="005C56C1"/>
    <w:rsid w:val="005D271F"/>
    <w:rsid w:val="005D2D5A"/>
    <w:rsid w:val="005D3A4E"/>
    <w:rsid w:val="005D6F24"/>
    <w:rsid w:val="005E22AB"/>
    <w:rsid w:val="005E37F6"/>
    <w:rsid w:val="005E4446"/>
    <w:rsid w:val="005E4C5C"/>
    <w:rsid w:val="005E4DFD"/>
    <w:rsid w:val="005E5306"/>
    <w:rsid w:val="005E6B58"/>
    <w:rsid w:val="005E6E17"/>
    <w:rsid w:val="005F1754"/>
    <w:rsid w:val="005F46C5"/>
    <w:rsid w:val="005F515B"/>
    <w:rsid w:val="005F57B7"/>
    <w:rsid w:val="005F76A8"/>
    <w:rsid w:val="00601735"/>
    <w:rsid w:val="0060237F"/>
    <w:rsid w:val="00606E40"/>
    <w:rsid w:val="00611473"/>
    <w:rsid w:val="00635DD6"/>
    <w:rsid w:val="006372EF"/>
    <w:rsid w:val="00640E97"/>
    <w:rsid w:val="00642214"/>
    <w:rsid w:val="00643D59"/>
    <w:rsid w:val="00645CFF"/>
    <w:rsid w:val="00646EA1"/>
    <w:rsid w:val="006470B6"/>
    <w:rsid w:val="00647359"/>
    <w:rsid w:val="0065031D"/>
    <w:rsid w:val="00651866"/>
    <w:rsid w:val="00655A32"/>
    <w:rsid w:val="006642F1"/>
    <w:rsid w:val="00664E95"/>
    <w:rsid w:val="00665E4A"/>
    <w:rsid w:val="006709CB"/>
    <w:rsid w:val="00671720"/>
    <w:rsid w:val="00671889"/>
    <w:rsid w:val="00675E81"/>
    <w:rsid w:val="0068212B"/>
    <w:rsid w:val="0068353A"/>
    <w:rsid w:val="00683FAC"/>
    <w:rsid w:val="00684E1E"/>
    <w:rsid w:val="00690032"/>
    <w:rsid w:val="00690393"/>
    <w:rsid w:val="006961D6"/>
    <w:rsid w:val="006A2F57"/>
    <w:rsid w:val="006A3F33"/>
    <w:rsid w:val="006A7524"/>
    <w:rsid w:val="006B102D"/>
    <w:rsid w:val="006B3674"/>
    <w:rsid w:val="006B5918"/>
    <w:rsid w:val="006C2F0E"/>
    <w:rsid w:val="006C34FA"/>
    <w:rsid w:val="006C34FD"/>
    <w:rsid w:val="006C4C29"/>
    <w:rsid w:val="006D48CF"/>
    <w:rsid w:val="006D6110"/>
    <w:rsid w:val="006F43D3"/>
    <w:rsid w:val="00700666"/>
    <w:rsid w:val="007045F7"/>
    <w:rsid w:val="00704ED2"/>
    <w:rsid w:val="00707F20"/>
    <w:rsid w:val="00712855"/>
    <w:rsid w:val="00712AAF"/>
    <w:rsid w:val="007143F1"/>
    <w:rsid w:val="00716624"/>
    <w:rsid w:val="0072261C"/>
    <w:rsid w:val="007228C0"/>
    <w:rsid w:val="00726A83"/>
    <w:rsid w:val="00732BCB"/>
    <w:rsid w:val="00734273"/>
    <w:rsid w:val="00736804"/>
    <w:rsid w:val="00736E8A"/>
    <w:rsid w:val="007372DD"/>
    <w:rsid w:val="00741794"/>
    <w:rsid w:val="0076011F"/>
    <w:rsid w:val="007670E1"/>
    <w:rsid w:val="0078007D"/>
    <w:rsid w:val="007843EB"/>
    <w:rsid w:val="00794360"/>
    <w:rsid w:val="0079700C"/>
    <w:rsid w:val="007A39A5"/>
    <w:rsid w:val="007A4DA5"/>
    <w:rsid w:val="007A4EFD"/>
    <w:rsid w:val="007B2FA9"/>
    <w:rsid w:val="007B4ED4"/>
    <w:rsid w:val="007B7A38"/>
    <w:rsid w:val="007C6699"/>
    <w:rsid w:val="007D0CF5"/>
    <w:rsid w:val="007D7410"/>
    <w:rsid w:val="007E107A"/>
    <w:rsid w:val="007E289D"/>
    <w:rsid w:val="007E2AEE"/>
    <w:rsid w:val="007F216C"/>
    <w:rsid w:val="007F4999"/>
    <w:rsid w:val="007F648C"/>
    <w:rsid w:val="00800A9C"/>
    <w:rsid w:val="00802263"/>
    <w:rsid w:val="0080393F"/>
    <w:rsid w:val="00810CA8"/>
    <w:rsid w:val="0081162D"/>
    <w:rsid w:val="0081426C"/>
    <w:rsid w:val="00817051"/>
    <w:rsid w:val="0081726E"/>
    <w:rsid w:val="008174FB"/>
    <w:rsid w:val="0081771F"/>
    <w:rsid w:val="008212D8"/>
    <w:rsid w:val="00822C7D"/>
    <w:rsid w:val="0082490B"/>
    <w:rsid w:val="00827814"/>
    <w:rsid w:val="00831CCC"/>
    <w:rsid w:val="00831DC9"/>
    <w:rsid w:val="00834F73"/>
    <w:rsid w:val="00837184"/>
    <w:rsid w:val="00841E7F"/>
    <w:rsid w:val="00842CD8"/>
    <w:rsid w:val="00851A8F"/>
    <w:rsid w:val="00852B47"/>
    <w:rsid w:val="0085580C"/>
    <w:rsid w:val="00857117"/>
    <w:rsid w:val="00862DE4"/>
    <w:rsid w:val="00863430"/>
    <w:rsid w:val="008651A9"/>
    <w:rsid w:val="00887521"/>
    <w:rsid w:val="008876D0"/>
    <w:rsid w:val="00890AE4"/>
    <w:rsid w:val="008A5135"/>
    <w:rsid w:val="008A5A39"/>
    <w:rsid w:val="008B5CC5"/>
    <w:rsid w:val="008B6EF2"/>
    <w:rsid w:val="008C130D"/>
    <w:rsid w:val="008C29C7"/>
    <w:rsid w:val="008C6B77"/>
    <w:rsid w:val="008C746A"/>
    <w:rsid w:val="008D3A7C"/>
    <w:rsid w:val="008D3E17"/>
    <w:rsid w:val="008E257A"/>
    <w:rsid w:val="008E6510"/>
    <w:rsid w:val="008E79C4"/>
    <w:rsid w:val="008F3170"/>
    <w:rsid w:val="008F6487"/>
    <w:rsid w:val="0090298F"/>
    <w:rsid w:val="0090368F"/>
    <w:rsid w:val="00904D8B"/>
    <w:rsid w:val="00912AC3"/>
    <w:rsid w:val="00923354"/>
    <w:rsid w:val="00924D23"/>
    <w:rsid w:val="009344B5"/>
    <w:rsid w:val="009353F4"/>
    <w:rsid w:val="00936DD2"/>
    <w:rsid w:val="00940328"/>
    <w:rsid w:val="00942905"/>
    <w:rsid w:val="00945389"/>
    <w:rsid w:val="009457D7"/>
    <w:rsid w:val="00956E80"/>
    <w:rsid w:val="00963B6F"/>
    <w:rsid w:val="009707F2"/>
    <w:rsid w:val="00971D20"/>
    <w:rsid w:val="009731CE"/>
    <w:rsid w:val="00973E66"/>
    <w:rsid w:val="0097415B"/>
    <w:rsid w:val="009763A7"/>
    <w:rsid w:val="009813B4"/>
    <w:rsid w:val="0098339A"/>
    <w:rsid w:val="00984866"/>
    <w:rsid w:val="00991B21"/>
    <w:rsid w:val="00996997"/>
    <w:rsid w:val="009B1747"/>
    <w:rsid w:val="009B4C6E"/>
    <w:rsid w:val="009B691A"/>
    <w:rsid w:val="009B7931"/>
    <w:rsid w:val="009C09CB"/>
    <w:rsid w:val="009C58D3"/>
    <w:rsid w:val="009C70C4"/>
    <w:rsid w:val="009C7AD4"/>
    <w:rsid w:val="009D14F9"/>
    <w:rsid w:val="009D2BA9"/>
    <w:rsid w:val="009E162F"/>
    <w:rsid w:val="009E35BF"/>
    <w:rsid w:val="009E512E"/>
    <w:rsid w:val="009F11FA"/>
    <w:rsid w:val="009F5900"/>
    <w:rsid w:val="009F5EA1"/>
    <w:rsid w:val="009F7DB5"/>
    <w:rsid w:val="00A027CA"/>
    <w:rsid w:val="00A051F7"/>
    <w:rsid w:val="00A11288"/>
    <w:rsid w:val="00A1548B"/>
    <w:rsid w:val="00A216BD"/>
    <w:rsid w:val="00A21771"/>
    <w:rsid w:val="00A21DA8"/>
    <w:rsid w:val="00A2382A"/>
    <w:rsid w:val="00A26EEF"/>
    <w:rsid w:val="00A30D56"/>
    <w:rsid w:val="00A34487"/>
    <w:rsid w:val="00A34ED3"/>
    <w:rsid w:val="00A369FF"/>
    <w:rsid w:val="00A50574"/>
    <w:rsid w:val="00A610C1"/>
    <w:rsid w:val="00A61D08"/>
    <w:rsid w:val="00A7179C"/>
    <w:rsid w:val="00A71F9B"/>
    <w:rsid w:val="00A75FBB"/>
    <w:rsid w:val="00A762EC"/>
    <w:rsid w:val="00A76EFC"/>
    <w:rsid w:val="00A771B6"/>
    <w:rsid w:val="00A844C6"/>
    <w:rsid w:val="00A84C9B"/>
    <w:rsid w:val="00A86226"/>
    <w:rsid w:val="00A86369"/>
    <w:rsid w:val="00A871A3"/>
    <w:rsid w:val="00A96666"/>
    <w:rsid w:val="00AA311B"/>
    <w:rsid w:val="00AA3B23"/>
    <w:rsid w:val="00AA43A1"/>
    <w:rsid w:val="00AA593C"/>
    <w:rsid w:val="00AA75F7"/>
    <w:rsid w:val="00AB2475"/>
    <w:rsid w:val="00AB4022"/>
    <w:rsid w:val="00AB4DEB"/>
    <w:rsid w:val="00AB6F11"/>
    <w:rsid w:val="00AC06E7"/>
    <w:rsid w:val="00AC57A4"/>
    <w:rsid w:val="00AD6DE7"/>
    <w:rsid w:val="00AE093E"/>
    <w:rsid w:val="00AE1295"/>
    <w:rsid w:val="00AE480D"/>
    <w:rsid w:val="00AE56A1"/>
    <w:rsid w:val="00AE65CD"/>
    <w:rsid w:val="00AF0944"/>
    <w:rsid w:val="00AF09C9"/>
    <w:rsid w:val="00AF14F6"/>
    <w:rsid w:val="00AF3395"/>
    <w:rsid w:val="00AF72FF"/>
    <w:rsid w:val="00AF75C5"/>
    <w:rsid w:val="00B0352E"/>
    <w:rsid w:val="00B10E32"/>
    <w:rsid w:val="00B14761"/>
    <w:rsid w:val="00B148A1"/>
    <w:rsid w:val="00B21521"/>
    <w:rsid w:val="00B242B7"/>
    <w:rsid w:val="00B26D1F"/>
    <w:rsid w:val="00B30265"/>
    <w:rsid w:val="00B33AB5"/>
    <w:rsid w:val="00B50AEE"/>
    <w:rsid w:val="00B51402"/>
    <w:rsid w:val="00B51E67"/>
    <w:rsid w:val="00B51EB0"/>
    <w:rsid w:val="00B53F99"/>
    <w:rsid w:val="00B55079"/>
    <w:rsid w:val="00B56A20"/>
    <w:rsid w:val="00B611DF"/>
    <w:rsid w:val="00B617B6"/>
    <w:rsid w:val="00B70314"/>
    <w:rsid w:val="00B77AC0"/>
    <w:rsid w:val="00B80C52"/>
    <w:rsid w:val="00B80D0C"/>
    <w:rsid w:val="00B82EA9"/>
    <w:rsid w:val="00B83AE1"/>
    <w:rsid w:val="00B85762"/>
    <w:rsid w:val="00B94215"/>
    <w:rsid w:val="00B94CF2"/>
    <w:rsid w:val="00BA1FFD"/>
    <w:rsid w:val="00BB0D55"/>
    <w:rsid w:val="00BB158A"/>
    <w:rsid w:val="00BB45BB"/>
    <w:rsid w:val="00BC514B"/>
    <w:rsid w:val="00BC5CFD"/>
    <w:rsid w:val="00BC663F"/>
    <w:rsid w:val="00BC6E15"/>
    <w:rsid w:val="00BD6555"/>
    <w:rsid w:val="00BE4639"/>
    <w:rsid w:val="00BE64C8"/>
    <w:rsid w:val="00BE7269"/>
    <w:rsid w:val="00BF2687"/>
    <w:rsid w:val="00C0612D"/>
    <w:rsid w:val="00C061DA"/>
    <w:rsid w:val="00C07815"/>
    <w:rsid w:val="00C13360"/>
    <w:rsid w:val="00C2667A"/>
    <w:rsid w:val="00C343FB"/>
    <w:rsid w:val="00C425EF"/>
    <w:rsid w:val="00C462B0"/>
    <w:rsid w:val="00C46834"/>
    <w:rsid w:val="00C478F7"/>
    <w:rsid w:val="00C5068B"/>
    <w:rsid w:val="00C50CA0"/>
    <w:rsid w:val="00C54715"/>
    <w:rsid w:val="00C56511"/>
    <w:rsid w:val="00C61977"/>
    <w:rsid w:val="00C7110D"/>
    <w:rsid w:val="00C72FC5"/>
    <w:rsid w:val="00C735E4"/>
    <w:rsid w:val="00C74D92"/>
    <w:rsid w:val="00C7614F"/>
    <w:rsid w:val="00C774AA"/>
    <w:rsid w:val="00C828C9"/>
    <w:rsid w:val="00C8310B"/>
    <w:rsid w:val="00C84383"/>
    <w:rsid w:val="00CA1D88"/>
    <w:rsid w:val="00CA3850"/>
    <w:rsid w:val="00CA5D15"/>
    <w:rsid w:val="00CA78EC"/>
    <w:rsid w:val="00CC03E0"/>
    <w:rsid w:val="00CC09E9"/>
    <w:rsid w:val="00CC352B"/>
    <w:rsid w:val="00CC49DD"/>
    <w:rsid w:val="00CC4A14"/>
    <w:rsid w:val="00CC4F8B"/>
    <w:rsid w:val="00CD1DA7"/>
    <w:rsid w:val="00CD28BF"/>
    <w:rsid w:val="00CD34B5"/>
    <w:rsid w:val="00CF0593"/>
    <w:rsid w:val="00CF0B56"/>
    <w:rsid w:val="00CF15B6"/>
    <w:rsid w:val="00CF36B8"/>
    <w:rsid w:val="00CF4848"/>
    <w:rsid w:val="00D03E63"/>
    <w:rsid w:val="00D14F88"/>
    <w:rsid w:val="00D1575D"/>
    <w:rsid w:val="00D244A4"/>
    <w:rsid w:val="00D25591"/>
    <w:rsid w:val="00D25930"/>
    <w:rsid w:val="00D364E3"/>
    <w:rsid w:val="00D41BAE"/>
    <w:rsid w:val="00D45EE0"/>
    <w:rsid w:val="00D47A3E"/>
    <w:rsid w:val="00D504AE"/>
    <w:rsid w:val="00D518E0"/>
    <w:rsid w:val="00D536EB"/>
    <w:rsid w:val="00D62D8F"/>
    <w:rsid w:val="00D6566D"/>
    <w:rsid w:val="00D74959"/>
    <w:rsid w:val="00D81884"/>
    <w:rsid w:val="00D855CF"/>
    <w:rsid w:val="00D90B79"/>
    <w:rsid w:val="00D92CAA"/>
    <w:rsid w:val="00D938AC"/>
    <w:rsid w:val="00D94F3C"/>
    <w:rsid w:val="00D951CA"/>
    <w:rsid w:val="00D969E5"/>
    <w:rsid w:val="00DA1645"/>
    <w:rsid w:val="00DA41DD"/>
    <w:rsid w:val="00DA7701"/>
    <w:rsid w:val="00DB43C1"/>
    <w:rsid w:val="00DB6FB8"/>
    <w:rsid w:val="00DC036F"/>
    <w:rsid w:val="00DC6BF1"/>
    <w:rsid w:val="00DC7309"/>
    <w:rsid w:val="00DD0981"/>
    <w:rsid w:val="00DD387D"/>
    <w:rsid w:val="00DD393B"/>
    <w:rsid w:val="00DE6541"/>
    <w:rsid w:val="00DE6797"/>
    <w:rsid w:val="00DF1AC1"/>
    <w:rsid w:val="00DF3E65"/>
    <w:rsid w:val="00E02533"/>
    <w:rsid w:val="00E146AB"/>
    <w:rsid w:val="00E14E8F"/>
    <w:rsid w:val="00E15513"/>
    <w:rsid w:val="00E15594"/>
    <w:rsid w:val="00E16CDE"/>
    <w:rsid w:val="00E16DAC"/>
    <w:rsid w:val="00E17379"/>
    <w:rsid w:val="00E25655"/>
    <w:rsid w:val="00E3720F"/>
    <w:rsid w:val="00E37E47"/>
    <w:rsid w:val="00E40AC4"/>
    <w:rsid w:val="00E4314F"/>
    <w:rsid w:val="00E50A91"/>
    <w:rsid w:val="00E57673"/>
    <w:rsid w:val="00E60D6C"/>
    <w:rsid w:val="00E6653F"/>
    <w:rsid w:val="00E73B12"/>
    <w:rsid w:val="00E7685A"/>
    <w:rsid w:val="00E84983"/>
    <w:rsid w:val="00E93C42"/>
    <w:rsid w:val="00E9497F"/>
    <w:rsid w:val="00E9554E"/>
    <w:rsid w:val="00E97EDB"/>
    <w:rsid w:val="00EA6122"/>
    <w:rsid w:val="00EA706C"/>
    <w:rsid w:val="00EB43DC"/>
    <w:rsid w:val="00EB6291"/>
    <w:rsid w:val="00EB6B1B"/>
    <w:rsid w:val="00EB7334"/>
    <w:rsid w:val="00EC0059"/>
    <w:rsid w:val="00EC1010"/>
    <w:rsid w:val="00EC4561"/>
    <w:rsid w:val="00EC6217"/>
    <w:rsid w:val="00EC73EE"/>
    <w:rsid w:val="00ED6183"/>
    <w:rsid w:val="00EE327E"/>
    <w:rsid w:val="00EE48CD"/>
    <w:rsid w:val="00EF2D1D"/>
    <w:rsid w:val="00EF6ED2"/>
    <w:rsid w:val="00F067AB"/>
    <w:rsid w:val="00F104A1"/>
    <w:rsid w:val="00F15308"/>
    <w:rsid w:val="00F17EEA"/>
    <w:rsid w:val="00F20C9C"/>
    <w:rsid w:val="00F23E8D"/>
    <w:rsid w:val="00F262F4"/>
    <w:rsid w:val="00F30BED"/>
    <w:rsid w:val="00F33BDD"/>
    <w:rsid w:val="00F33DF6"/>
    <w:rsid w:val="00F349F3"/>
    <w:rsid w:val="00F373B1"/>
    <w:rsid w:val="00F37B7B"/>
    <w:rsid w:val="00F40189"/>
    <w:rsid w:val="00F4089E"/>
    <w:rsid w:val="00F44501"/>
    <w:rsid w:val="00F4612A"/>
    <w:rsid w:val="00F504B6"/>
    <w:rsid w:val="00F5118A"/>
    <w:rsid w:val="00F527DE"/>
    <w:rsid w:val="00F57CF0"/>
    <w:rsid w:val="00F620F3"/>
    <w:rsid w:val="00F62E91"/>
    <w:rsid w:val="00F63737"/>
    <w:rsid w:val="00F6632C"/>
    <w:rsid w:val="00F6701C"/>
    <w:rsid w:val="00F818B3"/>
    <w:rsid w:val="00F82C3C"/>
    <w:rsid w:val="00F87E85"/>
    <w:rsid w:val="00F92D35"/>
    <w:rsid w:val="00FA14B6"/>
    <w:rsid w:val="00FA462A"/>
    <w:rsid w:val="00FA60E7"/>
    <w:rsid w:val="00FB372F"/>
    <w:rsid w:val="00FB77C9"/>
    <w:rsid w:val="00FC028C"/>
    <w:rsid w:val="00FC0419"/>
    <w:rsid w:val="00FC218A"/>
    <w:rsid w:val="00FC4914"/>
    <w:rsid w:val="00FD6191"/>
    <w:rsid w:val="00FD69C5"/>
    <w:rsid w:val="00FD6D0D"/>
    <w:rsid w:val="00FE2298"/>
    <w:rsid w:val="00FE683E"/>
    <w:rsid w:val="00FF53AA"/>
    <w:rsid w:val="00FF7DAB"/>
    <w:rsid w:val="013C6737"/>
    <w:rsid w:val="01915BB9"/>
    <w:rsid w:val="021C52D8"/>
    <w:rsid w:val="04D30B3B"/>
    <w:rsid w:val="05B4D1E8"/>
    <w:rsid w:val="062345FC"/>
    <w:rsid w:val="067CABDE"/>
    <w:rsid w:val="067DF539"/>
    <w:rsid w:val="06AFE82F"/>
    <w:rsid w:val="07A41529"/>
    <w:rsid w:val="08CEC307"/>
    <w:rsid w:val="09B595FB"/>
    <w:rsid w:val="0CBE80E8"/>
    <w:rsid w:val="0F59F386"/>
    <w:rsid w:val="105C6B85"/>
    <w:rsid w:val="13C4B9BC"/>
    <w:rsid w:val="1783FAAF"/>
    <w:rsid w:val="1C4224BC"/>
    <w:rsid w:val="29275DC3"/>
    <w:rsid w:val="297E597A"/>
    <w:rsid w:val="2B9712BB"/>
    <w:rsid w:val="2BC56951"/>
    <w:rsid w:val="2C3B4794"/>
    <w:rsid w:val="3094BA49"/>
    <w:rsid w:val="311A7ED2"/>
    <w:rsid w:val="3180AC59"/>
    <w:rsid w:val="31E24541"/>
    <w:rsid w:val="375B6113"/>
    <w:rsid w:val="3789C056"/>
    <w:rsid w:val="386BF201"/>
    <w:rsid w:val="396A93E2"/>
    <w:rsid w:val="3A116624"/>
    <w:rsid w:val="3A9D785A"/>
    <w:rsid w:val="3B1F1740"/>
    <w:rsid w:val="3CD8BA4C"/>
    <w:rsid w:val="44041C96"/>
    <w:rsid w:val="48BBBEA6"/>
    <w:rsid w:val="49BA40EF"/>
    <w:rsid w:val="5208389F"/>
    <w:rsid w:val="56F4D21F"/>
    <w:rsid w:val="5F08F53E"/>
    <w:rsid w:val="655DEAB1"/>
    <w:rsid w:val="66B02ECF"/>
    <w:rsid w:val="67E5907F"/>
    <w:rsid w:val="68D80A93"/>
    <w:rsid w:val="6AC02F0C"/>
    <w:rsid w:val="6C1D59B4"/>
    <w:rsid w:val="6CA776F1"/>
    <w:rsid w:val="7135C269"/>
    <w:rsid w:val="72D8373B"/>
    <w:rsid w:val="731F0778"/>
    <w:rsid w:val="739C5439"/>
    <w:rsid w:val="7435F904"/>
    <w:rsid w:val="768A06CA"/>
    <w:rsid w:val="7904B9FA"/>
    <w:rsid w:val="7AC883D7"/>
    <w:rsid w:val="7B3B4291"/>
    <w:rsid w:val="7E57DA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E0CAAE29-DCC7-4C9B-858E-89F4D330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Dot"/>
    <w:basedOn w:val="Normal"/>
    <w:link w:val="ListParagraphChar"/>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semiHidden/>
    <w:unhideWhenUsed/>
    <w:rsid w:val="7AC883D7"/>
    <w:pPr>
      <w:spacing w:after="0"/>
    </w:pPr>
    <w:rPr>
      <w:sz w:val="20"/>
      <w:szCs w:val="20"/>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0344B4"/>
    <w:rPr>
      <w:color w:val="605E5C"/>
      <w:shd w:val="clear" w:color="auto" w:fill="E1DFDD"/>
    </w:rPr>
  </w:style>
  <w:style w:type="character" w:styleId="FollowedHyperlink">
    <w:name w:val="FollowedHyperlink"/>
    <w:basedOn w:val="DefaultParagraphFont"/>
    <w:uiPriority w:val="99"/>
    <w:semiHidden/>
    <w:unhideWhenUsed/>
    <w:rsid w:val="000344B4"/>
    <w:rPr>
      <w:color w:val="954F72" w:themeColor="followedHyperlink"/>
      <w:u w:val="single"/>
    </w:rPr>
  </w:style>
  <w:style w:type="character" w:customStyle="1" w:styleId="ui-provider">
    <w:name w:val="ui-provider"/>
    <w:basedOn w:val="DefaultParagraphFont"/>
    <w:rsid w:val="002D33FD"/>
  </w:style>
  <w:style w:type="paragraph" w:styleId="Revision">
    <w:name w:val="Revision"/>
    <w:hidden/>
    <w:uiPriority w:val="99"/>
    <w:semiHidden/>
    <w:rsid w:val="001E53CA"/>
    <w:pPr>
      <w:spacing w:after="0" w:line="240" w:lineRule="auto"/>
    </w:pPr>
    <w:rPr>
      <w:lang w:val="lv-LV"/>
    </w:rPr>
  </w:style>
  <w:style w:type="character" w:customStyle="1" w:styleId="normaltextrun">
    <w:name w:val="normaltextrun"/>
    <w:basedOn w:val="DefaultParagraphFont"/>
    <w:rsid w:val="005C52CE"/>
  </w:style>
  <w:style w:type="character" w:customStyle="1" w:styleId="eop">
    <w:name w:val="eop"/>
    <w:basedOn w:val="DefaultParagraphFont"/>
    <w:rsid w:val="005C52CE"/>
  </w:style>
  <w:style w:type="paragraph" w:customStyle="1" w:styleId="xmsonormal">
    <w:name w:val="x_msonormal"/>
    <w:basedOn w:val="Normal"/>
    <w:rsid w:val="00437936"/>
    <w:pPr>
      <w:spacing w:after="0" w:line="240" w:lineRule="auto"/>
    </w:pPr>
    <w:rPr>
      <w:rFonts w:ascii="Calibri" w:eastAsia="Times New Roman" w:hAnsi="Calibri" w:cs="Calibri"/>
      <w:lang w:eastAsia="lv-LV"/>
    </w:rPr>
  </w:style>
  <w:style w:type="character" w:customStyle="1" w:styleId="xcontentpasted0">
    <w:name w:val="x_contentpasted0"/>
    <w:basedOn w:val="DefaultParagraphFont"/>
    <w:rsid w:val="00437936"/>
    <w:rPr>
      <w:rFonts w:cs="Times New Roman"/>
    </w:rPr>
  </w:style>
  <w:style w:type="paragraph" w:styleId="NormalWeb">
    <w:name w:val="Normal (Web)"/>
    <w:basedOn w:val="Normal"/>
    <w:uiPriority w:val="99"/>
    <w:semiHidden/>
    <w:unhideWhenUsed/>
    <w:rsid w:val="00437936"/>
    <w:pPr>
      <w:spacing w:before="100" w:beforeAutospacing="1" w:after="100" w:afterAutospacing="1" w:line="240" w:lineRule="auto"/>
    </w:pPr>
    <w:rPr>
      <w:rFonts w:ascii="Calibri" w:eastAsia="Times New Roman" w:hAnsi="Calibri" w:cs="Calibri"/>
      <w:lang w:eastAsia="lv-LV"/>
    </w:rPr>
  </w:style>
  <w:style w:type="paragraph" w:customStyle="1" w:styleId="m-6645343138047643527msolistparagraph">
    <w:name w:val="m_-6645343138047643527msolistparagraph"/>
    <w:basedOn w:val="Normal"/>
    <w:rsid w:val="00E97EDB"/>
    <w:pPr>
      <w:spacing w:before="100" w:beforeAutospacing="1" w:after="100" w:afterAutospacing="1" w:line="240" w:lineRule="auto"/>
    </w:pPr>
    <w:rPr>
      <w:rFonts w:ascii="Aptos" w:hAnsi="Aptos" w:cs="Aptos"/>
      <w:sz w:val="24"/>
      <w:szCs w:val="24"/>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C462B0"/>
    <w:rPr>
      <w:vertAlign w:val="superscript"/>
    </w:rPr>
  </w:style>
  <w:style w:type="paragraph" w:customStyle="1" w:styleId="CharCharCharChar">
    <w:name w:val="Char Char Char Char"/>
    <w:aliases w:val="Char2"/>
    <w:basedOn w:val="Normal"/>
    <w:link w:val="FootnoteReference"/>
    <w:uiPriority w:val="99"/>
    <w:rsid w:val="00C462B0"/>
    <w:pPr>
      <w:spacing w:line="240" w:lineRule="exact"/>
      <w:jc w:val="both"/>
    </w:pPr>
    <w:rPr>
      <w:vertAlign w:val="superscript"/>
      <w:lang w:val="en-GB"/>
    </w:rPr>
  </w:style>
  <w:style w:type="paragraph" w:customStyle="1" w:styleId="paragraph">
    <w:name w:val="paragraph"/>
    <w:basedOn w:val="Normal"/>
    <w:rsid w:val="00C462B0"/>
    <w:pPr>
      <w:spacing w:before="100" w:beforeAutospacing="1" w:after="100" w:afterAutospacing="1"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8886">
      <w:bodyDiv w:val="1"/>
      <w:marLeft w:val="0"/>
      <w:marRight w:val="0"/>
      <w:marTop w:val="0"/>
      <w:marBottom w:val="0"/>
      <w:divBdr>
        <w:top w:val="none" w:sz="0" w:space="0" w:color="auto"/>
        <w:left w:val="none" w:sz="0" w:space="0" w:color="auto"/>
        <w:bottom w:val="none" w:sz="0" w:space="0" w:color="auto"/>
        <w:right w:val="none" w:sz="0" w:space="0" w:color="auto"/>
      </w:divBdr>
    </w:div>
    <w:div w:id="80683902">
      <w:bodyDiv w:val="1"/>
      <w:marLeft w:val="0"/>
      <w:marRight w:val="0"/>
      <w:marTop w:val="0"/>
      <w:marBottom w:val="0"/>
      <w:divBdr>
        <w:top w:val="none" w:sz="0" w:space="0" w:color="auto"/>
        <w:left w:val="none" w:sz="0" w:space="0" w:color="auto"/>
        <w:bottom w:val="none" w:sz="0" w:space="0" w:color="auto"/>
        <w:right w:val="none" w:sz="0" w:space="0" w:color="auto"/>
      </w:divBdr>
    </w:div>
    <w:div w:id="146018448">
      <w:bodyDiv w:val="1"/>
      <w:marLeft w:val="0"/>
      <w:marRight w:val="0"/>
      <w:marTop w:val="0"/>
      <w:marBottom w:val="0"/>
      <w:divBdr>
        <w:top w:val="none" w:sz="0" w:space="0" w:color="auto"/>
        <w:left w:val="none" w:sz="0" w:space="0" w:color="auto"/>
        <w:bottom w:val="none" w:sz="0" w:space="0" w:color="auto"/>
        <w:right w:val="none" w:sz="0" w:space="0" w:color="auto"/>
      </w:divBdr>
    </w:div>
    <w:div w:id="245649239">
      <w:bodyDiv w:val="1"/>
      <w:marLeft w:val="0"/>
      <w:marRight w:val="0"/>
      <w:marTop w:val="0"/>
      <w:marBottom w:val="0"/>
      <w:divBdr>
        <w:top w:val="none" w:sz="0" w:space="0" w:color="auto"/>
        <w:left w:val="none" w:sz="0" w:space="0" w:color="auto"/>
        <w:bottom w:val="none" w:sz="0" w:space="0" w:color="auto"/>
        <w:right w:val="none" w:sz="0" w:space="0" w:color="auto"/>
      </w:divBdr>
    </w:div>
    <w:div w:id="267852023">
      <w:bodyDiv w:val="1"/>
      <w:marLeft w:val="0"/>
      <w:marRight w:val="0"/>
      <w:marTop w:val="0"/>
      <w:marBottom w:val="0"/>
      <w:divBdr>
        <w:top w:val="none" w:sz="0" w:space="0" w:color="auto"/>
        <w:left w:val="none" w:sz="0" w:space="0" w:color="auto"/>
        <w:bottom w:val="none" w:sz="0" w:space="0" w:color="auto"/>
        <w:right w:val="none" w:sz="0" w:space="0" w:color="auto"/>
      </w:divBdr>
    </w:div>
    <w:div w:id="310451887">
      <w:bodyDiv w:val="1"/>
      <w:marLeft w:val="0"/>
      <w:marRight w:val="0"/>
      <w:marTop w:val="0"/>
      <w:marBottom w:val="0"/>
      <w:divBdr>
        <w:top w:val="none" w:sz="0" w:space="0" w:color="auto"/>
        <w:left w:val="none" w:sz="0" w:space="0" w:color="auto"/>
        <w:bottom w:val="none" w:sz="0" w:space="0" w:color="auto"/>
        <w:right w:val="none" w:sz="0" w:space="0" w:color="auto"/>
      </w:divBdr>
    </w:div>
    <w:div w:id="403602430">
      <w:bodyDiv w:val="1"/>
      <w:marLeft w:val="0"/>
      <w:marRight w:val="0"/>
      <w:marTop w:val="0"/>
      <w:marBottom w:val="0"/>
      <w:divBdr>
        <w:top w:val="none" w:sz="0" w:space="0" w:color="auto"/>
        <w:left w:val="none" w:sz="0" w:space="0" w:color="auto"/>
        <w:bottom w:val="none" w:sz="0" w:space="0" w:color="auto"/>
        <w:right w:val="none" w:sz="0" w:space="0" w:color="auto"/>
      </w:divBdr>
    </w:div>
    <w:div w:id="410586934">
      <w:bodyDiv w:val="1"/>
      <w:marLeft w:val="0"/>
      <w:marRight w:val="0"/>
      <w:marTop w:val="0"/>
      <w:marBottom w:val="0"/>
      <w:divBdr>
        <w:top w:val="none" w:sz="0" w:space="0" w:color="auto"/>
        <w:left w:val="none" w:sz="0" w:space="0" w:color="auto"/>
        <w:bottom w:val="none" w:sz="0" w:space="0" w:color="auto"/>
        <w:right w:val="none" w:sz="0" w:space="0" w:color="auto"/>
      </w:divBdr>
    </w:div>
    <w:div w:id="500854140">
      <w:bodyDiv w:val="1"/>
      <w:marLeft w:val="0"/>
      <w:marRight w:val="0"/>
      <w:marTop w:val="0"/>
      <w:marBottom w:val="0"/>
      <w:divBdr>
        <w:top w:val="none" w:sz="0" w:space="0" w:color="auto"/>
        <w:left w:val="none" w:sz="0" w:space="0" w:color="auto"/>
        <w:bottom w:val="none" w:sz="0" w:space="0" w:color="auto"/>
        <w:right w:val="none" w:sz="0" w:space="0" w:color="auto"/>
      </w:divBdr>
    </w:div>
    <w:div w:id="521283255">
      <w:bodyDiv w:val="1"/>
      <w:marLeft w:val="0"/>
      <w:marRight w:val="0"/>
      <w:marTop w:val="0"/>
      <w:marBottom w:val="0"/>
      <w:divBdr>
        <w:top w:val="none" w:sz="0" w:space="0" w:color="auto"/>
        <w:left w:val="none" w:sz="0" w:space="0" w:color="auto"/>
        <w:bottom w:val="none" w:sz="0" w:space="0" w:color="auto"/>
        <w:right w:val="none" w:sz="0" w:space="0" w:color="auto"/>
      </w:divBdr>
    </w:div>
    <w:div w:id="649020010">
      <w:bodyDiv w:val="1"/>
      <w:marLeft w:val="0"/>
      <w:marRight w:val="0"/>
      <w:marTop w:val="0"/>
      <w:marBottom w:val="0"/>
      <w:divBdr>
        <w:top w:val="none" w:sz="0" w:space="0" w:color="auto"/>
        <w:left w:val="none" w:sz="0" w:space="0" w:color="auto"/>
        <w:bottom w:val="none" w:sz="0" w:space="0" w:color="auto"/>
        <w:right w:val="none" w:sz="0" w:space="0" w:color="auto"/>
      </w:divBdr>
    </w:div>
    <w:div w:id="670525892">
      <w:bodyDiv w:val="1"/>
      <w:marLeft w:val="0"/>
      <w:marRight w:val="0"/>
      <w:marTop w:val="0"/>
      <w:marBottom w:val="0"/>
      <w:divBdr>
        <w:top w:val="none" w:sz="0" w:space="0" w:color="auto"/>
        <w:left w:val="none" w:sz="0" w:space="0" w:color="auto"/>
        <w:bottom w:val="none" w:sz="0" w:space="0" w:color="auto"/>
        <w:right w:val="none" w:sz="0" w:space="0" w:color="auto"/>
      </w:divBdr>
    </w:div>
    <w:div w:id="727143478">
      <w:bodyDiv w:val="1"/>
      <w:marLeft w:val="0"/>
      <w:marRight w:val="0"/>
      <w:marTop w:val="0"/>
      <w:marBottom w:val="0"/>
      <w:divBdr>
        <w:top w:val="none" w:sz="0" w:space="0" w:color="auto"/>
        <w:left w:val="none" w:sz="0" w:space="0" w:color="auto"/>
        <w:bottom w:val="none" w:sz="0" w:space="0" w:color="auto"/>
        <w:right w:val="none" w:sz="0" w:space="0" w:color="auto"/>
      </w:divBdr>
    </w:div>
    <w:div w:id="763182470">
      <w:bodyDiv w:val="1"/>
      <w:marLeft w:val="0"/>
      <w:marRight w:val="0"/>
      <w:marTop w:val="0"/>
      <w:marBottom w:val="0"/>
      <w:divBdr>
        <w:top w:val="none" w:sz="0" w:space="0" w:color="auto"/>
        <w:left w:val="none" w:sz="0" w:space="0" w:color="auto"/>
        <w:bottom w:val="none" w:sz="0" w:space="0" w:color="auto"/>
        <w:right w:val="none" w:sz="0" w:space="0" w:color="auto"/>
      </w:divBdr>
    </w:div>
    <w:div w:id="798063174">
      <w:bodyDiv w:val="1"/>
      <w:marLeft w:val="0"/>
      <w:marRight w:val="0"/>
      <w:marTop w:val="0"/>
      <w:marBottom w:val="0"/>
      <w:divBdr>
        <w:top w:val="none" w:sz="0" w:space="0" w:color="auto"/>
        <w:left w:val="none" w:sz="0" w:space="0" w:color="auto"/>
        <w:bottom w:val="none" w:sz="0" w:space="0" w:color="auto"/>
        <w:right w:val="none" w:sz="0" w:space="0" w:color="auto"/>
      </w:divBdr>
    </w:div>
    <w:div w:id="844827450">
      <w:bodyDiv w:val="1"/>
      <w:marLeft w:val="0"/>
      <w:marRight w:val="0"/>
      <w:marTop w:val="0"/>
      <w:marBottom w:val="0"/>
      <w:divBdr>
        <w:top w:val="none" w:sz="0" w:space="0" w:color="auto"/>
        <w:left w:val="none" w:sz="0" w:space="0" w:color="auto"/>
        <w:bottom w:val="none" w:sz="0" w:space="0" w:color="auto"/>
        <w:right w:val="none" w:sz="0" w:space="0" w:color="auto"/>
      </w:divBdr>
    </w:div>
    <w:div w:id="912590130">
      <w:bodyDiv w:val="1"/>
      <w:marLeft w:val="0"/>
      <w:marRight w:val="0"/>
      <w:marTop w:val="0"/>
      <w:marBottom w:val="0"/>
      <w:divBdr>
        <w:top w:val="none" w:sz="0" w:space="0" w:color="auto"/>
        <w:left w:val="none" w:sz="0" w:space="0" w:color="auto"/>
        <w:bottom w:val="none" w:sz="0" w:space="0" w:color="auto"/>
        <w:right w:val="none" w:sz="0" w:space="0" w:color="auto"/>
      </w:divBdr>
    </w:div>
    <w:div w:id="925117300">
      <w:bodyDiv w:val="1"/>
      <w:marLeft w:val="0"/>
      <w:marRight w:val="0"/>
      <w:marTop w:val="0"/>
      <w:marBottom w:val="0"/>
      <w:divBdr>
        <w:top w:val="none" w:sz="0" w:space="0" w:color="auto"/>
        <w:left w:val="none" w:sz="0" w:space="0" w:color="auto"/>
        <w:bottom w:val="none" w:sz="0" w:space="0" w:color="auto"/>
        <w:right w:val="none" w:sz="0" w:space="0" w:color="auto"/>
      </w:divBdr>
    </w:div>
    <w:div w:id="951402775">
      <w:bodyDiv w:val="1"/>
      <w:marLeft w:val="0"/>
      <w:marRight w:val="0"/>
      <w:marTop w:val="0"/>
      <w:marBottom w:val="0"/>
      <w:divBdr>
        <w:top w:val="none" w:sz="0" w:space="0" w:color="auto"/>
        <w:left w:val="none" w:sz="0" w:space="0" w:color="auto"/>
        <w:bottom w:val="none" w:sz="0" w:space="0" w:color="auto"/>
        <w:right w:val="none" w:sz="0" w:space="0" w:color="auto"/>
      </w:divBdr>
    </w:div>
    <w:div w:id="959989337">
      <w:bodyDiv w:val="1"/>
      <w:marLeft w:val="0"/>
      <w:marRight w:val="0"/>
      <w:marTop w:val="0"/>
      <w:marBottom w:val="0"/>
      <w:divBdr>
        <w:top w:val="none" w:sz="0" w:space="0" w:color="auto"/>
        <w:left w:val="none" w:sz="0" w:space="0" w:color="auto"/>
        <w:bottom w:val="none" w:sz="0" w:space="0" w:color="auto"/>
        <w:right w:val="none" w:sz="0" w:space="0" w:color="auto"/>
      </w:divBdr>
    </w:div>
    <w:div w:id="1026560668">
      <w:bodyDiv w:val="1"/>
      <w:marLeft w:val="0"/>
      <w:marRight w:val="0"/>
      <w:marTop w:val="0"/>
      <w:marBottom w:val="0"/>
      <w:divBdr>
        <w:top w:val="none" w:sz="0" w:space="0" w:color="auto"/>
        <w:left w:val="none" w:sz="0" w:space="0" w:color="auto"/>
        <w:bottom w:val="none" w:sz="0" w:space="0" w:color="auto"/>
        <w:right w:val="none" w:sz="0" w:space="0" w:color="auto"/>
      </w:divBdr>
    </w:div>
    <w:div w:id="1080326676">
      <w:bodyDiv w:val="1"/>
      <w:marLeft w:val="0"/>
      <w:marRight w:val="0"/>
      <w:marTop w:val="0"/>
      <w:marBottom w:val="0"/>
      <w:divBdr>
        <w:top w:val="none" w:sz="0" w:space="0" w:color="auto"/>
        <w:left w:val="none" w:sz="0" w:space="0" w:color="auto"/>
        <w:bottom w:val="none" w:sz="0" w:space="0" w:color="auto"/>
        <w:right w:val="none" w:sz="0" w:space="0" w:color="auto"/>
      </w:divBdr>
    </w:div>
    <w:div w:id="1163662367">
      <w:bodyDiv w:val="1"/>
      <w:marLeft w:val="0"/>
      <w:marRight w:val="0"/>
      <w:marTop w:val="0"/>
      <w:marBottom w:val="0"/>
      <w:divBdr>
        <w:top w:val="none" w:sz="0" w:space="0" w:color="auto"/>
        <w:left w:val="none" w:sz="0" w:space="0" w:color="auto"/>
        <w:bottom w:val="none" w:sz="0" w:space="0" w:color="auto"/>
        <w:right w:val="none" w:sz="0" w:space="0" w:color="auto"/>
      </w:divBdr>
    </w:div>
    <w:div w:id="1168014784">
      <w:bodyDiv w:val="1"/>
      <w:marLeft w:val="0"/>
      <w:marRight w:val="0"/>
      <w:marTop w:val="0"/>
      <w:marBottom w:val="0"/>
      <w:divBdr>
        <w:top w:val="none" w:sz="0" w:space="0" w:color="auto"/>
        <w:left w:val="none" w:sz="0" w:space="0" w:color="auto"/>
        <w:bottom w:val="none" w:sz="0" w:space="0" w:color="auto"/>
        <w:right w:val="none" w:sz="0" w:space="0" w:color="auto"/>
      </w:divBdr>
    </w:div>
    <w:div w:id="1202979814">
      <w:bodyDiv w:val="1"/>
      <w:marLeft w:val="0"/>
      <w:marRight w:val="0"/>
      <w:marTop w:val="0"/>
      <w:marBottom w:val="0"/>
      <w:divBdr>
        <w:top w:val="none" w:sz="0" w:space="0" w:color="auto"/>
        <w:left w:val="none" w:sz="0" w:space="0" w:color="auto"/>
        <w:bottom w:val="none" w:sz="0" w:space="0" w:color="auto"/>
        <w:right w:val="none" w:sz="0" w:space="0" w:color="auto"/>
      </w:divBdr>
    </w:div>
    <w:div w:id="1222908004">
      <w:bodyDiv w:val="1"/>
      <w:marLeft w:val="0"/>
      <w:marRight w:val="0"/>
      <w:marTop w:val="0"/>
      <w:marBottom w:val="0"/>
      <w:divBdr>
        <w:top w:val="none" w:sz="0" w:space="0" w:color="auto"/>
        <w:left w:val="none" w:sz="0" w:space="0" w:color="auto"/>
        <w:bottom w:val="none" w:sz="0" w:space="0" w:color="auto"/>
        <w:right w:val="none" w:sz="0" w:space="0" w:color="auto"/>
      </w:divBdr>
    </w:div>
    <w:div w:id="1269971202">
      <w:bodyDiv w:val="1"/>
      <w:marLeft w:val="0"/>
      <w:marRight w:val="0"/>
      <w:marTop w:val="0"/>
      <w:marBottom w:val="0"/>
      <w:divBdr>
        <w:top w:val="none" w:sz="0" w:space="0" w:color="auto"/>
        <w:left w:val="none" w:sz="0" w:space="0" w:color="auto"/>
        <w:bottom w:val="none" w:sz="0" w:space="0" w:color="auto"/>
        <w:right w:val="none" w:sz="0" w:space="0" w:color="auto"/>
      </w:divBdr>
    </w:div>
    <w:div w:id="1296569563">
      <w:bodyDiv w:val="1"/>
      <w:marLeft w:val="0"/>
      <w:marRight w:val="0"/>
      <w:marTop w:val="0"/>
      <w:marBottom w:val="0"/>
      <w:divBdr>
        <w:top w:val="none" w:sz="0" w:space="0" w:color="auto"/>
        <w:left w:val="none" w:sz="0" w:space="0" w:color="auto"/>
        <w:bottom w:val="none" w:sz="0" w:space="0" w:color="auto"/>
        <w:right w:val="none" w:sz="0" w:space="0" w:color="auto"/>
      </w:divBdr>
    </w:div>
    <w:div w:id="1329945282">
      <w:bodyDiv w:val="1"/>
      <w:marLeft w:val="0"/>
      <w:marRight w:val="0"/>
      <w:marTop w:val="0"/>
      <w:marBottom w:val="0"/>
      <w:divBdr>
        <w:top w:val="none" w:sz="0" w:space="0" w:color="auto"/>
        <w:left w:val="none" w:sz="0" w:space="0" w:color="auto"/>
        <w:bottom w:val="none" w:sz="0" w:space="0" w:color="auto"/>
        <w:right w:val="none" w:sz="0" w:space="0" w:color="auto"/>
      </w:divBdr>
    </w:div>
    <w:div w:id="1339964430">
      <w:bodyDiv w:val="1"/>
      <w:marLeft w:val="0"/>
      <w:marRight w:val="0"/>
      <w:marTop w:val="0"/>
      <w:marBottom w:val="0"/>
      <w:divBdr>
        <w:top w:val="none" w:sz="0" w:space="0" w:color="auto"/>
        <w:left w:val="none" w:sz="0" w:space="0" w:color="auto"/>
        <w:bottom w:val="none" w:sz="0" w:space="0" w:color="auto"/>
        <w:right w:val="none" w:sz="0" w:space="0" w:color="auto"/>
      </w:divBdr>
    </w:div>
    <w:div w:id="1413773286">
      <w:bodyDiv w:val="1"/>
      <w:marLeft w:val="0"/>
      <w:marRight w:val="0"/>
      <w:marTop w:val="0"/>
      <w:marBottom w:val="0"/>
      <w:divBdr>
        <w:top w:val="none" w:sz="0" w:space="0" w:color="auto"/>
        <w:left w:val="none" w:sz="0" w:space="0" w:color="auto"/>
        <w:bottom w:val="none" w:sz="0" w:space="0" w:color="auto"/>
        <w:right w:val="none" w:sz="0" w:space="0" w:color="auto"/>
      </w:divBdr>
    </w:div>
    <w:div w:id="1434133872">
      <w:bodyDiv w:val="1"/>
      <w:marLeft w:val="0"/>
      <w:marRight w:val="0"/>
      <w:marTop w:val="0"/>
      <w:marBottom w:val="0"/>
      <w:divBdr>
        <w:top w:val="none" w:sz="0" w:space="0" w:color="auto"/>
        <w:left w:val="none" w:sz="0" w:space="0" w:color="auto"/>
        <w:bottom w:val="none" w:sz="0" w:space="0" w:color="auto"/>
        <w:right w:val="none" w:sz="0" w:space="0" w:color="auto"/>
      </w:divBdr>
    </w:div>
    <w:div w:id="1448427391">
      <w:bodyDiv w:val="1"/>
      <w:marLeft w:val="0"/>
      <w:marRight w:val="0"/>
      <w:marTop w:val="0"/>
      <w:marBottom w:val="0"/>
      <w:divBdr>
        <w:top w:val="none" w:sz="0" w:space="0" w:color="auto"/>
        <w:left w:val="none" w:sz="0" w:space="0" w:color="auto"/>
        <w:bottom w:val="none" w:sz="0" w:space="0" w:color="auto"/>
        <w:right w:val="none" w:sz="0" w:space="0" w:color="auto"/>
      </w:divBdr>
    </w:div>
    <w:div w:id="1474831533">
      <w:bodyDiv w:val="1"/>
      <w:marLeft w:val="0"/>
      <w:marRight w:val="0"/>
      <w:marTop w:val="0"/>
      <w:marBottom w:val="0"/>
      <w:divBdr>
        <w:top w:val="none" w:sz="0" w:space="0" w:color="auto"/>
        <w:left w:val="none" w:sz="0" w:space="0" w:color="auto"/>
        <w:bottom w:val="none" w:sz="0" w:space="0" w:color="auto"/>
        <w:right w:val="none" w:sz="0" w:space="0" w:color="auto"/>
      </w:divBdr>
    </w:div>
    <w:div w:id="1483809444">
      <w:bodyDiv w:val="1"/>
      <w:marLeft w:val="0"/>
      <w:marRight w:val="0"/>
      <w:marTop w:val="0"/>
      <w:marBottom w:val="0"/>
      <w:divBdr>
        <w:top w:val="none" w:sz="0" w:space="0" w:color="auto"/>
        <w:left w:val="none" w:sz="0" w:space="0" w:color="auto"/>
        <w:bottom w:val="none" w:sz="0" w:space="0" w:color="auto"/>
        <w:right w:val="none" w:sz="0" w:space="0" w:color="auto"/>
      </w:divBdr>
    </w:div>
    <w:div w:id="1545756393">
      <w:bodyDiv w:val="1"/>
      <w:marLeft w:val="0"/>
      <w:marRight w:val="0"/>
      <w:marTop w:val="0"/>
      <w:marBottom w:val="0"/>
      <w:divBdr>
        <w:top w:val="none" w:sz="0" w:space="0" w:color="auto"/>
        <w:left w:val="none" w:sz="0" w:space="0" w:color="auto"/>
        <w:bottom w:val="none" w:sz="0" w:space="0" w:color="auto"/>
        <w:right w:val="none" w:sz="0" w:space="0" w:color="auto"/>
      </w:divBdr>
    </w:div>
    <w:div w:id="1634824121">
      <w:bodyDiv w:val="1"/>
      <w:marLeft w:val="0"/>
      <w:marRight w:val="0"/>
      <w:marTop w:val="0"/>
      <w:marBottom w:val="0"/>
      <w:divBdr>
        <w:top w:val="none" w:sz="0" w:space="0" w:color="auto"/>
        <w:left w:val="none" w:sz="0" w:space="0" w:color="auto"/>
        <w:bottom w:val="none" w:sz="0" w:space="0" w:color="auto"/>
        <w:right w:val="none" w:sz="0" w:space="0" w:color="auto"/>
      </w:divBdr>
    </w:div>
    <w:div w:id="1723675424">
      <w:bodyDiv w:val="1"/>
      <w:marLeft w:val="0"/>
      <w:marRight w:val="0"/>
      <w:marTop w:val="0"/>
      <w:marBottom w:val="0"/>
      <w:divBdr>
        <w:top w:val="none" w:sz="0" w:space="0" w:color="auto"/>
        <w:left w:val="none" w:sz="0" w:space="0" w:color="auto"/>
        <w:bottom w:val="none" w:sz="0" w:space="0" w:color="auto"/>
        <w:right w:val="none" w:sz="0" w:space="0" w:color="auto"/>
      </w:divBdr>
    </w:div>
    <w:div w:id="1724790852">
      <w:bodyDiv w:val="1"/>
      <w:marLeft w:val="0"/>
      <w:marRight w:val="0"/>
      <w:marTop w:val="0"/>
      <w:marBottom w:val="0"/>
      <w:divBdr>
        <w:top w:val="none" w:sz="0" w:space="0" w:color="auto"/>
        <w:left w:val="none" w:sz="0" w:space="0" w:color="auto"/>
        <w:bottom w:val="none" w:sz="0" w:space="0" w:color="auto"/>
        <w:right w:val="none" w:sz="0" w:space="0" w:color="auto"/>
      </w:divBdr>
    </w:div>
    <w:div w:id="1759405492">
      <w:bodyDiv w:val="1"/>
      <w:marLeft w:val="0"/>
      <w:marRight w:val="0"/>
      <w:marTop w:val="0"/>
      <w:marBottom w:val="0"/>
      <w:divBdr>
        <w:top w:val="none" w:sz="0" w:space="0" w:color="auto"/>
        <w:left w:val="none" w:sz="0" w:space="0" w:color="auto"/>
        <w:bottom w:val="none" w:sz="0" w:space="0" w:color="auto"/>
        <w:right w:val="none" w:sz="0" w:space="0" w:color="auto"/>
      </w:divBdr>
    </w:div>
    <w:div w:id="1819028805">
      <w:bodyDiv w:val="1"/>
      <w:marLeft w:val="0"/>
      <w:marRight w:val="0"/>
      <w:marTop w:val="0"/>
      <w:marBottom w:val="0"/>
      <w:divBdr>
        <w:top w:val="none" w:sz="0" w:space="0" w:color="auto"/>
        <w:left w:val="none" w:sz="0" w:space="0" w:color="auto"/>
        <w:bottom w:val="none" w:sz="0" w:space="0" w:color="auto"/>
        <w:right w:val="none" w:sz="0" w:space="0" w:color="auto"/>
      </w:divBdr>
    </w:div>
    <w:div w:id="1823155014">
      <w:bodyDiv w:val="1"/>
      <w:marLeft w:val="0"/>
      <w:marRight w:val="0"/>
      <w:marTop w:val="0"/>
      <w:marBottom w:val="0"/>
      <w:divBdr>
        <w:top w:val="none" w:sz="0" w:space="0" w:color="auto"/>
        <w:left w:val="none" w:sz="0" w:space="0" w:color="auto"/>
        <w:bottom w:val="none" w:sz="0" w:space="0" w:color="auto"/>
        <w:right w:val="none" w:sz="0" w:space="0" w:color="auto"/>
      </w:divBdr>
    </w:div>
    <w:div w:id="1940676887">
      <w:bodyDiv w:val="1"/>
      <w:marLeft w:val="0"/>
      <w:marRight w:val="0"/>
      <w:marTop w:val="0"/>
      <w:marBottom w:val="0"/>
      <w:divBdr>
        <w:top w:val="none" w:sz="0" w:space="0" w:color="auto"/>
        <w:left w:val="none" w:sz="0" w:space="0" w:color="auto"/>
        <w:bottom w:val="none" w:sz="0" w:space="0" w:color="auto"/>
        <w:right w:val="none" w:sz="0" w:space="0" w:color="auto"/>
      </w:divBdr>
    </w:div>
    <w:div w:id="1989894229">
      <w:bodyDiv w:val="1"/>
      <w:marLeft w:val="0"/>
      <w:marRight w:val="0"/>
      <w:marTop w:val="0"/>
      <w:marBottom w:val="0"/>
      <w:divBdr>
        <w:top w:val="none" w:sz="0" w:space="0" w:color="auto"/>
        <w:left w:val="none" w:sz="0" w:space="0" w:color="auto"/>
        <w:bottom w:val="none" w:sz="0" w:space="0" w:color="auto"/>
        <w:right w:val="none" w:sz="0" w:space="0" w:color="auto"/>
      </w:divBdr>
    </w:div>
    <w:div w:id="2041008466">
      <w:bodyDiv w:val="1"/>
      <w:marLeft w:val="0"/>
      <w:marRight w:val="0"/>
      <w:marTop w:val="0"/>
      <w:marBottom w:val="0"/>
      <w:divBdr>
        <w:top w:val="none" w:sz="0" w:space="0" w:color="auto"/>
        <w:left w:val="none" w:sz="0" w:space="0" w:color="auto"/>
        <w:bottom w:val="none" w:sz="0" w:space="0" w:color="auto"/>
        <w:right w:val="none" w:sz="0" w:space="0" w:color="auto"/>
      </w:divBdr>
    </w:div>
    <w:div w:id="2052413838">
      <w:bodyDiv w:val="1"/>
      <w:marLeft w:val="0"/>
      <w:marRight w:val="0"/>
      <w:marTop w:val="0"/>
      <w:marBottom w:val="0"/>
      <w:divBdr>
        <w:top w:val="none" w:sz="0" w:space="0" w:color="auto"/>
        <w:left w:val="none" w:sz="0" w:space="0" w:color="auto"/>
        <w:bottom w:val="none" w:sz="0" w:space="0" w:color="auto"/>
        <w:right w:val="none" w:sz="0" w:space="0" w:color="auto"/>
      </w:divBdr>
    </w:div>
    <w:div w:id="2079207690">
      <w:bodyDiv w:val="1"/>
      <w:marLeft w:val="0"/>
      <w:marRight w:val="0"/>
      <w:marTop w:val="0"/>
      <w:marBottom w:val="0"/>
      <w:divBdr>
        <w:top w:val="none" w:sz="0" w:space="0" w:color="auto"/>
        <w:left w:val="none" w:sz="0" w:space="0" w:color="auto"/>
        <w:bottom w:val="none" w:sz="0" w:space="0" w:color="auto"/>
        <w:right w:val="none" w:sz="0" w:space="0" w:color="auto"/>
      </w:divBdr>
    </w:div>
    <w:div w:id="20911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eli/reg/2021/1060/oj/?locale=LV" TargetMode="External"/><Relationship Id="rId18" Type="http://schemas.openxmlformats.org/officeDocument/2006/relationships/hyperlink" Target="https://eur04.safelinks.protection.outlook.com/?url=https%3A%2F%2Flikumi.lv%2Fta%2Fid%2F351698-eiropas-savienibas-kohezijas-politikas-programmas-2021-2027-gadam-4-1-1-specifiska-atbalsta-merka-nodrosinat-vienlidzigu&amp;data=05%7C02%7Ckarina.visikovska%40cfla.gov.lv%7C953e7c8a05ab4a27084908dca574e1db%7Cc2d02fb61e644741866ff8f5689ca39a%7C0%7C0%7C638567168637489456%7CUnknown%7CTWFpbGZsb3d8eyJWIjoiMC4wLjAwMDAiLCJQIjoiV2luMzIiLCJBTiI6Ik1haWwiLCJXVCI6Mn0%3D%7C0%7C%7C%7C&amp;sdata=CsnMrAUFKGMTqT9cnN2B8te79oS3kWSwGD53zvwLbxA%3D&amp;reserved=0"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s://eur04.safelinks.protection.outlook.com/?url=https%3A%2F%2Fwww.vm.gov.lv%2Flv%2F4111-arstniecibas-iestazu-infrastrukturas-attistiba-2karta&amp;data=05%7C02%7Ckarina.visikovska%40cfla.gov.lv%7C953e7c8a05ab4a27084908dca574e1db%7Cc2d02fb61e644741866ff8f5689ca39a%7C0%7C0%7C638567168637507484%7CUnknown%7CTWFpbGZsb3d8eyJWIjoiMC4wLjAwMDAiLCJQIjoiV2luMzIiLCJBTiI6Ik1haWwiLCJXVCI6Mn0%3D%7C0%7C%7C%7C&amp;sdata=DhcM952Muuj%2FiC1OlFnTYPLGtdfa1%2FKM4cv%2Bg6Uqu%2FY%3D&amp;reserved=0"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eur04.safelinks.protection.outlook.com/?url=https%3A%2F%2Fwww.cfla.gov.lv%2Flv%2Fmvk-gnu-un-vvu&amp;data=05%7C02%7Ckarina.visikovska%40cfla.gov.lv%7Cd862e7609aa34dab503f08dca7153e6d%7Cc2d02fb61e644741866ff8f5689ca39a%7C0%7C0%7C638568956928937011%7CUnknown%7CTWFpbGZsb3d8eyJWIjoiMC4wLjAwMDAiLCJQIjoiV2luMzIiLCJBTiI6Ik1haWwiLCJXVCI6Mn0%3D%7C0%7C%7C%7C&amp;sdata=Nd8DcJ8y7Z1JOOkxvn3k6GluG4Ss2ZoShDXcmFH8%2Fkc%3D&amp;reserved=0" TargetMode="External"/><Relationship Id="rId17" Type="http://schemas.openxmlformats.org/officeDocument/2006/relationships/hyperlink" Target="https://eur04.safelinks.protection.outlook.com/?url=https%3A%2F%2Fwww.lm.gov.lv%2Flv%2Fvides-un-informacijas-pieklustamibas-pasnovertejums-saskana-ar-lbn-200-21&amp;data=05%7C02%7Ckarina.visikovska%40cfla.gov.lv%7C953e7c8a05ab4a27084908dca574e1db%7Cc2d02fb61e644741866ff8f5689ca39a%7C0%7C0%7C638567168637475818%7CUnknown%7CTWFpbGZsb3d8eyJWIjoiMC4wLjAwMDAiLCJQIjoiV2luMzIiLCJBTiI6Ik1haWwiLCJXVCI6Mn0%3D%7C0%7C%7C%7C&amp;sdata=b2nKBvf%2Fxl3nOKTwSjHD0u84ZgT8lg73Wt%2FKBoao50M%3D&amp;reserved=0" TargetMode="External"/><Relationship Id="rId25" Type="http://schemas.openxmlformats.org/officeDocument/2006/relationships/image" Target="cid:image005.png@01DAD6DF.342F7F30" TargetMode="External"/><Relationship Id="rId33" Type="http://schemas.openxmlformats.org/officeDocument/2006/relationships/hyperlink" Target="https://eur04.safelinks.protection.outlook.com/?url=https%3A%2F%2Fwww.cfla.gov.lv%2Flv%2F4-1-1-1-k-2&amp;data=05%7C02%7Ckarina.visikovska%40cfla.gov.lv%7C5f136e898cbe41933aa008dca170a37d%7Cc2d02fb61e644741866ff8f5689ca39a%7C0%7C0%7C638562752357188621%7CUnknown%7CTWFpbGZsb3d8eyJWIjoiMC4wLjAwMDAiLCJQIjoiV2luMzIiLCJBTiI6Ik1haWwiLCJXVCI6Mn0%3D%7C0%7C%7C%7C&amp;sdata=%2F7FbNgbQR3lMj4XStKKxxwNH5M%2BMNDGJClOHdmtQH6c%3D&amp;reserved=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komunikacijas-un-dizaina-vadlinijas" TargetMode="External"/><Relationship Id="rId20" Type="http://schemas.openxmlformats.org/officeDocument/2006/relationships/hyperlink" Target="https://eur04.safelinks.protection.outlook.com/?url=https%3A%2F%2Flikumi.lv%2Fta%2Fid%2F351698-eiropas-savienibas-kohezijas-politikas-programmas-2021-2027-gadam-4-1-1-specifiska-atbalsta-merka-nodrosinat-vienlidzigu&amp;data=05%7C02%7Ckarina.visikovska%40cfla.gov.lv%7C953e7c8a05ab4a27084908dca574e1db%7Cc2d02fb61e644741866ff8f5689ca39a%7C0%7C0%7C638567168637499703%7CUnknown%7CTWFpbGZsb3d8eyJWIjoiMC4wLjAwMDAiLCJQIjoiV2luMzIiLCJBTiI6Ik1haWwiLCJXVCI6Mn0%3D%7C0%7C%7C%7C&amp;sdata=PBPO6iHTsNbu%2BLFtzg0QLirQKI0pz%2BIDr8%2F59uFfvPM%3D&amp;reserved=0" TargetMode="External"/><Relationship Id="rId29" Type="http://schemas.openxmlformats.org/officeDocument/2006/relationships/hyperlink" Target="https://likumi.lv/ta/id/351698-eiropas-savienibas-kohezijas-politikas-programmas-2021-2027-gadam-4-1-1-specifiska-atbalsta-merka-nodrosinat-vienlidzig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1698-eiropas-savienibas-kohezijas-politikas-programmas-2021-2027-gadam-4-1-1-specifiska-atbalsta-merka-nodrosinat-vienlidzigu" TargetMode="External"/><Relationship Id="rId24" Type="http://schemas.openxmlformats.org/officeDocument/2006/relationships/image" Target="media/image2.png"/><Relationship Id="rId32" Type="http://schemas.openxmlformats.org/officeDocument/2006/relationships/image" Target="cid:image001.png@01DAD69E.BB8826D0" TargetMode="External"/><Relationship Id="rId37" Type="http://schemas.openxmlformats.org/officeDocument/2006/relationships/header" Target="header2.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cfla.gov.lv/lv/4-1-1-1-k-2" TargetMode="External"/><Relationship Id="rId23" Type="http://schemas.openxmlformats.org/officeDocument/2006/relationships/image" Target="cid:image003.png@01DAD6DF.342F7F30" TargetMode="External"/><Relationship Id="rId28" Type="http://schemas.openxmlformats.org/officeDocument/2006/relationships/hyperlink" Target="https://eur04.safelinks.protection.outlook.com/?url=https%3A%2F%2Fwww.cfla.gov.lv%2Flv%2F4-1-1-1-k-2&amp;data=05%7C02%7Ckarina.visikovska%40cfla.gov.lv%7Caef97376d81c4d0d8aa908dca1aabf58%7Cc2d02fb61e644741866ff8f5689ca39a%7C0%7C0%7C638563001990144900%7CUnknown%7CTWFpbGZsb3d8eyJWIjoiMC4wLjAwMDAiLCJQIjoiV2luMzIiLCJBTiI6Ik1haWwiLCJXVCI6Mn0%3D%7C0%7C%7C%7C&amp;sdata=KX29MYUULAKx9Klt4j7T8P4h1ky%2FE4HubZJPoBtbWqo%3D&amp;reserved=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04.safelinks.protection.outlook.com/?url=https%3A%2F%2Flikumi.lv%2Fta%2Fid%2F351698-eiropas-savienibas-kohezijas-politikas-programmas-2021-2027-gadam-4-1-1-specifiska-atbalsta-merka-nodrosinat-vienlidzigu&amp;data=05%7C02%7Ckarina.visikovska%40cfla.gov.lv%7C953e7c8a05ab4a27084908dca574e1db%7Cc2d02fb61e644741866ff8f5689ca39a%7C0%7C0%7C638567168637489456%7CUnknown%7CTWFpbGZsb3d8eyJWIjoiMC4wLjAwMDAiLCJQIjoiV2luMzIiLCJBTiI6Ik1haWwiLCJXVCI6Mn0%3D%7C0%7C%7C%7C&amp;sdata=CsnMrAUFKGMTqT9cnN2B8te79oS3kWSwGD53zvwLbxA%3D&amp;reserved=0"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21/1060/oj/?locale=LV" TargetMode="External"/><Relationship Id="rId22" Type="http://schemas.openxmlformats.org/officeDocument/2006/relationships/image" Target="media/image1.png"/><Relationship Id="rId27" Type="http://schemas.openxmlformats.org/officeDocument/2006/relationships/image" Target="cid:image009.png@01DAD6DF.342F7F30" TargetMode="External"/><Relationship Id="rId30" Type="http://schemas.openxmlformats.org/officeDocument/2006/relationships/hyperlink" Target="https://www.vm.gov.lv/lv/4111-arstniecibas-iestazu-infrastrukturas-attistiba-2karta" TargetMode="External"/><Relationship Id="rId35" Type="http://schemas.openxmlformats.org/officeDocument/2006/relationships/image" Target="cid:image003.png@01DAD372.7E261B5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ur04.safelinks.protection.outlook.com/?url=http%3A%2F%2Feur-lex.europa.eu%2Feli%2Freg%2F2002%2F178%2Foj%2F%3Flocale%3DLV&amp;data=05%7C02%7Ckarina.visikovska%40cfla.gov.lv%7C053c0f39e4024de96cd008dca5763ba3%7Cc2d02fb61e644741866ff8f5689ca39a%7C0%7C0%7C638567174450711078%7CUnknown%7CTWFpbGZsb3d8eyJWIjoiMC4wLjAwMDAiLCJQIjoiV2luMzIiLCJBTiI6Ik1haWwiLCJXVCI6Mn0%3D%7C0%7C%7C%7C&amp;sdata=D5eHQh%2F5LMOk3lMPTz1%2FdReKfB8zS7BJTfegy1agEbA%3D&amp;reserved=0" TargetMode="External"/><Relationship Id="rId2" Type="http://schemas.openxmlformats.org/officeDocument/2006/relationships/hyperlink" Target="https://eur04.safelinks.protection.outlook.com/?url=http%3A%2F%2Feur-lex.europa.eu%2Feli%2Fdir%2F2001%2F83%2Foj%2F%3Flocale%3DLV&amp;data=05%7C02%7Ckarina.visikovska%40cfla.gov.lv%7C053c0f39e4024de96cd008dca5763ba3%7Cc2d02fb61e644741866ff8f5689ca39a%7C0%7C0%7C638567174450698746%7CUnknown%7CTWFpbGZsb3d8eyJWIjoiMC4wLjAwMDAiLCJQIjoiV2luMzIiLCJBTiI6Ik1haWwiLCJXVCI6Mn0%3D%7C0%7C%7C%7C&amp;sdata=PSoRdnS7IOt%2FRcZijki3O9uXimjmPZVxtv9WzccS7w8%3D&amp;reserved=0" TargetMode="External"/><Relationship Id="rId1" Type="http://schemas.openxmlformats.org/officeDocument/2006/relationships/hyperlink" Target="https://www.esfondi.lv/vadlinijas" TargetMode="External"/><Relationship Id="rId5" Type="http://schemas.openxmlformats.org/officeDocument/2006/relationships/hyperlink" Target="https://eur04.safelinks.protection.outlook.com/?url=http%3A%2F%2Feur-lex.europa.eu%2Feli%2Fdir%2F1993%2F42%2Foj%2F%3Flocale%3DLV&amp;data=05%7C02%7Ckarina.visikovska%40cfla.gov.lv%7C053c0f39e4024de96cd008dca5763ba3%7Cc2d02fb61e644741866ff8f5689ca39a%7C0%7C0%7C638567174450724893%7CUnknown%7CTWFpbGZsb3d8eyJWIjoiMC4wLjAwMDAiLCJQIjoiV2luMzIiLCJBTiI6Ik1haWwiLCJXVCI6Mn0%3D%7C0%7C%7C%7C&amp;sdata=otc%2BvNc2%2BuahBmkZgRt7j3yNpxl4rL2g%2FmpHIk0asT4%3D&amp;reserved=0" TargetMode="External"/><Relationship Id="rId4" Type="http://schemas.openxmlformats.org/officeDocument/2006/relationships/hyperlink" Target="https://eur04.safelinks.protection.outlook.com/?url=http%3A%2F%2Feur-lex.europa.eu%2Feli%2Fdir%2F1990%2F385%2Foj%2F%3Flocale%3DLV&amp;data=05%7C02%7Ckarina.visikovska%40cfla.gov.lv%7C053c0f39e4024de96cd008dca5763ba3%7Cc2d02fb61e644741866ff8f5689ca39a%7C0%7C0%7C638567174450718480%7CUnknown%7CTWFpbGZsb3d8eyJWIjoiMC4wLjAwMDAiLCJQIjoiV2luMzIiLCJBTiI6Ik1haWwiLCJXVCI6Mn0%3D%7C0%7C%7C%7C&amp;sdata=5zngXT%2BF0x2JTV0OFOlwoTZwrVOBUiquKl248LGth5U%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B973892-BB2A-480D-8930-4BBD9B57C6F4}">
  <ds:schemaRefs>
    <ds:schemaRef ds:uri="http://schemas.openxmlformats.org/package/2006/metadata/core-properties"/>
    <ds:schemaRef ds:uri="42144e59-5907-413f-b624-803f3a022d9b"/>
    <ds:schemaRef ds:uri="http://purl.org/dc/terms/"/>
    <ds:schemaRef ds:uri="25a75a1d-8b78-49a6-8e4b-dbe94589a28d"/>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20BF69A-BDA8-4B08-A792-08F7F02F3DC5}">
  <ds:schemaRefs>
    <ds:schemaRef ds:uri="http://schemas.openxmlformats.org/officeDocument/2006/bibliography"/>
  </ds:schemaRefs>
</ds:datastoreItem>
</file>

<file path=customXml/itemProps4.xml><?xml version="1.0" encoding="utf-8"?>
<ds:datastoreItem xmlns:ds="http://schemas.openxmlformats.org/officeDocument/2006/customXml" ds:itemID="{9B13A2A1-F79C-4910-9C01-1B410E11F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18018</Words>
  <Characters>10271</Characters>
  <Application>Microsoft Office Word</Application>
  <DocSecurity>0</DocSecurity>
  <Lines>85</Lines>
  <Paragraphs>56</Paragraphs>
  <ScaleCrop>false</ScaleCrop>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Karina Visikovska</cp:lastModifiedBy>
  <cp:revision>2</cp:revision>
  <dcterms:created xsi:type="dcterms:W3CDTF">2024-07-23T11:28:00Z</dcterms:created>
  <dcterms:modified xsi:type="dcterms:W3CDTF">2024-07-23T11:28:00Z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