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951" w14:textId="77777777" w:rsidR="00E84983" w:rsidRPr="009F014F" w:rsidRDefault="00E84983" w:rsidP="00AB7D6E">
      <w:pPr>
        <w:spacing w:after="0" w:line="240" w:lineRule="auto"/>
        <w:jc w:val="center"/>
        <w:rPr>
          <w:rFonts w:ascii="Times New Roman" w:eastAsia="Times New Roman" w:hAnsi="Times New Roman" w:cs="Times New Roman"/>
          <w:b/>
          <w:bCs/>
          <w:sz w:val="24"/>
          <w:szCs w:val="24"/>
        </w:rPr>
      </w:pPr>
    </w:p>
    <w:p w14:paraId="5BC88DFD" w14:textId="5128FE97" w:rsidR="0032264F" w:rsidRPr="009F014F" w:rsidRDefault="655DEAB1" w:rsidP="00AB7D6E">
      <w:pPr>
        <w:spacing w:after="0" w:line="240" w:lineRule="auto"/>
        <w:jc w:val="center"/>
        <w:rPr>
          <w:rFonts w:ascii="Times New Roman" w:eastAsia="Times New Roman" w:hAnsi="Times New Roman" w:cs="Times New Roman"/>
          <w:b/>
          <w:bCs/>
          <w:sz w:val="24"/>
          <w:szCs w:val="24"/>
        </w:rPr>
      </w:pPr>
      <w:r w:rsidRPr="009F014F">
        <w:rPr>
          <w:rFonts w:ascii="Times New Roman" w:eastAsia="Times New Roman" w:hAnsi="Times New Roman" w:cs="Times New Roman"/>
          <w:b/>
          <w:bCs/>
          <w:sz w:val="24"/>
          <w:szCs w:val="24"/>
        </w:rPr>
        <w:t xml:space="preserve">Atbildes uz </w:t>
      </w:r>
      <w:r w:rsidR="3A9D785A" w:rsidRPr="009F014F">
        <w:rPr>
          <w:rFonts w:ascii="Times New Roman" w:eastAsia="Times New Roman" w:hAnsi="Times New Roman" w:cs="Times New Roman"/>
          <w:b/>
          <w:bCs/>
          <w:sz w:val="24"/>
          <w:szCs w:val="24"/>
        </w:rPr>
        <w:t xml:space="preserve">jautājumiem </w:t>
      </w:r>
      <w:r w:rsidRPr="009F014F">
        <w:rPr>
          <w:rFonts w:ascii="Times New Roman" w:eastAsia="Times New Roman" w:hAnsi="Times New Roman" w:cs="Times New Roman"/>
          <w:b/>
          <w:bCs/>
          <w:sz w:val="24"/>
          <w:szCs w:val="24"/>
        </w:rPr>
        <w:t>par</w:t>
      </w:r>
    </w:p>
    <w:p w14:paraId="07C36D15" w14:textId="76EDA0DA" w:rsidR="00E84983" w:rsidRPr="009F014F" w:rsidRDefault="00B04470" w:rsidP="00AB7D6E">
      <w:pPr>
        <w:spacing w:after="0" w:line="240" w:lineRule="auto"/>
        <w:jc w:val="center"/>
        <w:rPr>
          <w:rFonts w:ascii="Times New Roman" w:eastAsia="Times New Roman" w:hAnsi="Times New Roman" w:cs="Times New Roman"/>
          <w:b/>
          <w:bCs/>
          <w:sz w:val="24"/>
          <w:szCs w:val="24"/>
        </w:rPr>
      </w:pPr>
      <w:r w:rsidRPr="009F014F">
        <w:rPr>
          <w:rFonts w:ascii="Times New Roman" w:hAnsi="Times New Roman" w:cs="Times New Roman"/>
          <w:b/>
          <w:color w:val="000000" w:themeColor="text1"/>
          <w:sz w:val="24"/>
          <w:szCs w:val="24"/>
        </w:rPr>
        <w:t>1.2.1.2.i. 2.</w:t>
      </w:r>
      <w:r w:rsidR="00B45EC6" w:rsidRPr="009F014F">
        <w:rPr>
          <w:rFonts w:ascii="Times New Roman" w:hAnsi="Times New Roman" w:cs="Times New Roman"/>
          <w:b/>
          <w:color w:val="000000" w:themeColor="text1"/>
          <w:sz w:val="24"/>
          <w:szCs w:val="24"/>
        </w:rPr>
        <w:t> </w:t>
      </w:r>
      <w:r w:rsidRPr="009F014F">
        <w:rPr>
          <w:rFonts w:ascii="Times New Roman" w:hAnsi="Times New Roman" w:cs="Times New Roman"/>
          <w:b/>
          <w:color w:val="000000" w:themeColor="text1"/>
          <w:sz w:val="24"/>
          <w:szCs w:val="24"/>
        </w:rPr>
        <w:t>pasākumu “Inovatīvu produktu un tehnoloģiju izstrāde”</w:t>
      </w:r>
      <w:r w:rsidR="00B45EC6" w:rsidRPr="009F014F">
        <w:rPr>
          <w:rFonts w:ascii="Times New Roman" w:hAnsi="Times New Roman" w:cs="Times New Roman"/>
          <w:b/>
          <w:color w:val="000000" w:themeColor="text1"/>
          <w:sz w:val="24"/>
          <w:szCs w:val="24"/>
        </w:rPr>
        <w:t xml:space="preserve">, </w:t>
      </w:r>
      <w:r w:rsidR="00B45EC6" w:rsidRPr="009F014F">
        <w:rPr>
          <w:rFonts w:ascii="Times New Roman" w:hAnsi="Times New Roman" w:cs="Times New Roman"/>
          <w:b/>
          <w:sz w:val="24"/>
          <w:szCs w:val="24"/>
        </w:rPr>
        <w:t xml:space="preserve">2.2.1.3.i. investīciju  “Atbalsts jaunu produktu un pakalpojumu ieviešanai uzņēmējdarbībā” </w:t>
      </w:r>
      <w:r w:rsidRPr="009F014F">
        <w:rPr>
          <w:rFonts w:ascii="Times New Roman" w:hAnsi="Times New Roman" w:cs="Times New Roman"/>
          <w:b/>
          <w:color w:val="000000" w:themeColor="text1"/>
          <w:sz w:val="24"/>
          <w:szCs w:val="24"/>
        </w:rPr>
        <w:t xml:space="preserve">un </w:t>
      </w:r>
      <w:r w:rsidR="00B45EC6" w:rsidRPr="009F014F">
        <w:rPr>
          <w:rFonts w:ascii="Times New Roman" w:eastAsia="Times New Roman" w:hAnsi="Times New Roman" w:cs="Times New Roman"/>
          <w:b/>
          <w:bCs/>
          <w:color w:val="000000"/>
          <w:sz w:val="24"/>
          <w:szCs w:val="24"/>
        </w:rPr>
        <w:t>5.1.1.2.i. investīcijas “Atbalsta instruments pētniecībai un internacionalizācijai” otro kārtu</w:t>
      </w:r>
    </w:p>
    <w:p w14:paraId="25F5C679" w14:textId="2E0E280A" w:rsidR="0032264F" w:rsidRPr="009F014F" w:rsidRDefault="0032264F" w:rsidP="00AB7D6E">
      <w:pPr>
        <w:spacing w:after="0" w:line="240" w:lineRule="auto"/>
        <w:jc w:val="both"/>
        <w:rPr>
          <w:rFonts w:ascii="Times New Roman" w:hAnsi="Times New Roman" w:cs="Times New Roman"/>
          <w:b/>
          <w:bCs/>
          <w:color w:val="2F5496" w:themeColor="accent1" w:themeShade="BF"/>
          <w:sz w:val="24"/>
          <w:szCs w:val="24"/>
          <w:u w:val="single"/>
        </w:rPr>
      </w:pPr>
      <w:r w:rsidRPr="009F014F">
        <w:rPr>
          <w:rFonts w:ascii="Times New Roman" w:eastAsia="Times New Roman" w:hAnsi="Times New Roman" w:cs="Times New Roman"/>
          <w:b/>
          <w:bCs/>
          <w:color w:val="2F5496" w:themeColor="accent1" w:themeShade="BF"/>
          <w:sz w:val="24"/>
          <w:szCs w:val="24"/>
          <w:u w:val="single"/>
        </w:rPr>
        <w:t>Izmantotie saīsinājumi:</w:t>
      </w:r>
    </w:p>
    <w:p w14:paraId="60CBE287" w14:textId="41885999" w:rsidR="0032264F" w:rsidRPr="009F014F" w:rsidRDefault="00FF5267" w:rsidP="00AB7D6E">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b/>
          <w:bCs/>
          <w:sz w:val="24"/>
          <w:szCs w:val="24"/>
        </w:rPr>
        <w:t>CFLA</w:t>
      </w:r>
      <w:r w:rsidR="0032264F" w:rsidRPr="009F014F">
        <w:rPr>
          <w:rFonts w:ascii="Times New Roman" w:eastAsia="Times New Roman" w:hAnsi="Times New Roman" w:cs="Times New Roman"/>
          <w:sz w:val="24"/>
          <w:szCs w:val="24"/>
        </w:rPr>
        <w:t xml:space="preserve"> – Centrālā finanšu un līgumu aģentūra</w:t>
      </w:r>
    </w:p>
    <w:p w14:paraId="08BE3554" w14:textId="16A793C2" w:rsidR="0032264F" w:rsidRPr="009F014F" w:rsidRDefault="0032264F" w:rsidP="00287F13">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b/>
          <w:bCs/>
          <w:sz w:val="24"/>
          <w:szCs w:val="24"/>
        </w:rPr>
        <w:t>Atlases nolikums</w:t>
      </w:r>
      <w:r w:rsidRPr="009F014F">
        <w:rPr>
          <w:rFonts w:ascii="Times New Roman" w:eastAsia="Times New Roman" w:hAnsi="Times New Roman" w:cs="Times New Roman"/>
          <w:sz w:val="24"/>
          <w:szCs w:val="24"/>
        </w:rPr>
        <w:t xml:space="preserve"> – </w:t>
      </w:r>
      <w:r w:rsidR="00287F13" w:rsidRPr="009F014F">
        <w:rPr>
          <w:rFonts w:ascii="Times New Roman" w:eastAsia="Times New Roman" w:hAnsi="Times New Roman" w:cs="Times New Roman"/>
          <w:sz w:val="24"/>
          <w:szCs w:val="24"/>
        </w:rPr>
        <w:t xml:space="preserve">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proofErr w:type="spellStart"/>
      <w:r w:rsidR="00287F13" w:rsidRPr="009F014F">
        <w:rPr>
          <w:rFonts w:ascii="Times New Roman" w:eastAsia="Times New Roman" w:hAnsi="Times New Roman" w:cs="Times New Roman"/>
          <w:sz w:val="24"/>
          <w:szCs w:val="24"/>
        </w:rPr>
        <w:t>bioekonomikā</w:t>
      </w:r>
      <w:proofErr w:type="spellEnd"/>
      <w:r w:rsidR="00287F13" w:rsidRPr="009F014F">
        <w:rPr>
          <w:rFonts w:ascii="Times New Roman" w:eastAsia="Times New Roman" w:hAnsi="Times New Roman" w:cs="Times New Roman"/>
          <w:sz w:val="24"/>
          <w:szCs w:val="24"/>
        </w:rPr>
        <w:t>))” 1.2.1.2.i. 2. pasākuma “Inovatīvu produktu un tehnoloģiju izstrāde”  projektu iesniegumu atlases nolikums</w:t>
      </w:r>
      <w:r w:rsidR="00D836FB" w:rsidRPr="009F014F">
        <w:rPr>
          <w:rFonts w:ascii="Times New Roman" w:eastAsia="Times New Roman" w:hAnsi="Times New Roman" w:cs="Times New Roman"/>
          <w:sz w:val="24"/>
          <w:szCs w:val="24"/>
        </w:rPr>
        <w:t xml:space="preserve">, </w:t>
      </w:r>
      <w:r w:rsidR="00AA0659" w:rsidRPr="009F014F">
        <w:rPr>
          <w:rFonts w:ascii="Times New Roman" w:eastAsia="Times New Roman" w:hAnsi="Times New Roman" w:cs="Times New Roman"/>
          <w:sz w:val="24"/>
          <w:szCs w:val="24"/>
        </w:rPr>
        <w:t xml:space="preserve">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projektu iesniegumu atlases nolikums un </w:t>
      </w:r>
      <w:r w:rsidR="007D36F0" w:rsidRPr="009F014F">
        <w:rPr>
          <w:rFonts w:ascii="Times New Roman" w:eastAsia="Times New Roman" w:hAnsi="Times New Roman" w:cs="Times New Roman"/>
          <w:sz w:val="24"/>
          <w:szCs w:val="24"/>
        </w:rPr>
        <w:t>2.2. reformu un investīciju virziena “Uzņēmumu digitālā transformācija un inovācijas” 2.2.1.3.i. investīcijas  “Atbalsts jaunu produktu un pakalpojumu ieviešanai uzņēmējdarbībā” projektu iesniegumu atlases nolikums</w:t>
      </w:r>
    </w:p>
    <w:p w14:paraId="04109AA8" w14:textId="5BA902E9" w:rsidR="0032264F" w:rsidRPr="009F014F" w:rsidRDefault="0032264F" w:rsidP="00AB7D6E">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b/>
          <w:bCs/>
          <w:sz w:val="24"/>
          <w:szCs w:val="24"/>
        </w:rPr>
        <w:t>MK noteikumi</w:t>
      </w:r>
      <w:r w:rsidRPr="009F014F">
        <w:rPr>
          <w:rFonts w:ascii="Times New Roman" w:eastAsia="Times New Roman" w:hAnsi="Times New Roman" w:cs="Times New Roman"/>
          <w:sz w:val="24"/>
          <w:szCs w:val="24"/>
        </w:rPr>
        <w:t xml:space="preserve"> – </w:t>
      </w:r>
      <w:r w:rsidR="00195E8F" w:rsidRPr="009F014F">
        <w:rPr>
          <w:rFonts w:ascii="Times New Roman" w:eastAsia="Times New Roman" w:hAnsi="Times New Roman" w:cs="Times New Roman"/>
          <w:sz w:val="24"/>
          <w:szCs w:val="24"/>
        </w:rPr>
        <w:t xml:space="preserve">Ministru kabineta 2024. gada 9. janvāra noteikumi Nr. 33 “Latvijas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proofErr w:type="spellStart"/>
      <w:r w:rsidR="00195E8F" w:rsidRPr="009F014F">
        <w:rPr>
          <w:rFonts w:ascii="Times New Roman" w:eastAsia="Times New Roman" w:hAnsi="Times New Roman" w:cs="Times New Roman"/>
          <w:sz w:val="24"/>
          <w:szCs w:val="24"/>
        </w:rPr>
        <w:t>bioekonomikā</w:t>
      </w:r>
      <w:proofErr w:type="spellEnd"/>
      <w:r w:rsidR="00195E8F" w:rsidRPr="009F014F">
        <w:rPr>
          <w:rFonts w:ascii="Times New Roman" w:eastAsia="Times New Roman" w:hAnsi="Times New Roman" w:cs="Times New Roman"/>
          <w:sz w:val="24"/>
          <w:szCs w:val="24"/>
        </w:rPr>
        <w:t xml:space="preserve">))” 1.2.1.2.i. 2. pasākuma “Inovatīvu produktu un tehnoloģiju izstrāde” īstenošanas noteikumi, Ministru kabineta 2024. gada 9. janvāra noteikumi Nr. 32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 un </w:t>
      </w:r>
      <w:r w:rsidR="004F108E" w:rsidRPr="009F014F">
        <w:rPr>
          <w:rFonts w:ascii="Times New Roman" w:eastAsia="Times New Roman" w:hAnsi="Times New Roman" w:cs="Times New Roman"/>
          <w:sz w:val="24"/>
          <w:szCs w:val="24"/>
        </w:rPr>
        <w:t>Ministru kabineta 2024. gada 9. janvāra noteikumi Nr. 34 “Latvijas Atveseļošanas un noturības mehānisma plāna 2.2. reformu un investīciju virziena “Uzņēmumu digitālā transformācija un inovācijas” 2.2.1.3.i. investīcijas “Atbalsts jaunu produktu un pakalpojumu ieviešanai uzņēmējdarbībā” īstenošanas noteikumi”</w:t>
      </w:r>
    </w:p>
    <w:p w14:paraId="370FCA26" w14:textId="7EFACFB7" w:rsidR="004014D1" w:rsidRPr="009F014F" w:rsidRDefault="004F108E" w:rsidP="00AB7D6E">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b/>
          <w:bCs/>
          <w:sz w:val="24"/>
          <w:szCs w:val="24"/>
        </w:rPr>
        <w:t xml:space="preserve">Pētniecības programmas – </w:t>
      </w:r>
      <w:r w:rsidRPr="009F014F">
        <w:rPr>
          <w:rFonts w:ascii="Times New Roman" w:eastAsia="Times New Roman" w:hAnsi="Times New Roman" w:cs="Times New Roman"/>
          <w:sz w:val="24"/>
          <w:szCs w:val="24"/>
        </w:rPr>
        <w:t xml:space="preserve">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proofErr w:type="spellStart"/>
      <w:r w:rsidRPr="009F014F">
        <w:rPr>
          <w:rFonts w:ascii="Times New Roman" w:eastAsia="Times New Roman" w:hAnsi="Times New Roman" w:cs="Times New Roman"/>
          <w:sz w:val="24"/>
          <w:szCs w:val="24"/>
        </w:rPr>
        <w:t>bioekonomikā</w:t>
      </w:r>
      <w:proofErr w:type="spellEnd"/>
      <w:r w:rsidRPr="009F014F">
        <w:rPr>
          <w:rFonts w:ascii="Times New Roman" w:eastAsia="Times New Roman" w:hAnsi="Times New Roman" w:cs="Times New Roman"/>
          <w:sz w:val="24"/>
          <w:szCs w:val="24"/>
        </w:rPr>
        <w:t>))” 1.2.1.2.i. 2. pasākums “Inovatīvu produktu un tehnoloģiju izstrāde”,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 un 2.2. reformu un investīciju virziena “Uzņēmumu digitālā transformācija un inovācijas” 2.2.1.3.i. investīcijas  “Atbalsts jaunu produktu un pakalpojumu ieviešanai uzņēmējdarbībā”</w:t>
      </w:r>
    </w:p>
    <w:p w14:paraId="3E284961" w14:textId="77777777" w:rsidR="00FF5267" w:rsidRPr="009F014F" w:rsidRDefault="00FF5267" w:rsidP="00FF5267">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b/>
          <w:bCs/>
          <w:sz w:val="24"/>
          <w:szCs w:val="24"/>
        </w:rPr>
        <w:t>RIS3</w:t>
      </w:r>
      <w:r w:rsidRPr="009F014F">
        <w:rPr>
          <w:rFonts w:ascii="Times New Roman" w:eastAsia="Times New Roman" w:hAnsi="Times New Roman" w:cs="Times New Roman"/>
          <w:sz w:val="24"/>
          <w:szCs w:val="24"/>
        </w:rPr>
        <w:t xml:space="preserve"> - Viedās specializācijas stratēģija</w:t>
      </w:r>
    </w:p>
    <w:p w14:paraId="50EF32CE" w14:textId="772DCD5B" w:rsidR="009C1230" w:rsidRPr="009F014F" w:rsidRDefault="009C01DB" w:rsidP="00AB7D6E">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b/>
          <w:bCs/>
          <w:sz w:val="24"/>
          <w:szCs w:val="24"/>
        </w:rPr>
        <w:t>PVN</w:t>
      </w:r>
      <w:r w:rsidRPr="009F014F">
        <w:rPr>
          <w:rFonts w:ascii="Times New Roman" w:eastAsia="Times New Roman" w:hAnsi="Times New Roman" w:cs="Times New Roman"/>
          <w:sz w:val="24"/>
          <w:szCs w:val="24"/>
        </w:rPr>
        <w:t xml:space="preserve"> – pievienotās vērtības nodoklis</w:t>
      </w:r>
    </w:p>
    <w:p w14:paraId="195BDD99" w14:textId="2C7FECCF" w:rsidR="009C01DB" w:rsidRPr="009F014F" w:rsidRDefault="009C01DB" w:rsidP="00AB7D6E">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b/>
          <w:bCs/>
          <w:sz w:val="24"/>
          <w:szCs w:val="24"/>
        </w:rPr>
        <w:t>VID</w:t>
      </w:r>
      <w:r w:rsidRPr="009F014F">
        <w:rPr>
          <w:rFonts w:ascii="Times New Roman" w:eastAsia="Times New Roman" w:hAnsi="Times New Roman" w:cs="Times New Roman"/>
          <w:sz w:val="24"/>
          <w:szCs w:val="24"/>
        </w:rPr>
        <w:t xml:space="preserve"> – Valsts ieņēmumu dienests</w:t>
      </w:r>
    </w:p>
    <w:p w14:paraId="4E677476" w14:textId="77777777" w:rsidR="004F108E" w:rsidRPr="009F014F" w:rsidRDefault="004F108E" w:rsidP="00AB7D6E">
      <w:pPr>
        <w:spacing w:after="0" w:line="240" w:lineRule="auto"/>
        <w:jc w:val="both"/>
        <w:rPr>
          <w:rFonts w:ascii="Times New Roman" w:eastAsia="Times New Roman" w:hAnsi="Times New Roman" w:cs="Times New Roman"/>
          <w:sz w:val="24"/>
          <w:szCs w:val="24"/>
        </w:rPr>
      </w:pPr>
    </w:p>
    <w:sdt>
      <w:sdtPr>
        <w:rPr>
          <w:rFonts w:eastAsiaTheme="minorHAnsi" w:cs="Times New Roman"/>
          <w:b w:val="0"/>
          <w:sz w:val="24"/>
          <w:szCs w:val="24"/>
        </w:rPr>
        <w:id w:val="1872647678"/>
        <w:docPartObj>
          <w:docPartGallery w:val="Table of Contents"/>
          <w:docPartUnique/>
        </w:docPartObj>
      </w:sdtPr>
      <w:sdtEndPr>
        <w:rPr>
          <w:bCs/>
        </w:rPr>
      </w:sdtEndPr>
      <w:sdtContent>
        <w:p w14:paraId="73CAD5BD" w14:textId="77777777" w:rsidR="004014D1" w:rsidRPr="009F014F" w:rsidRDefault="004014D1" w:rsidP="00AB7D6E">
          <w:pPr>
            <w:pStyle w:val="TOCHeading"/>
            <w:spacing w:before="0" w:after="0" w:line="240" w:lineRule="auto"/>
            <w:jc w:val="left"/>
            <w:rPr>
              <w:rFonts w:eastAsia="Times New Roman" w:cs="Times New Roman"/>
              <w:b w:val="0"/>
              <w:bCs/>
              <w:color w:val="2F5496" w:themeColor="accent1" w:themeShade="BF"/>
              <w:sz w:val="24"/>
              <w:szCs w:val="24"/>
              <w:u w:val="single"/>
            </w:rPr>
          </w:pPr>
          <w:r w:rsidRPr="009F014F">
            <w:rPr>
              <w:rFonts w:eastAsia="Times New Roman" w:cs="Times New Roman"/>
              <w:bCs/>
              <w:color w:val="2F5496" w:themeColor="accent1" w:themeShade="BF"/>
              <w:sz w:val="24"/>
              <w:szCs w:val="24"/>
              <w:u w:val="single"/>
            </w:rPr>
            <w:t>Saturs</w:t>
          </w:r>
        </w:p>
        <w:p w14:paraId="50E2F793" w14:textId="13F4A28A" w:rsidR="000A3B3D" w:rsidRPr="009F014F" w:rsidRDefault="004014D1" w:rsidP="00AB7D6E">
          <w:pPr>
            <w:pStyle w:val="TOC1"/>
            <w:tabs>
              <w:tab w:val="left" w:pos="440"/>
              <w:tab w:val="right" w:leader="dot" w:pos="15388"/>
            </w:tabs>
            <w:spacing w:after="0" w:line="240" w:lineRule="auto"/>
            <w:rPr>
              <w:rFonts w:ascii="Times New Roman" w:eastAsiaTheme="minorEastAsia" w:hAnsi="Times New Roman" w:cs="Times New Roman"/>
              <w:noProof/>
              <w:sz w:val="24"/>
              <w:szCs w:val="24"/>
              <w:lang w:eastAsia="lv-LV"/>
            </w:rPr>
          </w:pPr>
          <w:r w:rsidRPr="009F014F">
            <w:rPr>
              <w:rFonts w:ascii="Times New Roman" w:hAnsi="Times New Roman" w:cs="Times New Roman"/>
              <w:sz w:val="24"/>
              <w:szCs w:val="24"/>
            </w:rPr>
            <w:fldChar w:fldCharType="begin"/>
          </w:r>
          <w:r w:rsidRPr="009F014F">
            <w:rPr>
              <w:rFonts w:ascii="Times New Roman" w:hAnsi="Times New Roman" w:cs="Times New Roman"/>
              <w:sz w:val="24"/>
              <w:szCs w:val="24"/>
            </w:rPr>
            <w:instrText xml:space="preserve"> TOC \o "1-3" \h \z \u </w:instrText>
          </w:r>
          <w:r w:rsidRPr="009F014F">
            <w:rPr>
              <w:rFonts w:ascii="Times New Roman" w:hAnsi="Times New Roman" w:cs="Times New Roman"/>
              <w:sz w:val="24"/>
              <w:szCs w:val="24"/>
            </w:rPr>
            <w:fldChar w:fldCharType="separate"/>
          </w:r>
          <w:hyperlink w:anchor="_Toc127803610" w:history="1">
            <w:r w:rsidR="000A3B3D" w:rsidRPr="009F014F">
              <w:rPr>
                <w:rStyle w:val="Hyperlink"/>
                <w:rFonts w:ascii="Times New Roman" w:hAnsi="Times New Roman" w:cs="Times New Roman"/>
                <w:bCs/>
                <w:noProof/>
                <w:color w:val="auto"/>
                <w:sz w:val="24"/>
                <w:szCs w:val="24"/>
              </w:rPr>
              <w:t>1.</w:t>
            </w:r>
            <w:r w:rsidR="000A3B3D" w:rsidRPr="009F014F">
              <w:rPr>
                <w:rFonts w:ascii="Times New Roman" w:eastAsiaTheme="minorEastAsia" w:hAnsi="Times New Roman" w:cs="Times New Roman"/>
                <w:noProof/>
                <w:sz w:val="24"/>
                <w:szCs w:val="24"/>
                <w:lang w:eastAsia="lv-LV"/>
              </w:rPr>
              <w:tab/>
            </w:r>
            <w:r w:rsidR="000A3B3D" w:rsidRPr="009F014F">
              <w:rPr>
                <w:rStyle w:val="Hyperlink"/>
                <w:rFonts w:ascii="Times New Roman" w:hAnsi="Times New Roman" w:cs="Times New Roman"/>
                <w:noProof/>
                <w:color w:val="auto"/>
                <w:sz w:val="24"/>
                <w:szCs w:val="24"/>
              </w:rPr>
              <w:t>Vispārīgi jautājumi</w:t>
            </w:r>
            <w:r w:rsidR="000A3B3D" w:rsidRPr="009F014F">
              <w:rPr>
                <w:rFonts w:ascii="Times New Roman" w:hAnsi="Times New Roman" w:cs="Times New Roman"/>
                <w:noProof/>
                <w:webHidden/>
                <w:sz w:val="24"/>
                <w:szCs w:val="24"/>
              </w:rPr>
              <w:tab/>
            </w:r>
            <w:r w:rsidR="000A3B3D" w:rsidRPr="009F014F">
              <w:rPr>
                <w:rFonts w:ascii="Times New Roman" w:hAnsi="Times New Roman" w:cs="Times New Roman"/>
                <w:noProof/>
                <w:webHidden/>
                <w:sz w:val="24"/>
                <w:szCs w:val="24"/>
              </w:rPr>
              <w:fldChar w:fldCharType="begin"/>
            </w:r>
            <w:r w:rsidR="000A3B3D" w:rsidRPr="009F014F">
              <w:rPr>
                <w:rFonts w:ascii="Times New Roman" w:hAnsi="Times New Roman" w:cs="Times New Roman"/>
                <w:noProof/>
                <w:webHidden/>
                <w:sz w:val="24"/>
                <w:szCs w:val="24"/>
              </w:rPr>
              <w:instrText xml:space="preserve"> PAGEREF _Toc127803610 \h </w:instrText>
            </w:r>
            <w:r w:rsidR="000A3B3D" w:rsidRPr="009F014F">
              <w:rPr>
                <w:rFonts w:ascii="Times New Roman" w:hAnsi="Times New Roman" w:cs="Times New Roman"/>
                <w:noProof/>
                <w:webHidden/>
                <w:sz w:val="24"/>
                <w:szCs w:val="24"/>
              </w:rPr>
            </w:r>
            <w:r w:rsidR="000A3B3D" w:rsidRPr="009F014F">
              <w:rPr>
                <w:rFonts w:ascii="Times New Roman" w:hAnsi="Times New Roman" w:cs="Times New Roman"/>
                <w:noProof/>
                <w:webHidden/>
                <w:sz w:val="24"/>
                <w:szCs w:val="24"/>
              </w:rPr>
              <w:fldChar w:fldCharType="separate"/>
            </w:r>
            <w:r w:rsidR="00F86008" w:rsidRPr="009F014F">
              <w:rPr>
                <w:rFonts w:ascii="Times New Roman" w:hAnsi="Times New Roman" w:cs="Times New Roman"/>
                <w:noProof/>
                <w:webHidden/>
                <w:sz w:val="24"/>
                <w:szCs w:val="24"/>
              </w:rPr>
              <w:t>2</w:t>
            </w:r>
            <w:r w:rsidR="000A3B3D" w:rsidRPr="009F014F">
              <w:rPr>
                <w:rFonts w:ascii="Times New Roman" w:hAnsi="Times New Roman" w:cs="Times New Roman"/>
                <w:noProof/>
                <w:webHidden/>
                <w:sz w:val="24"/>
                <w:szCs w:val="24"/>
              </w:rPr>
              <w:fldChar w:fldCharType="end"/>
            </w:r>
          </w:hyperlink>
        </w:p>
        <w:p w14:paraId="2E409A38" w14:textId="1D87B3E1" w:rsidR="000A3B3D" w:rsidRPr="009F014F" w:rsidRDefault="00842016" w:rsidP="00AB7D6E">
          <w:pPr>
            <w:pStyle w:val="TOC1"/>
            <w:tabs>
              <w:tab w:val="left" w:pos="440"/>
              <w:tab w:val="right" w:leader="dot" w:pos="15388"/>
            </w:tabs>
            <w:spacing w:after="0" w:line="240" w:lineRule="auto"/>
            <w:rPr>
              <w:rFonts w:ascii="Times New Roman" w:eastAsiaTheme="minorEastAsia" w:hAnsi="Times New Roman" w:cs="Times New Roman"/>
              <w:noProof/>
              <w:sz w:val="24"/>
              <w:szCs w:val="24"/>
              <w:lang w:eastAsia="lv-LV"/>
            </w:rPr>
          </w:pPr>
          <w:hyperlink w:anchor="_Toc127803613" w:history="1">
            <w:r w:rsidR="000A3B3D" w:rsidRPr="009F014F">
              <w:rPr>
                <w:rStyle w:val="Hyperlink"/>
                <w:rFonts w:ascii="Times New Roman" w:hAnsi="Times New Roman" w:cs="Times New Roman"/>
                <w:bCs/>
                <w:noProof/>
                <w:color w:val="auto"/>
                <w:sz w:val="24"/>
                <w:szCs w:val="24"/>
              </w:rPr>
              <w:t>2.</w:t>
            </w:r>
            <w:r w:rsidR="000A3B3D" w:rsidRPr="009F014F">
              <w:rPr>
                <w:rFonts w:ascii="Times New Roman" w:eastAsiaTheme="minorEastAsia" w:hAnsi="Times New Roman" w:cs="Times New Roman"/>
                <w:noProof/>
                <w:sz w:val="24"/>
                <w:szCs w:val="24"/>
                <w:lang w:eastAsia="lv-LV"/>
              </w:rPr>
              <w:tab/>
            </w:r>
            <w:r w:rsidR="000A3B3D" w:rsidRPr="009F014F">
              <w:rPr>
                <w:rStyle w:val="Hyperlink"/>
                <w:rFonts w:ascii="Times New Roman" w:hAnsi="Times New Roman" w:cs="Times New Roman"/>
                <w:noProof/>
                <w:color w:val="auto"/>
                <w:sz w:val="24"/>
                <w:szCs w:val="24"/>
              </w:rPr>
              <w:t>Īstenošanas nosacījumi</w:t>
            </w:r>
            <w:r w:rsidR="000A3B3D" w:rsidRPr="009F014F">
              <w:rPr>
                <w:rFonts w:ascii="Times New Roman" w:hAnsi="Times New Roman" w:cs="Times New Roman"/>
                <w:noProof/>
                <w:webHidden/>
                <w:sz w:val="24"/>
                <w:szCs w:val="24"/>
              </w:rPr>
              <w:tab/>
            </w:r>
            <w:r w:rsidR="000A3B3D" w:rsidRPr="009F014F">
              <w:rPr>
                <w:rFonts w:ascii="Times New Roman" w:hAnsi="Times New Roman" w:cs="Times New Roman"/>
                <w:noProof/>
                <w:webHidden/>
                <w:sz w:val="24"/>
                <w:szCs w:val="24"/>
              </w:rPr>
              <w:fldChar w:fldCharType="begin"/>
            </w:r>
            <w:r w:rsidR="000A3B3D" w:rsidRPr="009F014F">
              <w:rPr>
                <w:rFonts w:ascii="Times New Roman" w:hAnsi="Times New Roman" w:cs="Times New Roman"/>
                <w:noProof/>
                <w:webHidden/>
                <w:sz w:val="24"/>
                <w:szCs w:val="24"/>
              </w:rPr>
              <w:instrText xml:space="preserve"> PAGEREF _Toc127803613 \h </w:instrText>
            </w:r>
            <w:r w:rsidR="000A3B3D" w:rsidRPr="009F014F">
              <w:rPr>
                <w:rFonts w:ascii="Times New Roman" w:hAnsi="Times New Roman" w:cs="Times New Roman"/>
                <w:noProof/>
                <w:webHidden/>
                <w:sz w:val="24"/>
                <w:szCs w:val="24"/>
              </w:rPr>
            </w:r>
            <w:r w:rsidR="000A3B3D" w:rsidRPr="009F014F">
              <w:rPr>
                <w:rFonts w:ascii="Times New Roman" w:hAnsi="Times New Roman" w:cs="Times New Roman"/>
                <w:noProof/>
                <w:webHidden/>
                <w:sz w:val="24"/>
                <w:szCs w:val="24"/>
              </w:rPr>
              <w:fldChar w:fldCharType="separate"/>
            </w:r>
            <w:r w:rsidR="00F86008" w:rsidRPr="009F014F">
              <w:rPr>
                <w:rFonts w:ascii="Times New Roman" w:hAnsi="Times New Roman" w:cs="Times New Roman"/>
                <w:noProof/>
                <w:webHidden/>
                <w:sz w:val="24"/>
                <w:szCs w:val="24"/>
              </w:rPr>
              <w:t>4</w:t>
            </w:r>
            <w:r w:rsidR="000A3B3D" w:rsidRPr="009F014F">
              <w:rPr>
                <w:rFonts w:ascii="Times New Roman" w:hAnsi="Times New Roman" w:cs="Times New Roman"/>
                <w:noProof/>
                <w:webHidden/>
                <w:sz w:val="24"/>
                <w:szCs w:val="24"/>
              </w:rPr>
              <w:fldChar w:fldCharType="end"/>
            </w:r>
          </w:hyperlink>
        </w:p>
        <w:p w14:paraId="7F692BAF" w14:textId="4E914B18" w:rsidR="000A3B3D" w:rsidRPr="009F014F" w:rsidRDefault="00842016" w:rsidP="00AB7D6E">
          <w:pPr>
            <w:pStyle w:val="TOC1"/>
            <w:tabs>
              <w:tab w:val="left" w:pos="440"/>
              <w:tab w:val="right" w:leader="dot" w:pos="15388"/>
            </w:tabs>
            <w:spacing w:after="0" w:line="240" w:lineRule="auto"/>
            <w:rPr>
              <w:rFonts w:ascii="Times New Roman" w:eastAsiaTheme="minorEastAsia" w:hAnsi="Times New Roman" w:cs="Times New Roman"/>
              <w:noProof/>
              <w:sz w:val="24"/>
              <w:szCs w:val="24"/>
              <w:lang w:eastAsia="lv-LV"/>
            </w:rPr>
          </w:pPr>
          <w:hyperlink w:anchor="_Toc127803614" w:history="1">
            <w:r w:rsidR="000A3B3D" w:rsidRPr="009F014F">
              <w:rPr>
                <w:rStyle w:val="Hyperlink"/>
                <w:rFonts w:ascii="Times New Roman" w:hAnsi="Times New Roman" w:cs="Times New Roman"/>
                <w:bCs/>
                <w:noProof/>
                <w:color w:val="auto"/>
                <w:sz w:val="24"/>
                <w:szCs w:val="24"/>
              </w:rPr>
              <w:t>3.</w:t>
            </w:r>
            <w:r w:rsidR="000A3B3D" w:rsidRPr="009F014F">
              <w:rPr>
                <w:rFonts w:ascii="Times New Roman" w:eastAsiaTheme="minorEastAsia" w:hAnsi="Times New Roman" w:cs="Times New Roman"/>
                <w:noProof/>
                <w:sz w:val="24"/>
                <w:szCs w:val="24"/>
                <w:lang w:eastAsia="lv-LV"/>
              </w:rPr>
              <w:tab/>
            </w:r>
            <w:r w:rsidR="000A3B3D" w:rsidRPr="009F014F">
              <w:rPr>
                <w:rStyle w:val="Hyperlink"/>
                <w:rFonts w:ascii="Times New Roman" w:hAnsi="Times New Roman" w:cs="Times New Roman"/>
                <w:noProof/>
                <w:color w:val="auto"/>
                <w:sz w:val="24"/>
                <w:szCs w:val="24"/>
              </w:rPr>
              <w:t>Vērtēšana un lēmumu pieņemšana</w:t>
            </w:r>
            <w:r w:rsidR="000A3B3D" w:rsidRPr="009F014F">
              <w:rPr>
                <w:rFonts w:ascii="Times New Roman" w:hAnsi="Times New Roman" w:cs="Times New Roman"/>
                <w:noProof/>
                <w:webHidden/>
                <w:sz w:val="24"/>
                <w:szCs w:val="24"/>
              </w:rPr>
              <w:tab/>
            </w:r>
            <w:r w:rsidR="000A3B3D" w:rsidRPr="009F014F">
              <w:rPr>
                <w:rFonts w:ascii="Times New Roman" w:hAnsi="Times New Roman" w:cs="Times New Roman"/>
                <w:noProof/>
                <w:webHidden/>
                <w:sz w:val="24"/>
                <w:szCs w:val="24"/>
              </w:rPr>
              <w:fldChar w:fldCharType="begin"/>
            </w:r>
            <w:r w:rsidR="000A3B3D" w:rsidRPr="009F014F">
              <w:rPr>
                <w:rFonts w:ascii="Times New Roman" w:hAnsi="Times New Roman" w:cs="Times New Roman"/>
                <w:noProof/>
                <w:webHidden/>
                <w:sz w:val="24"/>
                <w:szCs w:val="24"/>
              </w:rPr>
              <w:instrText xml:space="preserve"> PAGEREF _Toc127803614 \h </w:instrText>
            </w:r>
            <w:r w:rsidR="000A3B3D" w:rsidRPr="009F014F">
              <w:rPr>
                <w:rFonts w:ascii="Times New Roman" w:hAnsi="Times New Roman" w:cs="Times New Roman"/>
                <w:noProof/>
                <w:webHidden/>
                <w:sz w:val="24"/>
                <w:szCs w:val="24"/>
              </w:rPr>
            </w:r>
            <w:r w:rsidR="000A3B3D" w:rsidRPr="009F014F">
              <w:rPr>
                <w:rFonts w:ascii="Times New Roman" w:hAnsi="Times New Roman" w:cs="Times New Roman"/>
                <w:noProof/>
                <w:webHidden/>
                <w:sz w:val="24"/>
                <w:szCs w:val="24"/>
              </w:rPr>
              <w:fldChar w:fldCharType="separate"/>
            </w:r>
            <w:r w:rsidR="00F86008" w:rsidRPr="009F014F">
              <w:rPr>
                <w:rFonts w:ascii="Times New Roman" w:hAnsi="Times New Roman" w:cs="Times New Roman"/>
                <w:noProof/>
                <w:webHidden/>
                <w:sz w:val="24"/>
                <w:szCs w:val="24"/>
              </w:rPr>
              <w:t>5</w:t>
            </w:r>
            <w:r w:rsidR="000A3B3D" w:rsidRPr="009F014F">
              <w:rPr>
                <w:rFonts w:ascii="Times New Roman" w:hAnsi="Times New Roman" w:cs="Times New Roman"/>
                <w:noProof/>
                <w:webHidden/>
                <w:sz w:val="24"/>
                <w:szCs w:val="24"/>
              </w:rPr>
              <w:fldChar w:fldCharType="end"/>
            </w:r>
          </w:hyperlink>
        </w:p>
        <w:p w14:paraId="00BDD483" w14:textId="4C51F769" w:rsidR="000A3B3D" w:rsidRPr="009F014F" w:rsidRDefault="00842016" w:rsidP="00AB7D6E">
          <w:pPr>
            <w:pStyle w:val="TOC1"/>
            <w:tabs>
              <w:tab w:val="left" w:pos="440"/>
              <w:tab w:val="right" w:leader="dot" w:pos="15388"/>
            </w:tabs>
            <w:spacing w:after="0" w:line="240" w:lineRule="auto"/>
            <w:rPr>
              <w:rFonts w:ascii="Times New Roman" w:eastAsiaTheme="minorEastAsia" w:hAnsi="Times New Roman" w:cs="Times New Roman"/>
              <w:noProof/>
              <w:sz w:val="24"/>
              <w:szCs w:val="24"/>
              <w:lang w:eastAsia="lv-LV"/>
            </w:rPr>
          </w:pPr>
          <w:hyperlink w:anchor="_Toc127803615" w:history="1">
            <w:r w:rsidR="000A3B3D" w:rsidRPr="009F014F">
              <w:rPr>
                <w:rStyle w:val="Hyperlink"/>
                <w:rFonts w:ascii="Times New Roman" w:hAnsi="Times New Roman" w:cs="Times New Roman"/>
                <w:bCs/>
                <w:noProof/>
                <w:color w:val="auto"/>
                <w:sz w:val="24"/>
                <w:szCs w:val="24"/>
              </w:rPr>
              <w:t>4.</w:t>
            </w:r>
            <w:r w:rsidR="000A3B3D" w:rsidRPr="009F014F">
              <w:rPr>
                <w:rFonts w:ascii="Times New Roman" w:eastAsiaTheme="minorEastAsia" w:hAnsi="Times New Roman" w:cs="Times New Roman"/>
                <w:noProof/>
                <w:sz w:val="24"/>
                <w:szCs w:val="24"/>
                <w:lang w:eastAsia="lv-LV"/>
              </w:rPr>
              <w:tab/>
            </w:r>
            <w:r w:rsidR="000A3B3D" w:rsidRPr="009F014F">
              <w:rPr>
                <w:rStyle w:val="Hyperlink"/>
                <w:rFonts w:ascii="Times New Roman" w:hAnsi="Times New Roman" w:cs="Times New Roman"/>
                <w:noProof/>
                <w:color w:val="auto"/>
                <w:sz w:val="24"/>
                <w:szCs w:val="24"/>
              </w:rPr>
              <w:t>Attiecināmās izmaksas</w:t>
            </w:r>
            <w:r w:rsidR="000A3B3D" w:rsidRPr="009F014F">
              <w:rPr>
                <w:rFonts w:ascii="Times New Roman" w:hAnsi="Times New Roman" w:cs="Times New Roman"/>
                <w:noProof/>
                <w:webHidden/>
                <w:sz w:val="24"/>
                <w:szCs w:val="24"/>
              </w:rPr>
              <w:tab/>
            </w:r>
            <w:r w:rsidR="000A3B3D" w:rsidRPr="009F014F">
              <w:rPr>
                <w:rFonts w:ascii="Times New Roman" w:hAnsi="Times New Roman" w:cs="Times New Roman"/>
                <w:noProof/>
                <w:webHidden/>
                <w:sz w:val="24"/>
                <w:szCs w:val="24"/>
              </w:rPr>
              <w:fldChar w:fldCharType="begin"/>
            </w:r>
            <w:r w:rsidR="000A3B3D" w:rsidRPr="009F014F">
              <w:rPr>
                <w:rFonts w:ascii="Times New Roman" w:hAnsi="Times New Roman" w:cs="Times New Roman"/>
                <w:noProof/>
                <w:webHidden/>
                <w:sz w:val="24"/>
                <w:szCs w:val="24"/>
              </w:rPr>
              <w:instrText xml:space="preserve"> PAGEREF _Toc127803615 \h </w:instrText>
            </w:r>
            <w:r w:rsidR="000A3B3D" w:rsidRPr="009F014F">
              <w:rPr>
                <w:rFonts w:ascii="Times New Roman" w:hAnsi="Times New Roman" w:cs="Times New Roman"/>
                <w:noProof/>
                <w:webHidden/>
                <w:sz w:val="24"/>
                <w:szCs w:val="24"/>
              </w:rPr>
            </w:r>
            <w:r w:rsidR="000A3B3D" w:rsidRPr="009F014F">
              <w:rPr>
                <w:rFonts w:ascii="Times New Roman" w:hAnsi="Times New Roman" w:cs="Times New Roman"/>
                <w:noProof/>
                <w:webHidden/>
                <w:sz w:val="24"/>
                <w:szCs w:val="24"/>
              </w:rPr>
              <w:fldChar w:fldCharType="separate"/>
            </w:r>
            <w:r w:rsidR="00F86008" w:rsidRPr="009F014F">
              <w:rPr>
                <w:rFonts w:ascii="Times New Roman" w:hAnsi="Times New Roman" w:cs="Times New Roman"/>
                <w:noProof/>
                <w:webHidden/>
                <w:sz w:val="24"/>
                <w:szCs w:val="24"/>
              </w:rPr>
              <w:t>5</w:t>
            </w:r>
            <w:r w:rsidR="000A3B3D" w:rsidRPr="009F014F">
              <w:rPr>
                <w:rFonts w:ascii="Times New Roman" w:hAnsi="Times New Roman" w:cs="Times New Roman"/>
                <w:noProof/>
                <w:webHidden/>
                <w:sz w:val="24"/>
                <w:szCs w:val="24"/>
              </w:rPr>
              <w:fldChar w:fldCharType="end"/>
            </w:r>
          </w:hyperlink>
        </w:p>
        <w:p w14:paraId="0D8E437D" w14:textId="6D8ACCA5" w:rsidR="000A3B3D" w:rsidRPr="009F014F" w:rsidRDefault="00842016" w:rsidP="00AB7D6E">
          <w:pPr>
            <w:pStyle w:val="TOC1"/>
            <w:tabs>
              <w:tab w:val="left" w:pos="440"/>
              <w:tab w:val="right" w:leader="dot" w:pos="15388"/>
            </w:tabs>
            <w:spacing w:after="0" w:line="240" w:lineRule="auto"/>
            <w:rPr>
              <w:rFonts w:ascii="Times New Roman" w:eastAsiaTheme="minorEastAsia" w:hAnsi="Times New Roman" w:cs="Times New Roman"/>
              <w:noProof/>
              <w:sz w:val="24"/>
              <w:szCs w:val="24"/>
              <w:lang w:eastAsia="lv-LV"/>
            </w:rPr>
          </w:pPr>
          <w:hyperlink w:anchor="_Toc127803616" w:history="1">
            <w:r w:rsidR="000A3B3D" w:rsidRPr="009F014F">
              <w:rPr>
                <w:rStyle w:val="Hyperlink"/>
                <w:rFonts w:ascii="Times New Roman" w:hAnsi="Times New Roman" w:cs="Times New Roman"/>
                <w:bCs/>
                <w:noProof/>
                <w:color w:val="auto"/>
                <w:sz w:val="24"/>
                <w:szCs w:val="24"/>
              </w:rPr>
              <w:t>5.</w:t>
            </w:r>
            <w:r w:rsidR="000A3B3D" w:rsidRPr="009F014F">
              <w:rPr>
                <w:rFonts w:ascii="Times New Roman" w:eastAsiaTheme="minorEastAsia" w:hAnsi="Times New Roman" w:cs="Times New Roman"/>
                <w:noProof/>
                <w:sz w:val="24"/>
                <w:szCs w:val="24"/>
                <w:lang w:eastAsia="lv-LV"/>
              </w:rPr>
              <w:tab/>
            </w:r>
            <w:r w:rsidR="000A3B3D" w:rsidRPr="009F014F">
              <w:rPr>
                <w:rStyle w:val="Hyperlink"/>
                <w:rFonts w:ascii="Times New Roman" w:hAnsi="Times New Roman" w:cs="Times New Roman"/>
                <w:noProof/>
                <w:color w:val="auto"/>
                <w:sz w:val="24"/>
                <w:szCs w:val="24"/>
              </w:rPr>
              <w:t>Projekta iesnieguma aizpildīšana un pielikumi</w:t>
            </w:r>
            <w:r w:rsidR="000A3B3D" w:rsidRPr="009F014F">
              <w:rPr>
                <w:rFonts w:ascii="Times New Roman" w:hAnsi="Times New Roman" w:cs="Times New Roman"/>
                <w:noProof/>
                <w:webHidden/>
                <w:sz w:val="24"/>
                <w:szCs w:val="24"/>
              </w:rPr>
              <w:tab/>
            </w:r>
            <w:r w:rsidR="000A3B3D" w:rsidRPr="009F014F">
              <w:rPr>
                <w:rFonts w:ascii="Times New Roman" w:hAnsi="Times New Roman" w:cs="Times New Roman"/>
                <w:noProof/>
                <w:webHidden/>
                <w:sz w:val="24"/>
                <w:szCs w:val="24"/>
              </w:rPr>
              <w:fldChar w:fldCharType="begin"/>
            </w:r>
            <w:r w:rsidR="000A3B3D" w:rsidRPr="009F014F">
              <w:rPr>
                <w:rFonts w:ascii="Times New Roman" w:hAnsi="Times New Roman" w:cs="Times New Roman"/>
                <w:noProof/>
                <w:webHidden/>
                <w:sz w:val="24"/>
                <w:szCs w:val="24"/>
              </w:rPr>
              <w:instrText xml:space="preserve"> PAGEREF _Toc127803616 \h </w:instrText>
            </w:r>
            <w:r w:rsidR="000A3B3D" w:rsidRPr="009F014F">
              <w:rPr>
                <w:rFonts w:ascii="Times New Roman" w:hAnsi="Times New Roman" w:cs="Times New Roman"/>
                <w:noProof/>
                <w:webHidden/>
                <w:sz w:val="24"/>
                <w:szCs w:val="24"/>
              </w:rPr>
            </w:r>
            <w:r w:rsidR="000A3B3D" w:rsidRPr="009F014F">
              <w:rPr>
                <w:rFonts w:ascii="Times New Roman" w:hAnsi="Times New Roman" w:cs="Times New Roman"/>
                <w:noProof/>
                <w:webHidden/>
                <w:sz w:val="24"/>
                <w:szCs w:val="24"/>
              </w:rPr>
              <w:fldChar w:fldCharType="separate"/>
            </w:r>
            <w:r w:rsidR="00F86008" w:rsidRPr="009F014F">
              <w:rPr>
                <w:rFonts w:ascii="Times New Roman" w:hAnsi="Times New Roman" w:cs="Times New Roman"/>
                <w:noProof/>
                <w:webHidden/>
                <w:sz w:val="24"/>
                <w:szCs w:val="24"/>
              </w:rPr>
              <w:t>5</w:t>
            </w:r>
            <w:r w:rsidR="000A3B3D" w:rsidRPr="009F014F">
              <w:rPr>
                <w:rFonts w:ascii="Times New Roman" w:hAnsi="Times New Roman" w:cs="Times New Roman"/>
                <w:noProof/>
                <w:webHidden/>
                <w:sz w:val="24"/>
                <w:szCs w:val="24"/>
              </w:rPr>
              <w:fldChar w:fldCharType="end"/>
            </w:r>
          </w:hyperlink>
        </w:p>
        <w:p w14:paraId="25BFD819" w14:textId="3D8C371F" w:rsidR="000A3B3D" w:rsidRPr="009F014F" w:rsidRDefault="00842016" w:rsidP="00AB7D6E">
          <w:pPr>
            <w:pStyle w:val="TOC1"/>
            <w:tabs>
              <w:tab w:val="left" w:pos="440"/>
              <w:tab w:val="right" w:leader="dot" w:pos="15388"/>
            </w:tabs>
            <w:spacing w:after="0" w:line="240" w:lineRule="auto"/>
            <w:rPr>
              <w:rFonts w:ascii="Times New Roman" w:eastAsiaTheme="minorEastAsia" w:hAnsi="Times New Roman" w:cs="Times New Roman"/>
              <w:noProof/>
              <w:sz w:val="24"/>
              <w:szCs w:val="24"/>
              <w:lang w:eastAsia="lv-LV"/>
            </w:rPr>
          </w:pPr>
          <w:hyperlink w:anchor="_Toc127803617" w:history="1">
            <w:r w:rsidR="000A3B3D" w:rsidRPr="009F014F">
              <w:rPr>
                <w:rStyle w:val="Hyperlink"/>
                <w:rFonts w:ascii="Times New Roman" w:hAnsi="Times New Roman" w:cs="Times New Roman"/>
                <w:bCs/>
                <w:noProof/>
                <w:color w:val="auto"/>
                <w:sz w:val="24"/>
                <w:szCs w:val="24"/>
              </w:rPr>
              <w:t>6.</w:t>
            </w:r>
            <w:r w:rsidR="000A3B3D" w:rsidRPr="009F014F">
              <w:rPr>
                <w:rFonts w:ascii="Times New Roman" w:eastAsiaTheme="minorEastAsia" w:hAnsi="Times New Roman" w:cs="Times New Roman"/>
                <w:noProof/>
                <w:sz w:val="24"/>
                <w:szCs w:val="24"/>
                <w:lang w:eastAsia="lv-LV"/>
              </w:rPr>
              <w:tab/>
            </w:r>
            <w:r w:rsidR="000A3B3D" w:rsidRPr="009F014F">
              <w:rPr>
                <w:rStyle w:val="Hyperlink"/>
                <w:rFonts w:ascii="Times New Roman" w:hAnsi="Times New Roman" w:cs="Times New Roman"/>
                <w:noProof/>
                <w:color w:val="auto"/>
                <w:sz w:val="24"/>
                <w:szCs w:val="24"/>
              </w:rPr>
              <w:t>Personāls un partneri</w:t>
            </w:r>
            <w:r w:rsidR="000A3B3D" w:rsidRPr="009F014F">
              <w:rPr>
                <w:rFonts w:ascii="Times New Roman" w:hAnsi="Times New Roman" w:cs="Times New Roman"/>
                <w:noProof/>
                <w:webHidden/>
                <w:sz w:val="24"/>
                <w:szCs w:val="24"/>
              </w:rPr>
              <w:tab/>
            </w:r>
            <w:r w:rsidR="000A3B3D" w:rsidRPr="009F014F">
              <w:rPr>
                <w:rFonts w:ascii="Times New Roman" w:hAnsi="Times New Roman" w:cs="Times New Roman"/>
                <w:noProof/>
                <w:webHidden/>
                <w:sz w:val="24"/>
                <w:szCs w:val="24"/>
              </w:rPr>
              <w:fldChar w:fldCharType="begin"/>
            </w:r>
            <w:r w:rsidR="000A3B3D" w:rsidRPr="009F014F">
              <w:rPr>
                <w:rFonts w:ascii="Times New Roman" w:hAnsi="Times New Roman" w:cs="Times New Roman"/>
                <w:noProof/>
                <w:webHidden/>
                <w:sz w:val="24"/>
                <w:szCs w:val="24"/>
              </w:rPr>
              <w:instrText xml:space="preserve"> PAGEREF _Toc127803617 \h </w:instrText>
            </w:r>
            <w:r w:rsidR="000A3B3D" w:rsidRPr="009F014F">
              <w:rPr>
                <w:rFonts w:ascii="Times New Roman" w:hAnsi="Times New Roman" w:cs="Times New Roman"/>
                <w:noProof/>
                <w:webHidden/>
                <w:sz w:val="24"/>
                <w:szCs w:val="24"/>
              </w:rPr>
            </w:r>
            <w:r w:rsidR="000A3B3D" w:rsidRPr="009F014F">
              <w:rPr>
                <w:rFonts w:ascii="Times New Roman" w:hAnsi="Times New Roman" w:cs="Times New Roman"/>
                <w:noProof/>
                <w:webHidden/>
                <w:sz w:val="24"/>
                <w:szCs w:val="24"/>
              </w:rPr>
              <w:fldChar w:fldCharType="separate"/>
            </w:r>
            <w:r w:rsidR="00F86008" w:rsidRPr="009F014F">
              <w:rPr>
                <w:rFonts w:ascii="Times New Roman" w:hAnsi="Times New Roman" w:cs="Times New Roman"/>
                <w:noProof/>
                <w:webHidden/>
                <w:sz w:val="24"/>
                <w:szCs w:val="24"/>
              </w:rPr>
              <w:t>5</w:t>
            </w:r>
            <w:r w:rsidR="000A3B3D" w:rsidRPr="009F014F">
              <w:rPr>
                <w:rFonts w:ascii="Times New Roman" w:hAnsi="Times New Roman" w:cs="Times New Roman"/>
                <w:noProof/>
                <w:webHidden/>
                <w:sz w:val="24"/>
                <w:szCs w:val="24"/>
              </w:rPr>
              <w:fldChar w:fldCharType="end"/>
            </w:r>
          </w:hyperlink>
        </w:p>
        <w:p w14:paraId="4BD1F336" w14:textId="6C1D1BE1" w:rsidR="000A3B3D" w:rsidRPr="009F014F" w:rsidRDefault="00842016" w:rsidP="00AB7D6E">
          <w:pPr>
            <w:pStyle w:val="TOC1"/>
            <w:tabs>
              <w:tab w:val="left" w:pos="440"/>
              <w:tab w:val="right" w:leader="dot" w:pos="15388"/>
            </w:tabs>
            <w:spacing w:after="0" w:line="240" w:lineRule="auto"/>
            <w:rPr>
              <w:rFonts w:ascii="Times New Roman" w:eastAsiaTheme="minorEastAsia" w:hAnsi="Times New Roman" w:cs="Times New Roman"/>
              <w:noProof/>
              <w:sz w:val="24"/>
              <w:szCs w:val="24"/>
              <w:lang w:eastAsia="lv-LV"/>
            </w:rPr>
          </w:pPr>
          <w:hyperlink w:anchor="_Toc127803618" w:history="1">
            <w:r w:rsidR="000A3B3D" w:rsidRPr="009F014F">
              <w:rPr>
                <w:rStyle w:val="Hyperlink"/>
                <w:rFonts w:ascii="Times New Roman" w:hAnsi="Times New Roman" w:cs="Times New Roman"/>
                <w:bCs/>
                <w:noProof/>
                <w:color w:val="auto"/>
                <w:sz w:val="24"/>
                <w:szCs w:val="24"/>
              </w:rPr>
              <w:t>7.</w:t>
            </w:r>
            <w:r w:rsidR="000A3B3D" w:rsidRPr="009F014F">
              <w:rPr>
                <w:rFonts w:ascii="Times New Roman" w:eastAsiaTheme="minorEastAsia" w:hAnsi="Times New Roman" w:cs="Times New Roman"/>
                <w:noProof/>
                <w:sz w:val="24"/>
                <w:szCs w:val="24"/>
                <w:lang w:eastAsia="lv-LV"/>
              </w:rPr>
              <w:tab/>
            </w:r>
            <w:r w:rsidR="000A3B3D" w:rsidRPr="009F014F">
              <w:rPr>
                <w:rStyle w:val="Hyperlink"/>
                <w:rFonts w:ascii="Times New Roman" w:hAnsi="Times New Roman" w:cs="Times New Roman"/>
                <w:noProof/>
                <w:color w:val="auto"/>
                <w:sz w:val="24"/>
                <w:szCs w:val="24"/>
              </w:rPr>
              <w:t>Projekta rezultātu uzturēšana un ilgtspējas nodrošināšana</w:t>
            </w:r>
            <w:r w:rsidR="000A3B3D" w:rsidRPr="009F014F">
              <w:rPr>
                <w:rFonts w:ascii="Times New Roman" w:hAnsi="Times New Roman" w:cs="Times New Roman"/>
                <w:noProof/>
                <w:webHidden/>
                <w:sz w:val="24"/>
                <w:szCs w:val="24"/>
              </w:rPr>
              <w:tab/>
            </w:r>
            <w:r w:rsidR="000A3B3D" w:rsidRPr="009F014F">
              <w:rPr>
                <w:rFonts w:ascii="Times New Roman" w:hAnsi="Times New Roman" w:cs="Times New Roman"/>
                <w:noProof/>
                <w:webHidden/>
                <w:sz w:val="24"/>
                <w:szCs w:val="24"/>
              </w:rPr>
              <w:fldChar w:fldCharType="begin"/>
            </w:r>
            <w:r w:rsidR="000A3B3D" w:rsidRPr="009F014F">
              <w:rPr>
                <w:rFonts w:ascii="Times New Roman" w:hAnsi="Times New Roman" w:cs="Times New Roman"/>
                <w:noProof/>
                <w:webHidden/>
                <w:sz w:val="24"/>
                <w:szCs w:val="24"/>
              </w:rPr>
              <w:instrText xml:space="preserve"> PAGEREF _Toc127803618 \h </w:instrText>
            </w:r>
            <w:r w:rsidR="000A3B3D" w:rsidRPr="009F014F">
              <w:rPr>
                <w:rFonts w:ascii="Times New Roman" w:hAnsi="Times New Roman" w:cs="Times New Roman"/>
                <w:noProof/>
                <w:webHidden/>
                <w:sz w:val="24"/>
                <w:szCs w:val="24"/>
              </w:rPr>
            </w:r>
            <w:r w:rsidR="000A3B3D" w:rsidRPr="009F014F">
              <w:rPr>
                <w:rFonts w:ascii="Times New Roman" w:hAnsi="Times New Roman" w:cs="Times New Roman"/>
                <w:noProof/>
                <w:webHidden/>
                <w:sz w:val="24"/>
                <w:szCs w:val="24"/>
              </w:rPr>
              <w:fldChar w:fldCharType="separate"/>
            </w:r>
            <w:r w:rsidR="00F86008" w:rsidRPr="009F014F">
              <w:rPr>
                <w:rFonts w:ascii="Times New Roman" w:hAnsi="Times New Roman" w:cs="Times New Roman"/>
                <w:noProof/>
                <w:webHidden/>
                <w:sz w:val="24"/>
                <w:szCs w:val="24"/>
              </w:rPr>
              <w:t>5</w:t>
            </w:r>
            <w:r w:rsidR="000A3B3D" w:rsidRPr="009F014F">
              <w:rPr>
                <w:rFonts w:ascii="Times New Roman" w:hAnsi="Times New Roman" w:cs="Times New Roman"/>
                <w:noProof/>
                <w:webHidden/>
                <w:sz w:val="24"/>
                <w:szCs w:val="24"/>
              </w:rPr>
              <w:fldChar w:fldCharType="end"/>
            </w:r>
          </w:hyperlink>
        </w:p>
        <w:p w14:paraId="622EBF8C" w14:textId="77777777" w:rsidR="00520ECF" w:rsidRPr="009F014F" w:rsidRDefault="004014D1" w:rsidP="00AB7D6E">
          <w:pPr>
            <w:spacing w:after="0" w:line="240" w:lineRule="auto"/>
            <w:rPr>
              <w:rFonts w:ascii="Times New Roman" w:hAnsi="Times New Roman" w:cs="Times New Roman"/>
              <w:b/>
              <w:bCs/>
              <w:sz w:val="24"/>
              <w:szCs w:val="24"/>
            </w:rPr>
          </w:pPr>
          <w:r w:rsidRPr="009F014F">
            <w:rPr>
              <w:rFonts w:ascii="Times New Roman" w:hAnsi="Times New Roman" w:cs="Times New Roman"/>
              <w:b/>
              <w:bCs/>
              <w:sz w:val="24"/>
              <w:szCs w:val="24"/>
            </w:rPr>
            <w:fldChar w:fldCharType="end"/>
          </w:r>
        </w:p>
        <w:p w14:paraId="31DCD7FE" w14:textId="5FE152B4" w:rsidR="004014D1" w:rsidRPr="009F014F" w:rsidRDefault="00842016" w:rsidP="00AB7D6E">
          <w:pPr>
            <w:spacing w:after="0" w:line="240" w:lineRule="auto"/>
            <w:rPr>
              <w:rFonts w:ascii="Times New Roman" w:hAnsi="Times New Roman" w:cs="Times New Roman"/>
              <w:sz w:val="24"/>
              <w:szCs w:val="24"/>
            </w:rPr>
          </w:pP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6189"/>
        <w:gridCol w:w="7962"/>
      </w:tblGrid>
      <w:tr w:rsidR="00640E97" w:rsidRPr="009F014F" w14:paraId="77F4DDC2" w14:textId="77777777" w:rsidTr="00346C9E">
        <w:tc>
          <w:tcPr>
            <w:tcW w:w="402" w:type="pct"/>
            <w:tcBorders>
              <w:bottom w:val="single" w:sz="4" w:space="0" w:color="000000"/>
              <w:right w:val="single" w:sz="4" w:space="0" w:color="auto"/>
            </w:tcBorders>
            <w:shd w:val="clear" w:color="auto" w:fill="D0CECE" w:themeFill="background2" w:themeFillShade="E6"/>
            <w:vAlign w:val="center"/>
          </w:tcPr>
          <w:p w14:paraId="1EF6DC72" w14:textId="2AA460CE" w:rsidR="00640E97" w:rsidRPr="009F014F" w:rsidRDefault="00640E97" w:rsidP="00AB7D6E">
            <w:pPr>
              <w:spacing w:after="0" w:line="240" w:lineRule="auto"/>
              <w:ind w:left="17" w:right="17"/>
              <w:jc w:val="center"/>
              <w:rPr>
                <w:rFonts w:ascii="Times New Roman" w:hAnsi="Times New Roman" w:cs="Times New Roman"/>
                <w:b/>
                <w:sz w:val="24"/>
                <w:szCs w:val="24"/>
              </w:rPr>
            </w:pPr>
            <w:proofErr w:type="spellStart"/>
            <w:r w:rsidRPr="009F014F">
              <w:rPr>
                <w:rFonts w:ascii="Times New Roman" w:hAnsi="Times New Roman" w:cs="Times New Roman"/>
                <w:b/>
                <w:sz w:val="24"/>
                <w:szCs w:val="24"/>
              </w:rPr>
              <w:t>Nr.p.k</w:t>
            </w:r>
            <w:proofErr w:type="spellEnd"/>
            <w:r w:rsidRPr="009F014F">
              <w:rPr>
                <w:rFonts w:ascii="Times New Roman" w:hAnsi="Times New Roman" w:cs="Times New Roman"/>
                <w:b/>
                <w:sz w:val="24"/>
                <w:szCs w:val="24"/>
              </w:rPr>
              <w:t>.</w:t>
            </w:r>
          </w:p>
        </w:tc>
        <w:tc>
          <w:tcPr>
            <w:tcW w:w="2011" w:type="pct"/>
            <w:tcBorders>
              <w:bottom w:val="single" w:sz="4" w:space="0" w:color="000000"/>
              <w:right w:val="single" w:sz="4" w:space="0" w:color="auto"/>
            </w:tcBorders>
            <w:shd w:val="clear" w:color="auto" w:fill="D0CECE" w:themeFill="background2" w:themeFillShade="E6"/>
            <w:vAlign w:val="center"/>
          </w:tcPr>
          <w:p w14:paraId="0056F754" w14:textId="2E58C7D4" w:rsidR="00640E97" w:rsidRPr="009F014F" w:rsidRDefault="00640E97" w:rsidP="00AB7D6E">
            <w:pPr>
              <w:spacing w:after="0" w:line="240" w:lineRule="auto"/>
              <w:ind w:left="17" w:right="17"/>
              <w:jc w:val="center"/>
              <w:rPr>
                <w:rFonts w:ascii="Times New Roman" w:hAnsi="Times New Roman" w:cs="Times New Roman"/>
                <w:b/>
                <w:sz w:val="24"/>
                <w:szCs w:val="24"/>
              </w:rPr>
            </w:pPr>
            <w:r w:rsidRPr="009F014F">
              <w:rPr>
                <w:rFonts w:ascii="Times New Roman" w:hAnsi="Times New Roman" w:cs="Times New Roman"/>
                <w:b/>
                <w:sz w:val="24"/>
                <w:szCs w:val="24"/>
              </w:rPr>
              <w:t>Jautājumi</w:t>
            </w:r>
          </w:p>
        </w:tc>
        <w:tc>
          <w:tcPr>
            <w:tcW w:w="2587" w:type="pct"/>
            <w:tcBorders>
              <w:left w:val="single" w:sz="4" w:space="0" w:color="auto"/>
              <w:bottom w:val="single" w:sz="4" w:space="0" w:color="000000"/>
            </w:tcBorders>
            <w:shd w:val="clear" w:color="auto" w:fill="D0CECE" w:themeFill="background2" w:themeFillShade="E6"/>
            <w:vAlign w:val="center"/>
          </w:tcPr>
          <w:p w14:paraId="235B1301" w14:textId="77777777" w:rsidR="00640E97" w:rsidRPr="009F014F" w:rsidRDefault="00640E97" w:rsidP="00AB7D6E">
            <w:pPr>
              <w:spacing w:after="0" w:line="240" w:lineRule="auto"/>
              <w:jc w:val="center"/>
              <w:rPr>
                <w:rFonts w:ascii="Times New Roman" w:hAnsi="Times New Roman" w:cs="Times New Roman"/>
                <w:b/>
                <w:sz w:val="24"/>
                <w:szCs w:val="24"/>
              </w:rPr>
            </w:pPr>
            <w:r w:rsidRPr="009F014F">
              <w:rPr>
                <w:rFonts w:ascii="Times New Roman" w:hAnsi="Times New Roman" w:cs="Times New Roman"/>
                <w:b/>
                <w:sz w:val="24"/>
                <w:szCs w:val="24"/>
              </w:rPr>
              <w:t>Atbildes</w:t>
            </w:r>
          </w:p>
        </w:tc>
      </w:tr>
      <w:tr w:rsidR="00640E97" w:rsidRPr="009F014F" w14:paraId="131B41A7" w14:textId="77777777" w:rsidTr="00640E97">
        <w:tc>
          <w:tcPr>
            <w:tcW w:w="5000" w:type="pct"/>
            <w:gridSpan w:val="3"/>
            <w:tcBorders>
              <w:bottom w:val="single" w:sz="4" w:space="0" w:color="000000"/>
            </w:tcBorders>
            <w:shd w:val="clear" w:color="auto" w:fill="D0CECE" w:themeFill="background2" w:themeFillShade="E6"/>
          </w:tcPr>
          <w:p w14:paraId="07EC663F" w14:textId="7D4F675C" w:rsidR="00640E97" w:rsidRPr="009F014F" w:rsidRDefault="00640E97" w:rsidP="00AB7D6E">
            <w:pPr>
              <w:pStyle w:val="Heading1"/>
              <w:numPr>
                <w:ilvl w:val="0"/>
                <w:numId w:val="17"/>
              </w:numPr>
              <w:tabs>
                <w:tab w:val="num" w:pos="360"/>
              </w:tabs>
              <w:spacing w:before="0" w:after="0" w:line="240" w:lineRule="auto"/>
              <w:ind w:left="0" w:firstLine="0"/>
              <w:rPr>
                <w:rFonts w:cs="Times New Roman"/>
                <w:b w:val="0"/>
                <w:sz w:val="24"/>
                <w:szCs w:val="24"/>
              </w:rPr>
            </w:pPr>
            <w:bookmarkStart w:id="0" w:name="_Toc20918679"/>
            <w:bookmarkStart w:id="1" w:name="_Toc46148086"/>
            <w:bookmarkStart w:id="2" w:name="_Toc127803610"/>
            <w:r w:rsidRPr="009F014F">
              <w:rPr>
                <w:rFonts w:cs="Times New Roman"/>
                <w:sz w:val="24"/>
                <w:szCs w:val="24"/>
              </w:rPr>
              <w:t>Vispārīgi jautājumi</w:t>
            </w:r>
            <w:bookmarkEnd w:id="0"/>
            <w:bookmarkEnd w:id="1"/>
            <w:bookmarkEnd w:id="2"/>
          </w:p>
        </w:tc>
      </w:tr>
      <w:tr w:rsidR="00640E97" w:rsidRPr="009F014F" w14:paraId="7D4382B4" w14:textId="77777777" w:rsidTr="00346C9E">
        <w:trPr>
          <w:trHeight w:val="465"/>
        </w:trPr>
        <w:tc>
          <w:tcPr>
            <w:tcW w:w="402" w:type="pct"/>
            <w:tcBorders>
              <w:bottom w:val="single" w:sz="4" w:space="0" w:color="000000"/>
              <w:right w:val="single" w:sz="4" w:space="0" w:color="auto"/>
            </w:tcBorders>
          </w:tcPr>
          <w:p w14:paraId="169F7729" w14:textId="3D4E0EF7" w:rsidR="00640E97" w:rsidRPr="009F014F" w:rsidRDefault="00640E97" w:rsidP="00AB7D6E">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736DE051" w14:textId="77777777" w:rsidR="00640E97" w:rsidRPr="009F014F" w:rsidRDefault="00461FF7"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Vai pretendenta</w:t>
            </w:r>
            <w:r w:rsidR="00CD045A" w:rsidRPr="009F014F">
              <w:rPr>
                <w:rFonts w:ascii="Times New Roman" w:hAnsi="Times New Roman" w:cs="Times New Roman"/>
                <w:sz w:val="24"/>
                <w:szCs w:val="24"/>
              </w:rPr>
              <w:t xml:space="preserve"> apgrozījumam jābūt 150 miljoni</w:t>
            </w:r>
            <w:r w:rsidR="003B4E34" w:rsidRPr="009F014F">
              <w:rPr>
                <w:rFonts w:ascii="Times New Roman" w:hAnsi="Times New Roman" w:cs="Times New Roman"/>
                <w:sz w:val="24"/>
                <w:szCs w:val="24"/>
              </w:rPr>
              <w:t>, vai jābūt asociācijā, kura var garantēt pretendenta stabilitāti?</w:t>
            </w:r>
          </w:p>
          <w:p w14:paraId="17B25114" w14:textId="0DE843F7" w:rsidR="00EB1279" w:rsidRPr="009F014F" w:rsidRDefault="00EB1279"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Kā šādu jautājumu risināt sīkiem uzņēmumiem?</w:t>
            </w:r>
          </w:p>
        </w:tc>
        <w:tc>
          <w:tcPr>
            <w:tcW w:w="2587" w:type="pct"/>
            <w:tcBorders>
              <w:left w:val="single" w:sz="4" w:space="0" w:color="auto"/>
              <w:bottom w:val="single" w:sz="4" w:space="0" w:color="000000"/>
            </w:tcBorders>
            <w:shd w:val="clear" w:color="auto" w:fill="auto"/>
          </w:tcPr>
          <w:p w14:paraId="7A5E66D1" w14:textId="08B431F4" w:rsidR="00074332" w:rsidRPr="009F014F" w:rsidRDefault="00D2768B" w:rsidP="00AB7D6E">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Pētniecības programmu p</w:t>
            </w:r>
            <w:r w:rsidR="000F5B4E" w:rsidRPr="009F014F">
              <w:rPr>
                <w:rFonts w:ascii="Times New Roman" w:hAnsi="Times New Roman" w:cs="Times New Roman"/>
                <w:color w:val="002060"/>
                <w:sz w:val="24"/>
                <w:szCs w:val="24"/>
              </w:rPr>
              <w:t>rojekta iesniedzējs ir</w:t>
            </w:r>
            <w:r w:rsidR="00BD24BA" w:rsidRPr="009F014F">
              <w:rPr>
                <w:rFonts w:ascii="Times New Roman" w:hAnsi="Times New Roman" w:cs="Times New Roman"/>
                <w:color w:val="002060"/>
                <w:sz w:val="24"/>
                <w:szCs w:val="24"/>
              </w:rPr>
              <w:t xml:space="preserve"> juridiska persona vai biedrīb</w:t>
            </w:r>
            <w:r w:rsidR="00074332" w:rsidRPr="009F014F">
              <w:rPr>
                <w:rFonts w:ascii="Times New Roman" w:hAnsi="Times New Roman" w:cs="Times New Roman"/>
                <w:color w:val="002060"/>
                <w:sz w:val="24"/>
                <w:szCs w:val="24"/>
              </w:rPr>
              <w:t>a</w:t>
            </w:r>
            <w:r w:rsidR="007925C2" w:rsidRPr="009F014F">
              <w:rPr>
                <w:rFonts w:ascii="Times New Roman" w:hAnsi="Times New Roman" w:cs="Times New Roman"/>
                <w:color w:val="002060"/>
                <w:sz w:val="24"/>
                <w:szCs w:val="24"/>
              </w:rPr>
              <w:t>, kurā vairāk nekā 51 procents no tā pamatkapitāla vai balsstiesībām pieder nozares komersantiem vai atzītām lauksaimniecības pakalpojumu kooperatīvajām sabiedrībām vai biedrībām un to biedriem, kas apvieno nozares komersantus vai atzītas lauksaimniecības pakalpojumu kooperatīvās sabiedrības</w:t>
            </w:r>
            <w:r w:rsidR="00074332" w:rsidRPr="009F014F">
              <w:rPr>
                <w:rFonts w:ascii="Times New Roman" w:hAnsi="Times New Roman" w:cs="Times New Roman"/>
                <w:color w:val="002060"/>
                <w:sz w:val="24"/>
                <w:szCs w:val="24"/>
              </w:rPr>
              <w:t>:</w:t>
            </w:r>
          </w:p>
          <w:p w14:paraId="70097E4F" w14:textId="136F2356" w:rsidR="00BD24BA" w:rsidRPr="009F014F" w:rsidRDefault="00BD24BA" w:rsidP="00AB7D6E">
            <w:pPr>
              <w:pStyle w:val="ListParagraph"/>
              <w:numPr>
                <w:ilvl w:val="0"/>
                <w:numId w:val="21"/>
              </w:numPr>
              <w:spacing w:after="0" w:line="240" w:lineRule="auto"/>
              <w:ind w:left="387"/>
              <w:jc w:val="both"/>
              <w:rPr>
                <w:rStyle w:val="Emphasis"/>
                <w:rFonts w:ascii="Times New Roman" w:hAnsi="Times New Roman" w:cs="Times New Roman"/>
                <w:b/>
                <w:bCs/>
                <w:color w:val="002060"/>
                <w:sz w:val="24"/>
                <w:szCs w:val="24"/>
                <w:shd w:val="clear" w:color="auto" w:fill="FFFFFF"/>
              </w:rPr>
            </w:pPr>
            <w:r w:rsidRPr="009F014F">
              <w:rPr>
                <w:rFonts w:ascii="Times New Roman" w:hAnsi="Times New Roman" w:cs="Times New Roman"/>
                <w:color w:val="002060"/>
                <w:sz w:val="24"/>
                <w:szCs w:val="24"/>
              </w:rPr>
              <w:t>kur</w:t>
            </w:r>
            <w:r w:rsidR="00A159AF" w:rsidRPr="009F014F">
              <w:rPr>
                <w:rFonts w:ascii="Times New Roman" w:hAnsi="Times New Roman" w:cs="Times New Roman"/>
                <w:color w:val="002060"/>
                <w:sz w:val="24"/>
                <w:szCs w:val="24"/>
              </w:rPr>
              <w:t xml:space="preserve">as </w:t>
            </w:r>
            <w:r w:rsidR="00A159AF" w:rsidRPr="009F014F">
              <w:rPr>
                <w:rFonts w:ascii="Times New Roman" w:hAnsi="Times New Roman" w:cs="Times New Roman"/>
                <w:b/>
                <w:bCs/>
                <w:color w:val="002060"/>
                <w:sz w:val="24"/>
                <w:szCs w:val="24"/>
              </w:rPr>
              <w:t>dalībnieki vai biedri ir vismaz viena nozares asociācija vai vismaz pieci savstarpēji nesaistīti nozares komersanti</w:t>
            </w:r>
            <w:r w:rsidR="00A159AF" w:rsidRPr="009F014F">
              <w:rPr>
                <w:rFonts w:ascii="Times New Roman" w:hAnsi="Times New Roman" w:cs="Times New Roman"/>
                <w:color w:val="002060"/>
                <w:sz w:val="24"/>
                <w:szCs w:val="24"/>
              </w:rPr>
              <w:t xml:space="preserve"> vai atzītas lauksaimniecības pakalpojumu kooperatīvās sabiedrības, </w:t>
            </w:r>
            <w:r w:rsidR="00A159AF" w:rsidRPr="009F014F">
              <w:rPr>
                <w:rFonts w:ascii="Times New Roman" w:hAnsi="Times New Roman" w:cs="Times New Roman"/>
                <w:b/>
                <w:bCs/>
                <w:color w:val="002060"/>
                <w:sz w:val="24"/>
                <w:szCs w:val="24"/>
              </w:rPr>
              <w:t>kuru kopējais apgrozījums</w:t>
            </w:r>
            <w:r w:rsidR="00A159AF" w:rsidRPr="009F014F">
              <w:rPr>
                <w:rFonts w:ascii="Times New Roman" w:hAnsi="Times New Roman" w:cs="Times New Roman"/>
                <w:color w:val="002060"/>
                <w:sz w:val="24"/>
                <w:szCs w:val="24"/>
              </w:rPr>
              <w:t xml:space="preserve"> pēdējā noslēgtajā pārskata gadā ir </w:t>
            </w:r>
            <w:r w:rsidR="00A159AF" w:rsidRPr="009F014F">
              <w:rPr>
                <w:rFonts w:ascii="Times New Roman" w:hAnsi="Times New Roman" w:cs="Times New Roman"/>
                <w:b/>
                <w:bCs/>
                <w:color w:val="002060"/>
                <w:sz w:val="24"/>
                <w:szCs w:val="24"/>
              </w:rPr>
              <w:t xml:space="preserve">vismaz 150 milj. </w:t>
            </w:r>
            <w:proofErr w:type="spellStart"/>
            <w:r w:rsidR="00A159AF" w:rsidRPr="009F014F">
              <w:rPr>
                <w:rFonts w:ascii="Times New Roman" w:hAnsi="Times New Roman" w:cs="Times New Roman"/>
                <w:b/>
                <w:bCs/>
                <w:i/>
                <w:iCs/>
                <w:color w:val="002060"/>
                <w:sz w:val="24"/>
                <w:szCs w:val="24"/>
              </w:rPr>
              <w:t>eur</w:t>
            </w:r>
            <w:r w:rsidR="0079354D" w:rsidRPr="009F014F">
              <w:rPr>
                <w:rFonts w:ascii="Times New Roman" w:hAnsi="Times New Roman" w:cs="Times New Roman"/>
                <w:b/>
                <w:bCs/>
                <w:i/>
                <w:iCs/>
                <w:color w:val="002060"/>
                <w:sz w:val="24"/>
                <w:szCs w:val="24"/>
              </w:rPr>
              <w:t>o</w:t>
            </w:r>
            <w:proofErr w:type="spellEnd"/>
            <w:r w:rsidR="0079354D" w:rsidRPr="009F014F">
              <w:rPr>
                <w:rFonts w:ascii="Times New Roman" w:hAnsi="Times New Roman" w:cs="Times New Roman"/>
                <w:color w:val="002060"/>
                <w:sz w:val="24"/>
                <w:szCs w:val="24"/>
              </w:rPr>
              <w:t xml:space="preserve"> un </w:t>
            </w:r>
            <w:r w:rsidR="0079354D" w:rsidRPr="009F014F">
              <w:rPr>
                <w:rFonts w:ascii="Times New Roman" w:hAnsi="Times New Roman" w:cs="Times New Roman"/>
                <w:color w:val="002060"/>
                <w:sz w:val="24"/>
                <w:szCs w:val="24"/>
                <w:shd w:val="clear" w:color="auto" w:fill="FFFFFF"/>
              </w:rPr>
              <w:t xml:space="preserve">kopējais </w:t>
            </w:r>
            <w:r w:rsidR="0079354D" w:rsidRPr="009F014F">
              <w:rPr>
                <w:rFonts w:ascii="Times New Roman" w:hAnsi="Times New Roman" w:cs="Times New Roman"/>
                <w:b/>
                <w:bCs/>
                <w:color w:val="002060"/>
                <w:sz w:val="24"/>
                <w:szCs w:val="24"/>
                <w:shd w:val="clear" w:color="auto" w:fill="FFFFFF"/>
              </w:rPr>
              <w:t>eksporta apjoms</w:t>
            </w:r>
            <w:r w:rsidR="0079354D" w:rsidRPr="009F014F">
              <w:rPr>
                <w:rFonts w:ascii="Times New Roman" w:hAnsi="Times New Roman" w:cs="Times New Roman"/>
                <w:color w:val="002060"/>
                <w:sz w:val="24"/>
                <w:szCs w:val="24"/>
                <w:shd w:val="clear" w:color="auto" w:fill="FFFFFF"/>
              </w:rPr>
              <w:t xml:space="preserve"> pēdējā noslēgtajā pārskata gadā ir vismaz </w:t>
            </w:r>
            <w:r w:rsidR="0079354D" w:rsidRPr="009F014F">
              <w:rPr>
                <w:rFonts w:ascii="Times New Roman" w:hAnsi="Times New Roman" w:cs="Times New Roman"/>
                <w:b/>
                <w:bCs/>
                <w:color w:val="002060"/>
                <w:sz w:val="24"/>
                <w:szCs w:val="24"/>
                <w:shd w:val="clear" w:color="auto" w:fill="FFFFFF"/>
              </w:rPr>
              <w:t>75 milj. </w:t>
            </w:r>
            <w:proofErr w:type="spellStart"/>
            <w:r w:rsidR="0079354D" w:rsidRPr="009F014F">
              <w:rPr>
                <w:rStyle w:val="Emphasis"/>
                <w:rFonts w:ascii="Times New Roman" w:hAnsi="Times New Roman" w:cs="Times New Roman"/>
                <w:b/>
                <w:bCs/>
                <w:color w:val="002060"/>
                <w:sz w:val="24"/>
                <w:szCs w:val="24"/>
                <w:shd w:val="clear" w:color="auto" w:fill="FFFFFF"/>
              </w:rPr>
              <w:t>euro</w:t>
            </w:r>
            <w:proofErr w:type="spellEnd"/>
            <w:r w:rsidR="00231165" w:rsidRPr="009F014F">
              <w:rPr>
                <w:rStyle w:val="Emphasis"/>
                <w:rFonts w:ascii="Times New Roman" w:hAnsi="Times New Roman" w:cs="Times New Roman"/>
                <w:b/>
                <w:bCs/>
                <w:color w:val="002060"/>
                <w:sz w:val="24"/>
                <w:szCs w:val="24"/>
                <w:shd w:val="clear" w:color="auto" w:fill="FFFFFF"/>
              </w:rPr>
              <w:t>;</w:t>
            </w:r>
          </w:p>
          <w:p w14:paraId="7E639C98" w14:textId="77777777" w:rsidR="00231165" w:rsidRPr="009F014F" w:rsidRDefault="00231165" w:rsidP="00AB7D6E">
            <w:pPr>
              <w:pStyle w:val="ListParagraph"/>
              <w:numPr>
                <w:ilvl w:val="0"/>
                <w:numId w:val="21"/>
              </w:numPr>
              <w:spacing w:after="0" w:line="240" w:lineRule="auto"/>
              <w:ind w:left="387"/>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k</w:t>
            </w:r>
            <w:r w:rsidR="0078385C" w:rsidRPr="009F014F">
              <w:rPr>
                <w:rFonts w:ascii="Times New Roman" w:hAnsi="Times New Roman" w:cs="Times New Roman"/>
                <w:color w:val="002060"/>
                <w:sz w:val="24"/>
                <w:szCs w:val="24"/>
              </w:rPr>
              <w:t xml:space="preserve">ura </w:t>
            </w:r>
            <w:r w:rsidR="0078385C" w:rsidRPr="009F014F">
              <w:rPr>
                <w:rFonts w:ascii="Times New Roman" w:hAnsi="Times New Roman" w:cs="Times New Roman"/>
                <w:b/>
                <w:bCs/>
                <w:color w:val="002060"/>
                <w:sz w:val="24"/>
                <w:szCs w:val="24"/>
              </w:rPr>
              <w:t>iesniedz atbalsta vēstuli par projekta nozīmību nozares attīstībā no nozares asociācijas</w:t>
            </w:r>
            <w:r w:rsidR="0078385C" w:rsidRPr="009F014F">
              <w:rPr>
                <w:rFonts w:ascii="Times New Roman" w:hAnsi="Times New Roman" w:cs="Times New Roman"/>
                <w:color w:val="002060"/>
                <w:sz w:val="24"/>
                <w:szCs w:val="24"/>
              </w:rPr>
              <w:t>, kas apvieno nozares saimnieciskās darbības veicējus, kuru kopējais apgrozījums pēdējā noslēgtajā pārskata gadā ir vismaz 150 milj. </w:t>
            </w:r>
            <w:proofErr w:type="spellStart"/>
            <w:r w:rsidR="0078385C" w:rsidRPr="009F014F">
              <w:rPr>
                <w:rFonts w:ascii="Times New Roman" w:hAnsi="Times New Roman" w:cs="Times New Roman"/>
                <w:i/>
                <w:iCs/>
                <w:color w:val="002060"/>
                <w:sz w:val="24"/>
                <w:szCs w:val="24"/>
              </w:rPr>
              <w:t>euro</w:t>
            </w:r>
            <w:proofErr w:type="spellEnd"/>
            <w:r w:rsidR="0078385C" w:rsidRPr="009F014F">
              <w:rPr>
                <w:rFonts w:ascii="Times New Roman" w:hAnsi="Times New Roman" w:cs="Times New Roman"/>
                <w:color w:val="002060"/>
                <w:sz w:val="24"/>
                <w:szCs w:val="24"/>
              </w:rPr>
              <w:t xml:space="preserve"> un </w:t>
            </w:r>
            <w:r w:rsidRPr="009F014F">
              <w:rPr>
                <w:rFonts w:ascii="Times New Roman" w:hAnsi="Times New Roman" w:cs="Times New Roman"/>
                <w:color w:val="002060"/>
                <w:sz w:val="24"/>
                <w:szCs w:val="24"/>
              </w:rPr>
              <w:t>kopējais eksporta apjoms pēdējā noslēgtajā pārskata gadā ir vismaz 75 milj. </w:t>
            </w:r>
            <w:proofErr w:type="spellStart"/>
            <w:r w:rsidRPr="009F014F">
              <w:rPr>
                <w:rFonts w:ascii="Times New Roman" w:hAnsi="Times New Roman" w:cs="Times New Roman"/>
                <w:i/>
                <w:iCs/>
                <w:color w:val="002060"/>
                <w:sz w:val="24"/>
                <w:szCs w:val="24"/>
              </w:rPr>
              <w:t>euro</w:t>
            </w:r>
            <w:proofErr w:type="spellEnd"/>
            <w:r w:rsidRPr="009F014F">
              <w:rPr>
                <w:rFonts w:ascii="Times New Roman" w:hAnsi="Times New Roman" w:cs="Times New Roman"/>
                <w:color w:val="002060"/>
                <w:sz w:val="24"/>
                <w:szCs w:val="24"/>
              </w:rPr>
              <w:t>.</w:t>
            </w:r>
          </w:p>
          <w:p w14:paraId="2F3F73B7" w14:textId="77777777" w:rsidR="00AB7D6E" w:rsidRPr="009F014F" w:rsidRDefault="00794C57" w:rsidP="00AB7D6E">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 xml:space="preserve">No tā izriet, ka </w:t>
            </w:r>
            <w:r w:rsidR="00AB7D6E" w:rsidRPr="009F014F">
              <w:rPr>
                <w:rFonts w:ascii="Times New Roman" w:hAnsi="Times New Roman" w:cs="Times New Roman"/>
                <w:color w:val="002060"/>
                <w:sz w:val="24"/>
                <w:szCs w:val="24"/>
              </w:rPr>
              <w:t>apgrozījuma un eksporta rādītāju minimālo apjomu projekta iesniedzējs nodrošina divos veidos:</w:t>
            </w:r>
          </w:p>
          <w:p w14:paraId="3046F8F1" w14:textId="44BA9300" w:rsidR="00AB7D6E" w:rsidRPr="009F014F" w:rsidRDefault="00210CDD" w:rsidP="00AB7D6E">
            <w:pPr>
              <w:pStyle w:val="ListParagraph"/>
              <w:numPr>
                <w:ilvl w:val="0"/>
                <w:numId w:val="24"/>
              </w:numPr>
              <w:spacing w:after="0" w:line="240" w:lineRule="auto"/>
              <w:ind w:left="387"/>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 xml:space="preserve">projekta iesniedzējs apvieno un </w:t>
            </w:r>
            <w:r w:rsidR="00AB7D6E" w:rsidRPr="009F014F">
              <w:rPr>
                <w:rFonts w:ascii="Times New Roman" w:hAnsi="Times New Roman" w:cs="Times New Roman"/>
                <w:color w:val="002060"/>
                <w:sz w:val="24"/>
                <w:szCs w:val="24"/>
              </w:rPr>
              <w:t xml:space="preserve">iesniedz informāciju par tā dalībniekiem vai biedriem (vismaz 1 nozares asociācija vai 5 savstarpēji nesaistīti nozares komersanti), nodrošinot kopējo apgrozījumu vismaz 150 milj. </w:t>
            </w:r>
            <w:proofErr w:type="spellStart"/>
            <w:r w:rsidR="00AB7D6E" w:rsidRPr="009F014F">
              <w:rPr>
                <w:rFonts w:ascii="Times New Roman" w:hAnsi="Times New Roman" w:cs="Times New Roman"/>
                <w:i/>
                <w:iCs/>
                <w:color w:val="002060"/>
                <w:sz w:val="24"/>
                <w:szCs w:val="24"/>
              </w:rPr>
              <w:t>euro</w:t>
            </w:r>
            <w:proofErr w:type="spellEnd"/>
            <w:r w:rsidR="00AB7D6E" w:rsidRPr="009F014F">
              <w:rPr>
                <w:rFonts w:ascii="Times New Roman" w:hAnsi="Times New Roman" w:cs="Times New Roman"/>
                <w:color w:val="002060"/>
                <w:sz w:val="24"/>
                <w:szCs w:val="24"/>
              </w:rPr>
              <w:t xml:space="preserve">, eksportu lielāku par 75 milj. </w:t>
            </w:r>
            <w:proofErr w:type="spellStart"/>
            <w:r w:rsidR="00AB7D6E" w:rsidRPr="009F014F">
              <w:rPr>
                <w:rFonts w:ascii="Times New Roman" w:hAnsi="Times New Roman" w:cs="Times New Roman"/>
                <w:i/>
                <w:iCs/>
                <w:color w:val="002060"/>
                <w:sz w:val="24"/>
                <w:szCs w:val="24"/>
              </w:rPr>
              <w:t>euro</w:t>
            </w:r>
            <w:proofErr w:type="spellEnd"/>
            <w:r w:rsidR="00AB7D6E" w:rsidRPr="009F014F">
              <w:rPr>
                <w:rFonts w:ascii="Times New Roman" w:hAnsi="Times New Roman" w:cs="Times New Roman"/>
                <w:color w:val="002060"/>
                <w:sz w:val="24"/>
                <w:szCs w:val="24"/>
              </w:rPr>
              <w:t>;</w:t>
            </w:r>
          </w:p>
          <w:p w14:paraId="2DC8F7A4" w14:textId="32CF808A" w:rsidR="00AB7D6E" w:rsidRPr="009F014F" w:rsidRDefault="00AB7D6E" w:rsidP="00AB7D6E">
            <w:pPr>
              <w:pStyle w:val="ListParagraph"/>
              <w:numPr>
                <w:ilvl w:val="0"/>
                <w:numId w:val="24"/>
              </w:numPr>
              <w:spacing w:after="0" w:line="240" w:lineRule="auto"/>
              <w:ind w:left="387"/>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 xml:space="preserve">iesniedz atbalsta vēstuli no nozares asociācijas, kurai apgrozījums ir lielāks par 150 milj. </w:t>
            </w:r>
            <w:proofErr w:type="spellStart"/>
            <w:r w:rsidRPr="009F014F">
              <w:rPr>
                <w:rFonts w:ascii="Times New Roman" w:hAnsi="Times New Roman" w:cs="Times New Roman"/>
                <w:i/>
                <w:iCs/>
                <w:color w:val="002060"/>
                <w:sz w:val="24"/>
                <w:szCs w:val="24"/>
              </w:rPr>
              <w:t>euro</w:t>
            </w:r>
            <w:proofErr w:type="spellEnd"/>
            <w:r w:rsidRPr="009F014F">
              <w:rPr>
                <w:rFonts w:ascii="Times New Roman" w:hAnsi="Times New Roman" w:cs="Times New Roman"/>
                <w:color w:val="002060"/>
                <w:sz w:val="24"/>
                <w:szCs w:val="24"/>
              </w:rPr>
              <w:t xml:space="preserve">, eksports lielāks par 75 milj. </w:t>
            </w:r>
            <w:proofErr w:type="spellStart"/>
            <w:r w:rsidRPr="009F014F">
              <w:rPr>
                <w:rFonts w:ascii="Times New Roman" w:hAnsi="Times New Roman" w:cs="Times New Roman"/>
                <w:i/>
                <w:iCs/>
                <w:color w:val="002060"/>
                <w:sz w:val="24"/>
                <w:szCs w:val="24"/>
              </w:rPr>
              <w:t>euro</w:t>
            </w:r>
            <w:proofErr w:type="spellEnd"/>
            <w:r w:rsidRPr="009F014F">
              <w:rPr>
                <w:rFonts w:ascii="Times New Roman" w:hAnsi="Times New Roman" w:cs="Times New Roman"/>
                <w:color w:val="002060"/>
                <w:sz w:val="24"/>
                <w:szCs w:val="24"/>
              </w:rPr>
              <w:t>.</w:t>
            </w:r>
          </w:p>
          <w:p w14:paraId="0D4DFCA8" w14:textId="77777777" w:rsidR="00794C57" w:rsidRPr="009F014F" w:rsidRDefault="00794C57" w:rsidP="009F7126">
            <w:pPr>
              <w:spacing w:after="0" w:line="240" w:lineRule="auto"/>
              <w:jc w:val="both"/>
              <w:rPr>
                <w:rFonts w:ascii="Times New Roman" w:hAnsi="Times New Roman" w:cs="Times New Roman"/>
                <w:color w:val="002060"/>
                <w:sz w:val="24"/>
                <w:szCs w:val="24"/>
              </w:rPr>
            </w:pPr>
          </w:p>
          <w:p w14:paraId="10393218" w14:textId="299946EA" w:rsidR="009F7126" w:rsidRPr="009F014F" w:rsidRDefault="009F7126" w:rsidP="009F7126">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lastRenderedPageBreak/>
              <w:t>Ņemot vērā šo atlašu finansiālo un stratēģisko nozīmīgumu</w:t>
            </w:r>
            <w:r w:rsidR="00FF22C4" w:rsidRPr="009F014F">
              <w:rPr>
                <w:rFonts w:ascii="Times New Roman" w:hAnsi="Times New Roman" w:cs="Times New Roman"/>
                <w:color w:val="002060"/>
                <w:sz w:val="24"/>
                <w:szCs w:val="24"/>
              </w:rPr>
              <w:t xml:space="preserve">, sīkiem uzņēmumiem ir jāvēršas pie nozares asociācijas, pārliecinot, ka </w:t>
            </w:r>
            <w:r w:rsidR="00006A43" w:rsidRPr="009F014F">
              <w:rPr>
                <w:rFonts w:ascii="Times New Roman" w:hAnsi="Times New Roman" w:cs="Times New Roman"/>
                <w:color w:val="002060"/>
                <w:sz w:val="24"/>
                <w:szCs w:val="24"/>
              </w:rPr>
              <w:t>iecerētais projekts ir nozīmīgs nozares attīstībai</w:t>
            </w:r>
            <w:r w:rsidR="00505AB0" w:rsidRPr="009F014F">
              <w:rPr>
                <w:rFonts w:ascii="Times New Roman" w:hAnsi="Times New Roman" w:cs="Times New Roman"/>
                <w:color w:val="002060"/>
                <w:sz w:val="24"/>
                <w:szCs w:val="24"/>
              </w:rPr>
              <w:t>, tādejādi iespējams saņemot nozares asociācijas, kura izpilda MK noteikumos noteiktās prasības</w:t>
            </w:r>
            <w:r w:rsidR="00E97D59" w:rsidRPr="009F014F">
              <w:rPr>
                <w:rFonts w:ascii="Times New Roman" w:hAnsi="Times New Roman" w:cs="Times New Roman"/>
                <w:color w:val="002060"/>
                <w:sz w:val="24"/>
                <w:szCs w:val="24"/>
              </w:rPr>
              <w:t xml:space="preserve"> attiecībā un eksporta un apgrozījuma </w:t>
            </w:r>
            <w:r w:rsidR="00696225" w:rsidRPr="009F014F">
              <w:rPr>
                <w:rFonts w:ascii="Times New Roman" w:hAnsi="Times New Roman" w:cs="Times New Roman"/>
                <w:color w:val="002060"/>
                <w:sz w:val="24"/>
                <w:szCs w:val="24"/>
              </w:rPr>
              <w:t>apmēru, atbalsta vēstuli par projekta nozīmību nozares attīstībā</w:t>
            </w:r>
            <w:r w:rsidR="00B75670" w:rsidRPr="009F014F">
              <w:rPr>
                <w:rFonts w:ascii="Times New Roman" w:hAnsi="Times New Roman" w:cs="Times New Roman"/>
                <w:color w:val="002060"/>
                <w:sz w:val="24"/>
                <w:szCs w:val="24"/>
              </w:rPr>
              <w:t>.</w:t>
            </w:r>
          </w:p>
        </w:tc>
      </w:tr>
      <w:tr w:rsidR="006F0F77" w:rsidRPr="009F014F" w14:paraId="395F90C7" w14:textId="77777777" w:rsidTr="00346C9E">
        <w:trPr>
          <w:trHeight w:val="465"/>
        </w:trPr>
        <w:tc>
          <w:tcPr>
            <w:tcW w:w="402" w:type="pct"/>
            <w:tcBorders>
              <w:bottom w:val="single" w:sz="4" w:space="0" w:color="000000"/>
              <w:right w:val="single" w:sz="4" w:space="0" w:color="auto"/>
            </w:tcBorders>
          </w:tcPr>
          <w:p w14:paraId="74E69DE4" w14:textId="77777777" w:rsidR="006F0F77" w:rsidRPr="009F014F" w:rsidRDefault="006F0F77" w:rsidP="006F0F77">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4E4432D5" w14:textId="6355D878" w:rsidR="006F0F77" w:rsidRPr="009F014F" w:rsidRDefault="006F0F77"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Vai apgrozījums lielam uzņēmumam tiks skatīts pēc individuālā gada pārskata vai konsolidētā, ja tāds tiek veidots?</w:t>
            </w:r>
          </w:p>
        </w:tc>
        <w:tc>
          <w:tcPr>
            <w:tcW w:w="2587" w:type="pct"/>
            <w:tcBorders>
              <w:left w:val="single" w:sz="4" w:space="0" w:color="auto"/>
              <w:bottom w:val="single" w:sz="4" w:space="0" w:color="000000"/>
            </w:tcBorders>
            <w:shd w:val="clear" w:color="auto" w:fill="auto"/>
          </w:tcPr>
          <w:p w14:paraId="295EEAB9" w14:textId="6F5E5A3E" w:rsidR="006F0F77" w:rsidRPr="009F014F" w:rsidRDefault="006F0F77"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 xml:space="preserve">Lielam uzņēmuma apgrozījums tiks skatīts pēc konsolidētā gada pārskata, ja tāds tiek veidots. </w:t>
            </w:r>
          </w:p>
        </w:tc>
      </w:tr>
      <w:tr w:rsidR="006F0F77" w:rsidRPr="009F014F" w14:paraId="7FEE1478" w14:textId="77777777" w:rsidTr="00346C9E">
        <w:trPr>
          <w:trHeight w:val="465"/>
        </w:trPr>
        <w:tc>
          <w:tcPr>
            <w:tcW w:w="402" w:type="pct"/>
            <w:tcBorders>
              <w:bottom w:val="single" w:sz="4" w:space="0" w:color="000000"/>
              <w:right w:val="single" w:sz="4" w:space="0" w:color="auto"/>
            </w:tcBorders>
          </w:tcPr>
          <w:p w14:paraId="402BBC45" w14:textId="77777777" w:rsidR="006F0F77" w:rsidRPr="009F014F" w:rsidRDefault="006F0F77" w:rsidP="006F0F77">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4BAAEF66" w14:textId="77777777" w:rsidR="006F0F77" w:rsidRPr="009F014F" w:rsidRDefault="006F0F77"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Eksporta un apgrozījuma rādītājiem jābūt apliecinātiem ar valdes izziņu. Kādas valdes - uzņēmuma, asociācijas, kas izdod atbalsta vēstuli vai KC valdes izziņa?</w:t>
            </w:r>
          </w:p>
          <w:p w14:paraId="77AF0B52" w14:textId="77777777" w:rsidR="006F0F77" w:rsidRPr="009F014F" w:rsidRDefault="006F0F77"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Bet var iesniegt gada pārskatu, lai nav jātaisa liekas izziņas?</w:t>
            </w:r>
          </w:p>
          <w:p w14:paraId="68E26A19" w14:textId="11523EE1" w:rsidR="006F0F77" w:rsidRPr="009F014F" w:rsidRDefault="006F0F77"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Tad obligātā forma par rādītājiem plus katra dalībnieka valdes apliecinājums?</w:t>
            </w:r>
          </w:p>
        </w:tc>
        <w:tc>
          <w:tcPr>
            <w:tcW w:w="2587" w:type="pct"/>
            <w:tcBorders>
              <w:left w:val="single" w:sz="4" w:space="0" w:color="auto"/>
              <w:bottom w:val="single" w:sz="4" w:space="0" w:color="000000"/>
            </w:tcBorders>
            <w:shd w:val="clear" w:color="auto" w:fill="auto"/>
          </w:tcPr>
          <w:p w14:paraId="1B42FB68" w14:textId="08BA15E5" w:rsidR="006F0F77" w:rsidRPr="009F014F" w:rsidRDefault="006F0F77"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 xml:space="preserve">Jāiesniedz tās personas valdes izziņa, kuras finanšu dati tiek sniegti, attiecīgi tā būtu </w:t>
            </w:r>
            <w:r w:rsidR="00AE220D" w:rsidRPr="009F014F">
              <w:rPr>
                <w:rFonts w:ascii="Times New Roman" w:hAnsi="Times New Roman" w:cs="Times New Roman"/>
                <w:color w:val="002060"/>
                <w:sz w:val="24"/>
                <w:szCs w:val="24"/>
              </w:rPr>
              <w:t xml:space="preserve">katra </w:t>
            </w:r>
            <w:r w:rsidR="00FD45A8" w:rsidRPr="009F014F">
              <w:rPr>
                <w:rFonts w:ascii="Times New Roman" w:hAnsi="Times New Roman" w:cs="Times New Roman"/>
                <w:color w:val="002060"/>
                <w:sz w:val="24"/>
                <w:szCs w:val="24"/>
              </w:rPr>
              <w:t xml:space="preserve">kapitāldaļu turētāja </w:t>
            </w:r>
            <w:r w:rsidR="00AE220D" w:rsidRPr="009F014F">
              <w:rPr>
                <w:rFonts w:ascii="Times New Roman" w:hAnsi="Times New Roman" w:cs="Times New Roman"/>
                <w:color w:val="002060"/>
                <w:sz w:val="24"/>
                <w:szCs w:val="24"/>
              </w:rPr>
              <w:t xml:space="preserve">individuāla </w:t>
            </w:r>
            <w:r w:rsidRPr="009F014F">
              <w:rPr>
                <w:rFonts w:ascii="Times New Roman" w:hAnsi="Times New Roman" w:cs="Times New Roman"/>
                <w:color w:val="002060"/>
                <w:sz w:val="24"/>
                <w:szCs w:val="24"/>
              </w:rPr>
              <w:t xml:space="preserve">uzņēmuma valde. </w:t>
            </w:r>
          </w:p>
          <w:p w14:paraId="73B38B10" w14:textId="082F1DF4" w:rsidR="006F0F77" w:rsidRPr="009F014F" w:rsidRDefault="006F0F77"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 xml:space="preserve">Ņemot vērā Latvijā pastāvošo </w:t>
            </w:r>
            <w:proofErr w:type="spellStart"/>
            <w:r w:rsidRPr="009F014F">
              <w:rPr>
                <w:rFonts w:ascii="Times New Roman" w:hAnsi="Times New Roman" w:cs="Times New Roman"/>
                <w:color w:val="002060"/>
                <w:sz w:val="24"/>
                <w:szCs w:val="24"/>
              </w:rPr>
              <w:t>pašdeklarēšanās</w:t>
            </w:r>
            <w:proofErr w:type="spellEnd"/>
            <w:r w:rsidRPr="009F014F">
              <w:rPr>
                <w:rFonts w:ascii="Times New Roman" w:hAnsi="Times New Roman" w:cs="Times New Roman"/>
                <w:color w:val="002060"/>
                <w:sz w:val="24"/>
                <w:szCs w:val="24"/>
              </w:rPr>
              <w:t xml:space="preserve"> sistēmu, pamatā vērtējums tiek balstīts uz projekta iesniedzēju sniegto informāciju. Vienlaikus atbilstoši projektu iesniegumu kritēriju piemērošanas skaidrojumā norādītajam, datu ticamību pārbauda publiski pieejamajās datu bāzēs (Lursoft, VID), izmantojot projekta iesnieguma iesniegšanas brīdī pēdējā noslēgtā gada pārskatā norādītos apgrozījuma datus un uzņēmumu deklarētos datus par uz citu ES dalībvalsti piegādāto preču E</w:t>
            </w:r>
            <w:r w:rsidR="006127FF" w:rsidRPr="009F014F">
              <w:rPr>
                <w:rFonts w:ascii="Times New Roman" w:hAnsi="Times New Roman" w:cs="Times New Roman"/>
                <w:color w:val="002060"/>
                <w:sz w:val="24"/>
                <w:szCs w:val="24"/>
              </w:rPr>
              <w:t xml:space="preserve">iropas </w:t>
            </w:r>
            <w:r w:rsidRPr="009F014F">
              <w:rPr>
                <w:rFonts w:ascii="Times New Roman" w:hAnsi="Times New Roman" w:cs="Times New Roman"/>
                <w:color w:val="002060"/>
                <w:sz w:val="24"/>
                <w:szCs w:val="24"/>
              </w:rPr>
              <w:t>S</w:t>
            </w:r>
            <w:r w:rsidR="006127FF" w:rsidRPr="009F014F">
              <w:rPr>
                <w:rFonts w:ascii="Times New Roman" w:hAnsi="Times New Roman" w:cs="Times New Roman"/>
                <w:color w:val="002060"/>
                <w:sz w:val="24"/>
                <w:szCs w:val="24"/>
              </w:rPr>
              <w:t>avienības</w:t>
            </w:r>
            <w:r w:rsidRPr="009F014F">
              <w:rPr>
                <w:rFonts w:ascii="Times New Roman" w:hAnsi="Times New Roman" w:cs="Times New Roman"/>
                <w:color w:val="002060"/>
                <w:sz w:val="24"/>
                <w:szCs w:val="24"/>
              </w:rPr>
              <w:t xml:space="preserve"> teritorijā vērtību, eksportēto preču vērtību un to darījumu vērtību, kuru veikšanas vieta nav iekšzeme (PVN deklarācijas 45., 45.</w:t>
            </w:r>
            <w:r w:rsidRPr="009F014F">
              <w:rPr>
                <w:rFonts w:ascii="Times New Roman" w:hAnsi="Times New Roman" w:cs="Times New Roman"/>
                <w:color w:val="002060"/>
                <w:sz w:val="24"/>
                <w:szCs w:val="24"/>
                <w:vertAlign w:val="superscript"/>
              </w:rPr>
              <w:t>1</w:t>
            </w:r>
            <w:r w:rsidRPr="009F014F">
              <w:rPr>
                <w:rFonts w:ascii="Times New Roman" w:hAnsi="Times New Roman" w:cs="Times New Roman"/>
                <w:color w:val="002060"/>
                <w:sz w:val="24"/>
                <w:szCs w:val="24"/>
              </w:rPr>
              <w:t>, 48.</w:t>
            </w:r>
            <w:r w:rsidRPr="009F014F">
              <w:rPr>
                <w:rFonts w:ascii="Times New Roman" w:hAnsi="Times New Roman" w:cs="Times New Roman"/>
                <w:color w:val="002060"/>
                <w:sz w:val="24"/>
                <w:szCs w:val="24"/>
                <w:vertAlign w:val="superscript"/>
              </w:rPr>
              <w:t>1</w:t>
            </w:r>
            <w:r w:rsidRPr="009F014F">
              <w:rPr>
                <w:rFonts w:ascii="Times New Roman" w:hAnsi="Times New Roman" w:cs="Times New Roman"/>
                <w:color w:val="002060"/>
                <w:sz w:val="24"/>
                <w:szCs w:val="24"/>
              </w:rPr>
              <w:t xml:space="preserve"> un 48.</w:t>
            </w:r>
            <w:r w:rsidRPr="009F014F">
              <w:rPr>
                <w:rFonts w:ascii="Times New Roman" w:hAnsi="Times New Roman" w:cs="Times New Roman"/>
                <w:color w:val="002060"/>
                <w:sz w:val="24"/>
                <w:szCs w:val="24"/>
                <w:vertAlign w:val="superscript"/>
              </w:rPr>
              <w:t>2</w:t>
            </w:r>
            <w:r w:rsidRPr="009F014F">
              <w:rPr>
                <w:rFonts w:ascii="Times New Roman" w:hAnsi="Times New Roman" w:cs="Times New Roman"/>
                <w:color w:val="002060"/>
                <w:sz w:val="24"/>
                <w:szCs w:val="24"/>
              </w:rPr>
              <w:t xml:space="preserve"> rindu kopsumma).</w:t>
            </w:r>
          </w:p>
          <w:p w14:paraId="510D226A" w14:textId="49EACD30" w:rsidR="006F0F77" w:rsidRPr="009F014F" w:rsidRDefault="006F0F77"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Projekta iesniegumam pievieno projekta iesniedzēja dalībnieku vai biedru sarakstu, kurā tiek norādīti prasītie finanšu dati, kā arī personas, kuras finanšu dati tiek sniegti, valdes izziņa. Ja dati par eksporta apjomu ir iekļauti gada pārskatā, attiecīgi tie ir publiski pieejami, valdes izziņu par eksporta apjoma apstiprināšanu var neiesniegt. Gada pārskatu nav jāiesniedz.</w:t>
            </w:r>
          </w:p>
        </w:tc>
      </w:tr>
      <w:tr w:rsidR="006F0F77" w:rsidRPr="009F014F" w14:paraId="237BBD7B" w14:textId="77777777" w:rsidTr="00346C9E">
        <w:trPr>
          <w:trHeight w:val="465"/>
        </w:trPr>
        <w:tc>
          <w:tcPr>
            <w:tcW w:w="402" w:type="pct"/>
            <w:tcBorders>
              <w:bottom w:val="single" w:sz="4" w:space="0" w:color="000000"/>
              <w:right w:val="single" w:sz="4" w:space="0" w:color="auto"/>
            </w:tcBorders>
          </w:tcPr>
          <w:p w14:paraId="053A9BC7" w14:textId="77777777" w:rsidR="006F0F77" w:rsidRPr="009F014F" w:rsidRDefault="006F0F77" w:rsidP="006F0F77">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3476C3B0" w14:textId="3AB325A3" w:rsidR="006F0F77" w:rsidRPr="009F014F" w:rsidRDefault="006F0F77"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 xml:space="preserve">Vai </w:t>
            </w:r>
            <w:r w:rsidR="006B1220" w:rsidRPr="009F014F">
              <w:rPr>
                <w:rFonts w:ascii="Times New Roman" w:hAnsi="Times New Roman" w:cs="Times New Roman"/>
                <w:sz w:val="24"/>
                <w:szCs w:val="24"/>
              </w:rPr>
              <w:t xml:space="preserve">projekta iesniedzējam </w:t>
            </w:r>
            <w:r w:rsidRPr="009F014F">
              <w:rPr>
                <w:rFonts w:ascii="Times New Roman" w:hAnsi="Times New Roman" w:cs="Times New Roman"/>
                <w:sz w:val="24"/>
                <w:szCs w:val="24"/>
              </w:rPr>
              <w:t>ir nepieciešam</w:t>
            </w:r>
            <w:r w:rsidR="006B1220" w:rsidRPr="009F014F">
              <w:rPr>
                <w:rFonts w:ascii="Times New Roman" w:hAnsi="Times New Roman" w:cs="Times New Roman"/>
                <w:sz w:val="24"/>
                <w:szCs w:val="24"/>
              </w:rPr>
              <w:t>s iesniegt</w:t>
            </w:r>
            <w:r w:rsidRPr="009F014F">
              <w:rPr>
                <w:rFonts w:ascii="Times New Roman" w:hAnsi="Times New Roman" w:cs="Times New Roman"/>
                <w:sz w:val="24"/>
                <w:szCs w:val="24"/>
              </w:rPr>
              <w:t xml:space="preserve"> izziņ</w:t>
            </w:r>
            <w:r w:rsidR="006B1220" w:rsidRPr="009F014F">
              <w:rPr>
                <w:rFonts w:ascii="Times New Roman" w:hAnsi="Times New Roman" w:cs="Times New Roman"/>
                <w:sz w:val="24"/>
                <w:szCs w:val="24"/>
              </w:rPr>
              <w:t>u</w:t>
            </w:r>
            <w:r w:rsidRPr="009F014F">
              <w:rPr>
                <w:rFonts w:ascii="Times New Roman" w:hAnsi="Times New Roman" w:cs="Times New Roman"/>
                <w:sz w:val="24"/>
                <w:szCs w:val="24"/>
              </w:rPr>
              <w:t xml:space="preserve"> vai gada pārskat</w:t>
            </w:r>
            <w:r w:rsidR="006B1220" w:rsidRPr="009F014F">
              <w:rPr>
                <w:rFonts w:ascii="Times New Roman" w:hAnsi="Times New Roman" w:cs="Times New Roman"/>
                <w:sz w:val="24"/>
                <w:szCs w:val="24"/>
              </w:rPr>
              <w:t>u par finanšu rādītājiem</w:t>
            </w:r>
            <w:r w:rsidRPr="009F014F">
              <w:rPr>
                <w:rFonts w:ascii="Times New Roman" w:hAnsi="Times New Roman" w:cs="Times New Roman"/>
                <w:sz w:val="24"/>
                <w:szCs w:val="24"/>
              </w:rPr>
              <w:t>?</w:t>
            </w:r>
          </w:p>
        </w:tc>
        <w:tc>
          <w:tcPr>
            <w:tcW w:w="2587" w:type="pct"/>
            <w:tcBorders>
              <w:left w:val="single" w:sz="4" w:space="0" w:color="auto"/>
              <w:bottom w:val="single" w:sz="4" w:space="0" w:color="000000"/>
            </w:tcBorders>
            <w:shd w:val="clear" w:color="auto" w:fill="auto"/>
          </w:tcPr>
          <w:p w14:paraId="40DDA7A8" w14:textId="77777777" w:rsidR="006F0F77" w:rsidRPr="009F014F" w:rsidRDefault="006F0F77"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 xml:space="preserve">Ja dati par eksporta apjomu ir iekļauti gada pārskatā, attiecīgi tie ir publiski pieejami, valdes izziņu par eksporta apjoma apstiprināšanu var neiesniegt. </w:t>
            </w:r>
          </w:p>
          <w:p w14:paraId="12759E18" w14:textId="77777777" w:rsidR="006F0F77" w:rsidRPr="009F014F" w:rsidRDefault="006F0F77"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Gada pārskatu nav jāiesniedz.</w:t>
            </w:r>
          </w:p>
          <w:p w14:paraId="453EABD3" w14:textId="77777777" w:rsidR="006F0F77" w:rsidRPr="009F014F" w:rsidRDefault="006F0F77" w:rsidP="006F0F77">
            <w:pPr>
              <w:spacing w:after="0" w:line="240" w:lineRule="auto"/>
              <w:jc w:val="both"/>
              <w:rPr>
                <w:rFonts w:ascii="Times New Roman" w:hAnsi="Times New Roman" w:cs="Times New Roman"/>
                <w:color w:val="002060"/>
                <w:sz w:val="24"/>
                <w:szCs w:val="24"/>
              </w:rPr>
            </w:pPr>
          </w:p>
          <w:p w14:paraId="5CDE327F" w14:textId="77777777" w:rsidR="006F0F77" w:rsidRPr="009F014F" w:rsidRDefault="006F0F77"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Ja dati par eksporta apjomu nav iekļauti gada pārskatā, iesniedz personas, kuras finanšu dati tiek sniegti, valdes izziņu.</w:t>
            </w:r>
          </w:p>
          <w:p w14:paraId="1A8DB969" w14:textId="77777777" w:rsidR="0010676A" w:rsidRPr="009F014F" w:rsidRDefault="0010676A" w:rsidP="006F0F77">
            <w:pPr>
              <w:spacing w:after="0" w:line="240" w:lineRule="auto"/>
              <w:jc w:val="both"/>
              <w:rPr>
                <w:rFonts w:ascii="Times New Roman" w:hAnsi="Times New Roman" w:cs="Times New Roman"/>
                <w:color w:val="002060"/>
                <w:sz w:val="24"/>
                <w:szCs w:val="24"/>
              </w:rPr>
            </w:pPr>
          </w:p>
          <w:p w14:paraId="4B3DF8B9" w14:textId="7B2823F8" w:rsidR="006F0F77" w:rsidRPr="009F014F" w:rsidRDefault="0010676A" w:rsidP="006F0F77">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Gadījumā, ja tiek konstatēts datu trūkums, tad Aģentūra, pamatojoties uz pieejamo informāciju, projekta iesniegumu apstiprina ar nosacījumu, pieprasot projekta iesniedzējam zvērināta revidenta apstiprinātu gada pārskatu.</w:t>
            </w:r>
          </w:p>
        </w:tc>
      </w:tr>
      <w:tr w:rsidR="00562872" w:rsidRPr="009F014F" w14:paraId="1619F901" w14:textId="77777777" w:rsidTr="00346C9E">
        <w:trPr>
          <w:trHeight w:val="465"/>
        </w:trPr>
        <w:tc>
          <w:tcPr>
            <w:tcW w:w="402" w:type="pct"/>
            <w:tcBorders>
              <w:bottom w:val="single" w:sz="4" w:space="0" w:color="000000"/>
              <w:right w:val="single" w:sz="4" w:space="0" w:color="auto"/>
            </w:tcBorders>
          </w:tcPr>
          <w:p w14:paraId="400EA019" w14:textId="77777777" w:rsidR="00562872" w:rsidRPr="009F014F" w:rsidRDefault="00562872"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0C20BB19" w14:textId="27965B38" w:rsidR="00562872" w:rsidRPr="009F014F" w:rsidRDefault="00562872"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Kur ir pieejama Ekonomikas ministrijas izstrādātā metodika pētniecības projektu vērtēšanas kritēriju izstrādei?</w:t>
            </w:r>
          </w:p>
        </w:tc>
        <w:tc>
          <w:tcPr>
            <w:tcW w:w="2587" w:type="pct"/>
            <w:tcBorders>
              <w:left w:val="single" w:sz="4" w:space="0" w:color="auto"/>
              <w:bottom w:val="single" w:sz="4" w:space="0" w:color="000000"/>
            </w:tcBorders>
            <w:shd w:val="clear" w:color="auto" w:fill="auto"/>
          </w:tcPr>
          <w:p w14:paraId="4E3639B3" w14:textId="77777777" w:rsidR="00562872" w:rsidRPr="009F014F" w:rsidRDefault="00562872" w:rsidP="00562872">
            <w:pPr>
              <w:pStyle w:val="NormalWeb"/>
              <w:spacing w:before="0" w:beforeAutospacing="0" w:after="0" w:afterAutospacing="0"/>
              <w:jc w:val="both"/>
              <w:rPr>
                <w:color w:val="002060"/>
                <w:lang w:val="lv-LV"/>
              </w:rPr>
            </w:pPr>
            <w:r w:rsidRPr="009F014F">
              <w:rPr>
                <w:color w:val="002060"/>
                <w:lang w:val="lv-LV"/>
              </w:rPr>
              <w:t>Metodika pētniecības projektu vērtēšanas kritēriju izstrādei pieejama Ekonomikas ministrijas mājaslapā: </w:t>
            </w:r>
            <w:hyperlink r:id="rId10" w:tgtFrame="_blank" w:tooltip="https://www.em.gov.lv/lv/projektu-atlases" w:history="1">
              <w:r w:rsidRPr="009F014F">
                <w:rPr>
                  <w:rStyle w:val="Hyperlink"/>
                  <w:color w:val="002060"/>
                  <w:lang w:val="lv-LV"/>
                </w:rPr>
                <w:t>https://www.em.gov.lv/lv/projektu-atlases</w:t>
              </w:r>
            </w:hyperlink>
            <w:r w:rsidRPr="009F014F">
              <w:rPr>
                <w:color w:val="002060"/>
                <w:lang w:val="lv-LV"/>
              </w:rPr>
              <w:t xml:space="preserve"> – sadaļās:</w:t>
            </w:r>
          </w:p>
          <w:p w14:paraId="11507760" w14:textId="77777777" w:rsidR="00562872" w:rsidRPr="009F014F" w:rsidRDefault="00562872" w:rsidP="00562872">
            <w:pPr>
              <w:numPr>
                <w:ilvl w:val="0"/>
                <w:numId w:val="22"/>
              </w:num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lastRenderedPageBreak/>
              <w:t>Atbalsts jaunu produktu un pakalpojumu ieviešanai uzņēmējdarbībā (digitāli produkti);</w:t>
            </w:r>
          </w:p>
          <w:p w14:paraId="57004E34" w14:textId="77777777" w:rsidR="00562872" w:rsidRPr="009F014F" w:rsidRDefault="00562872" w:rsidP="00562872">
            <w:pPr>
              <w:numPr>
                <w:ilvl w:val="0"/>
                <w:numId w:val="22"/>
              </w:num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Atbalsta instruments pētniecībai un internacionalizācijai (jauni produkti);</w:t>
            </w:r>
          </w:p>
          <w:p w14:paraId="5EB663A7" w14:textId="41C500CD" w:rsidR="00562872" w:rsidRPr="009F014F" w:rsidRDefault="00562872" w:rsidP="00B32FD1">
            <w:pPr>
              <w:numPr>
                <w:ilvl w:val="0"/>
                <w:numId w:val="22"/>
              </w:num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Inovatīvu produktu un tehnoloģiju izstrāde (zaļi produkti).</w:t>
            </w:r>
          </w:p>
        </w:tc>
      </w:tr>
      <w:tr w:rsidR="00562872" w:rsidRPr="009F014F" w14:paraId="259B0EE0" w14:textId="77777777" w:rsidTr="00346C9E">
        <w:trPr>
          <w:trHeight w:val="465"/>
        </w:trPr>
        <w:tc>
          <w:tcPr>
            <w:tcW w:w="402" w:type="pct"/>
            <w:tcBorders>
              <w:bottom w:val="single" w:sz="4" w:space="0" w:color="000000"/>
              <w:right w:val="single" w:sz="4" w:space="0" w:color="auto"/>
            </w:tcBorders>
          </w:tcPr>
          <w:p w14:paraId="75BDB5AB" w14:textId="725FE7EE" w:rsidR="00562872" w:rsidRPr="009F014F" w:rsidRDefault="00562872"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174C57F3" w14:textId="61F14C3C" w:rsidR="00562872" w:rsidRPr="009F014F" w:rsidRDefault="00562872"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Vai tiek atbalstīti projekti, kuri nodarbojas ar “</w:t>
            </w:r>
            <w:proofErr w:type="spellStart"/>
            <w:r w:rsidRPr="009F014F">
              <w:rPr>
                <w:rFonts w:ascii="Times New Roman" w:hAnsi="Times New Roman" w:cs="Times New Roman"/>
                <w:sz w:val="24"/>
                <w:szCs w:val="24"/>
              </w:rPr>
              <w:t>online</w:t>
            </w:r>
            <w:proofErr w:type="spellEnd"/>
            <w:r w:rsidRPr="009F014F">
              <w:rPr>
                <w:rFonts w:ascii="Times New Roman" w:hAnsi="Times New Roman" w:cs="Times New Roman"/>
                <w:sz w:val="24"/>
                <w:szCs w:val="24"/>
              </w:rPr>
              <w:t>” servisa izstrādi, proti, platforma pasūtītājiem un attiecīgas nozares speciālistiem?</w:t>
            </w:r>
          </w:p>
        </w:tc>
        <w:tc>
          <w:tcPr>
            <w:tcW w:w="2587" w:type="pct"/>
            <w:tcBorders>
              <w:left w:val="single" w:sz="4" w:space="0" w:color="auto"/>
              <w:bottom w:val="single" w:sz="4" w:space="0" w:color="000000"/>
            </w:tcBorders>
            <w:shd w:val="clear" w:color="auto" w:fill="auto"/>
          </w:tcPr>
          <w:p w14:paraId="2DE18C79" w14:textId="77777777" w:rsidR="00562872" w:rsidRPr="009F014F" w:rsidRDefault="00562872" w:rsidP="00562872">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Šīs atlases ietvaros projekta iesniedzējs ir tas, kurš atbalsta komersantus un veic pētniecības projektu atlasi.</w:t>
            </w:r>
          </w:p>
          <w:p w14:paraId="5968D408" w14:textId="230D3DC4" w:rsidR="00562872" w:rsidRPr="009F014F" w:rsidRDefault="00562872" w:rsidP="00562872">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Jāvērš uzmanību, ka projekta iesniedzēja mērķis ir veicināt RIS3 jomas attīstības virzienu, un tas ir plašāks nekā jautājumā minētā “</w:t>
            </w:r>
            <w:proofErr w:type="spellStart"/>
            <w:r w:rsidRPr="009F014F">
              <w:rPr>
                <w:rFonts w:ascii="Times New Roman" w:hAnsi="Times New Roman" w:cs="Times New Roman"/>
                <w:color w:val="002060"/>
                <w:sz w:val="24"/>
                <w:szCs w:val="24"/>
              </w:rPr>
              <w:t>online</w:t>
            </w:r>
            <w:proofErr w:type="spellEnd"/>
            <w:r w:rsidRPr="009F014F">
              <w:rPr>
                <w:rFonts w:ascii="Times New Roman" w:hAnsi="Times New Roman" w:cs="Times New Roman"/>
                <w:color w:val="002060"/>
                <w:sz w:val="24"/>
                <w:szCs w:val="24"/>
              </w:rPr>
              <w:t>” servisa izstrāde. Taču “</w:t>
            </w:r>
            <w:proofErr w:type="spellStart"/>
            <w:r w:rsidRPr="009F014F">
              <w:rPr>
                <w:rFonts w:ascii="Times New Roman" w:hAnsi="Times New Roman" w:cs="Times New Roman"/>
                <w:color w:val="002060"/>
                <w:sz w:val="24"/>
                <w:szCs w:val="24"/>
              </w:rPr>
              <w:t>online</w:t>
            </w:r>
            <w:proofErr w:type="spellEnd"/>
            <w:r w:rsidRPr="009F014F">
              <w:rPr>
                <w:rFonts w:ascii="Times New Roman" w:hAnsi="Times New Roman" w:cs="Times New Roman"/>
                <w:color w:val="002060"/>
                <w:sz w:val="24"/>
                <w:szCs w:val="24"/>
              </w:rPr>
              <w:t xml:space="preserve">” servisa izstrāde ar inovatīviem risinājumiem un jaunām platformām būtu skatāma </w:t>
            </w:r>
            <w:r w:rsidR="006B6DDC" w:rsidRPr="009F014F">
              <w:rPr>
                <w:rFonts w:ascii="Times New Roman" w:hAnsi="Times New Roman" w:cs="Times New Roman"/>
                <w:color w:val="002060"/>
                <w:sz w:val="24"/>
                <w:szCs w:val="24"/>
              </w:rPr>
              <w:t xml:space="preserve">apstiprināta </w:t>
            </w:r>
            <w:r w:rsidRPr="009F014F">
              <w:rPr>
                <w:rFonts w:ascii="Times New Roman" w:hAnsi="Times New Roman" w:cs="Times New Roman"/>
                <w:color w:val="002060"/>
                <w:sz w:val="24"/>
                <w:szCs w:val="24"/>
              </w:rPr>
              <w:t>projekta iesniedzēja</w:t>
            </w:r>
            <w:r w:rsidR="006B6DDC" w:rsidRPr="009F014F">
              <w:rPr>
                <w:rFonts w:ascii="Times New Roman" w:hAnsi="Times New Roman" w:cs="Times New Roman"/>
                <w:color w:val="002060"/>
                <w:sz w:val="24"/>
                <w:szCs w:val="24"/>
              </w:rPr>
              <w:t xml:space="preserve"> jeb finansējuma saņēmēja</w:t>
            </w:r>
            <w:r w:rsidRPr="009F014F">
              <w:rPr>
                <w:rFonts w:ascii="Times New Roman" w:hAnsi="Times New Roman" w:cs="Times New Roman"/>
                <w:color w:val="002060"/>
                <w:sz w:val="24"/>
                <w:szCs w:val="24"/>
              </w:rPr>
              <w:t xml:space="preserve"> sadarbības partnera līmenī. Šāda projekta ideja būtu vērtējama </w:t>
            </w:r>
            <w:r w:rsidR="00DA45DF" w:rsidRPr="009F014F">
              <w:rPr>
                <w:rFonts w:ascii="Times New Roman" w:hAnsi="Times New Roman" w:cs="Times New Roman"/>
                <w:color w:val="002060"/>
                <w:sz w:val="24"/>
                <w:szCs w:val="24"/>
              </w:rPr>
              <w:t xml:space="preserve">kā pētniecības projekta iesniedzējam </w:t>
            </w:r>
            <w:r w:rsidRPr="009F014F">
              <w:rPr>
                <w:rFonts w:ascii="Times New Roman" w:hAnsi="Times New Roman" w:cs="Times New Roman"/>
                <w:color w:val="002060"/>
                <w:sz w:val="24"/>
                <w:szCs w:val="24"/>
              </w:rPr>
              <w:t xml:space="preserve">pētniecības projektu atlases ietvaros, ko veiks </w:t>
            </w:r>
            <w:r w:rsidR="00275D77" w:rsidRPr="009F014F">
              <w:rPr>
                <w:rFonts w:ascii="Times New Roman" w:hAnsi="Times New Roman" w:cs="Times New Roman"/>
                <w:color w:val="002060"/>
                <w:sz w:val="24"/>
                <w:szCs w:val="24"/>
              </w:rPr>
              <w:t>finansējuma saņēmējs</w:t>
            </w:r>
            <w:r w:rsidR="00EE114E" w:rsidRPr="009F014F">
              <w:rPr>
                <w:rFonts w:ascii="Times New Roman" w:hAnsi="Times New Roman" w:cs="Times New Roman"/>
                <w:color w:val="002060"/>
                <w:sz w:val="24"/>
                <w:szCs w:val="24"/>
              </w:rPr>
              <w:t xml:space="preserve"> </w:t>
            </w:r>
            <w:r w:rsidRPr="009F014F">
              <w:rPr>
                <w:rFonts w:ascii="Times New Roman" w:hAnsi="Times New Roman" w:cs="Times New Roman"/>
                <w:color w:val="002060"/>
                <w:sz w:val="24"/>
                <w:szCs w:val="24"/>
              </w:rPr>
              <w:t>atbilstoši pētniecības</w:t>
            </w:r>
            <w:r w:rsidR="008F2807" w:rsidRPr="009F014F">
              <w:rPr>
                <w:rFonts w:ascii="Times New Roman" w:hAnsi="Times New Roman" w:cs="Times New Roman"/>
                <w:color w:val="002060"/>
                <w:sz w:val="24"/>
                <w:szCs w:val="24"/>
              </w:rPr>
              <w:t xml:space="preserve"> projektu atlases</w:t>
            </w:r>
            <w:r w:rsidR="00743225" w:rsidRPr="009F014F">
              <w:rPr>
                <w:rFonts w:ascii="Times New Roman" w:hAnsi="Times New Roman" w:cs="Times New Roman"/>
                <w:color w:val="002060"/>
                <w:sz w:val="24"/>
                <w:szCs w:val="24"/>
              </w:rPr>
              <w:t xml:space="preserve"> atklātā</w:t>
            </w:r>
            <w:r w:rsidRPr="009F014F">
              <w:rPr>
                <w:rFonts w:ascii="Times New Roman" w:hAnsi="Times New Roman" w:cs="Times New Roman"/>
                <w:color w:val="002060"/>
                <w:sz w:val="24"/>
                <w:szCs w:val="24"/>
              </w:rPr>
              <w:t xml:space="preserve"> </w:t>
            </w:r>
            <w:r w:rsidR="005D5159" w:rsidRPr="009F014F">
              <w:rPr>
                <w:rFonts w:ascii="Times New Roman" w:hAnsi="Times New Roman" w:cs="Times New Roman"/>
                <w:color w:val="002060"/>
                <w:sz w:val="24"/>
                <w:szCs w:val="24"/>
              </w:rPr>
              <w:t xml:space="preserve">uzsaukumā </w:t>
            </w:r>
            <w:r w:rsidRPr="009F014F">
              <w:rPr>
                <w:rFonts w:ascii="Times New Roman" w:hAnsi="Times New Roman" w:cs="Times New Roman"/>
                <w:color w:val="002060"/>
                <w:sz w:val="24"/>
                <w:szCs w:val="24"/>
              </w:rPr>
              <w:t>definētajiem nosacījumiem.</w:t>
            </w:r>
          </w:p>
        </w:tc>
      </w:tr>
      <w:tr w:rsidR="00562872" w:rsidRPr="009F014F" w14:paraId="23F0D7C5" w14:textId="77777777" w:rsidTr="00346C9E">
        <w:trPr>
          <w:trHeight w:val="465"/>
        </w:trPr>
        <w:tc>
          <w:tcPr>
            <w:tcW w:w="402" w:type="pct"/>
            <w:tcBorders>
              <w:bottom w:val="single" w:sz="4" w:space="0" w:color="000000"/>
              <w:right w:val="single" w:sz="4" w:space="0" w:color="auto"/>
            </w:tcBorders>
          </w:tcPr>
          <w:p w14:paraId="18363051" w14:textId="0C95027A" w:rsidR="00562872" w:rsidRPr="009F014F" w:rsidRDefault="00562872"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6B4C6D7D" w14:textId="3E3EDBE8" w:rsidR="00562872" w:rsidRPr="009F014F" w:rsidRDefault="00562872"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Cik uzņēmumu var kvalificēties?</w:t>
            </w:r>
          </w:p>
        </w:tc>
        <w:tc>
          <w:tcPr>
            <w:tcW w:w="2587" w:type="pct"/>
            <w:tcBorders>
              <w:left w:val="single" w:sz="4" w:space="0" w:color="auto"/>
              <w:bottom w:val="single" w:sz="4" w:space="0" w:color="000000"/>
            </w:tcBorders>
            <w:shd w:val="clear" w:color="auto" w:fill="auto"/>
          </w:tcPr>
          <w:p w14:paraId="272A7C57" w14:textId="0C873032" w:rsidR="00562872" w:rsidRPr="009F014F" w:rsidRDefault="00562872" w:rsidP="00562872">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Ņemot vērā sasniegtos rezultātus līdzīgu atbalsta programmu ieviešanā, atbalstīto komersantu skaits varētu sasniegt 300.</w:t>
            </w:r>
          </w:p>
        </w:tc>
      </w:tr>
      <w:tr w:rsidR="00562872" w:rsidRPr="009F014F" w14:paraId="6D38D5E2" w14:textId="77777777" w:rsidTr="00346C9E">
        <w:trPr>
          <w:trHeight w:val="465"/>
        </w:trPr>
        <w:tc>
          <w:tcPr>
            <w:tcW w:w="402" w:type="pct"/>
            <w:tcBorders>
              <w:bottom w:val="single" w:sz="4" w:space="0" w:color="000000"/>
              <w:right w:val="single" w:sz="4" w:space="0" w:color="auto"/>
            </w:tcBorders>
          </w:tcPr>
          <w:p w14:paraId="37C1B79B" w14:textId="486766AC" w:rsidR="00562872" w:rsidRPr="009F014F" w:rsidRDefault="00562872"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1DAD7A78" w14:textId="155A37B0" w:rsidR="00562872" w:rsidRPr="009F014F" w:rsidRDefault="00562872"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Vai projekta iesniedzējs ir kompetences centrs?</w:t>
            </w:r>
          </w:p>
        </w:tc>
        <w:tc>
          <w:tcPr>
            <w:tcW w:w="2587" w:type="pct"/>
            <w:tcBorders>
              <w:left w:val="single" w:sz="4" w:space="0" w:color="auto"/>
              <w:bottom w:val="single" w:sz="4" w:space="0" w:color="000000"/>
            </w:tcBorders>
            <w:shd w:val="clear" w:color="auto" w:fill="auto"/>
          </w:tcPr>
          <w:p w14:paraId="23401A2C" w14:textId="1CAB8DD0" w:rsidR="00562872" w:rsidRPr="009F014F" w:rsidRDefault="00562872" w:rsidP="00562872">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Jā, kompetences centrs var būt projekta iesniedzējs, vienlaikus tā var būt arī cita veida juridiskā persona vai biedrība, kas atbilst MK noteikumos definētajām prasībām projekta iesniedzējam, t.sk. juridiskajam statusam un finanšu rādītājiem.</w:t>
            </w:r>
          </w:p>
        </w:tc>
      </w:tr>
      <w:tr w:rsidR="00562872" w:rsidRPr="009F014F" w14:paraId="09055705" w14:textId="77777777" w:rsidTr="00346C9E">
        <w:trPr>
          <w:trHeight w:val="465"/>
        </w:trPr>
        <w:tc>
          <w:tcPr>
            <w:tcW w:w="402" w:type="pct"/>
            <w:tcBorders>
              <w:bottom w:val="single" w:sz="4" w:space="0" w:color="000000"/>
              <w:right w:val="single" w:sz="4" w:space="0" w:color="auto"/>
            </w:tcBorders>
          </w:tcPr>
          <w:p w14:paraId="0A73B854" w14:textId="05505FFD" w:rsidR="00562872" w:rsidRPr="009F014F" w:rsidRDefault="00562872"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147336C0" w14:textId="59C88AF1" w:rsidR="00562872" w:rsidRPr="009F014F" w:rsidRDefault="00562872"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Par kādu periodu jāpierāda finanšu  pietiekamība projekta īstenošanai?</w:t>
            </w:r>
          </w:p>
        </w:tc>
        <w:tc>
          <w:tcPr>
            <w:tcW w:w="2587" w:type="pct"/>
            <w:tcBorders>
              <w:left w:val="single" w:sz="4" w:space="0" w:color="auto"/>
              <w:bottom w:val="single" w:sz="4" w:space="0" w:color="000000"/>
            </w:tcBorders>
            <w:shd w:val="clear" w:color="auto" w:fill="auto"/>
          </w:tcPr>
          <w:p w14:paraId="23081B20" w14:textId="678DEEE9" w:rsidR="00562872" w:rsidRPr="009F014F" w:rsidRDefault="00562872" w:rsidP="00562872">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Finansējuma pietiekamība jāapliecina projekta attiecināmo izmaksu rašanās periodā, piemēram, ja projekta izmaksas aptver divus gadus, tad finanšu pietiekamība jāpamato diviem gadiem.</w:t>
            </w:r>
          </w:p>
        </w:tc>
      </w:tr>
      <w:tr w:rsidR="00562872" w:rsidRPr="009F014F" w14:paraId="58C64B23" w14:textId="77777777" w:rsidTr="00346C9E">
        <w:trPr>
          <w:trHeight w:val="465"/>
        </w:trPr>
        <w:tc>
          <w:tcPr>
            <w:tcW w:w="402" w:type="pct"/>
            <w:tcBorders>
              <w:bottom w:val="single" w:sz="4" w:space="0" w:color="000000"/>
              <w:right w:val="single" w:sz="4" w:space="0" w:color="auto"/>
            </w:tcBorders>
          </w:tcPr>
          <w:p w14:paraId="01431225" w14:textId="170DC2CA" w:rsidR="00562872" w:rsidRPr="009F014F" w:rsidRDefault="00562872"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051BB79D" w14:textId="6D9A8E35" w:rsidR="00562872" w:rsidRPr="009F014F" w:rsidRDefault="00562872" w:rsidP="000C6CED">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Ja ir nepieciešama bankas konta izdruka - tajā jābūt 2 gadu izdevumu summai?</w:t>
            </w:r>
          </w:p>
        </w:tc>
        <w:tc>
          <w:tcPr>
            <w:tcW w:w="2587" w:type="pct"/>
            <w:tcBorders>
              <w:left w:val="single" w:sz="4" w:space="0" w:color="auto"/>
              <w:bottom w:val="single" w:sz="4" w:space="0" w:color="000000"/>
            </w:tcBorders>
            <w:shd w:val="clear" w:color="auto" w:fill="auto"/>
          </w:tcPr>
          <w:p w14:paraId="135FAEEC" w14:textId="5D4E7B77" w:rsidR="00562872" w:rsidRPr="009F014F" w:rsidRDefault="00562872" w:rsidP="00562872">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Bankas konta izdruka var būt finanšu pieejamību apliecinošs dokuments un tajā jāpamato visu projektā plānoto projekta iesniedzēja izmaksu summa par visu projekta īstenošanas periodu, ja tas ir vienīgais finansēšanas avots.</w:t>
            </w:r>
          </w:p>
        </w:tc>
      </w:tr>
      <w:tr w:rsidR="003E4191" w:rsidRPr="009F014F" w14:paraId="6CFD5D29" w14:textId="77777777" w:rsidTr="00346C9E">
        <w:trPr>
          <w:trHeight w:val="465"/>
        </w:trPr>
        <w:tc>
          <w:tcPr>
            <w:tcW w:w="402" w:type="pct"/>
            <w:tcBorders>
              <w:bottom w:val="single" w:sz="4" w:space="0" w:color="000000"/>
              <w:right w:val="single" w:sz="4" w:space="0" w:color="auto"/>
            </w:tcBorders>
          </w:tcPr>
          <w:p w14:paraId="0B2A63DB" w14:textId="77777777" w:rsidR="003E4191" w:rsidRPr="009F014F" w:rsidRDefault="003E4191"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5CDD0550" w14:textId="77777777" w:rsidR="002B768B" w:rsidRPr="009F014F" w:rsidRDefault="002B768B" w:rsidP="002B768B">
            <w:pPr>
              <w:spacing w:after="0" w:line="240" w:lineRule="auto"/>
              <w:jc w:val="both"/>
              <w:rPr>
                <w:rFonts w:ascii="Times New Roman" w:hAnsi="Times New Roman" w:cs="Times New Roman"/>
                <w:sz w:val="24"/>
                <w:szCs w:val="24"/>
              </w:rPr>
            </w:pPr>
            <w:r w:rsidRPr="009F014F">
              <w:rPr>
                <w:rFonts w:ascii="Times New Roman" w:hAnsi="Times New Roman" w:cs="Times New Roman"/>
                <w:color w:val="424242"/>
                <w:sz w:val="24"/>
                <w:szCs w:val="24"/>
              </w:rPr>
              <w:t xml:space="preserve">Kādi ir potenciālie </w:t>
            </w:r>
            <w:r w:rsidRPr="009F014F">
              <w:rPr>
                <w:rFonts w:ascii="Times New Roman" w:eastAsia="Times New Roman" w:hAnsi="Times New Roman" w:cs="Times New Roman"/>
                <w:sz w:val="24"/>
                <w:szCs w:val="24"/>
              </w:rPr>
              <w:t>finansiālo</w:t>
            </w:r>
            <w:r w:rsidRPr="009F014F">
              <w:rPr>
                <w:rFonts w:ascii="Times New Roman" w:hAnsi="Times New Roman" w:cs="Times New Roman"/>
                <w:color w:val="424242"/>
                <w:sz w:val="24"/>
                <w:szCs w:val="24"/>
              </w:rPr>
              <w:t xml:space="preserve"> kapacitāti pamatojošie dokumenti?</w:t>
            </w:r>
          </w:p>
          <w:p w14:paraId="784F2B41" w14:textId="4A70A980" w:rsidR="002B768B" w:rsidRPr="009F014F" w:rsidRDefault="002B768B" w:rsidP="002B768B">
            <w:pPr>
              <w:pStyle w:val="NormalWeb"/>
              <w:shd w:val="clear" w:color="auto" w:fill="FFFFFF"/>
              <w:jc w:val="both"/>
              <w:rPr>
                <w:lang w:val="lv-LV"/>
              </w:rPr>
            </w:pPr>
            <w:r w:rsidRPr="009F014F">
              <w:rPr>
                <w:color w:val="424242"/>
                <w:lang w:val="lv-LV"/>
              </w:rPr>
              <w:t>Vai pietiek ar to, ka projektu iesniedzējam ir paredzēta administratīvo izmaksu iekasēšana no potenciāliem sadarbības partneriem? Šajā gadījumā nekādu konkrēto dokumentu nav iespējams iesniegt, jo nav vēl zināmi sadarbības partneri. Kā pamatojumu ir iespējams iesniegt esošos sadarbības līgumus, kuros ir redzams, ka administratīvo izmaksu iekasēšana ir paredzēta.</w:t>
            </w:r>
          </w:p>
          <w:p w14:paraId="5EB31C36" w14:textId="5C1499D9" w:rsidR="002B768B" w:rsidRPr="009F014F" w:rsidRDefault="002B768B" w:rsidP="002B768B">
            <w:pPr>
              <w:pStyle w:val="NormalWeb"/>
              <w:shd w:val="clear" w:color="auto" w:fill="FFFFFF"/>
              <w:jc w:val="both"/>
              <w:rPr>
                <w:lang w:val="lv-LV"/>
              </w:rPr>
            </w:pPr>
            <w:r w:rsidRPr="009F014F">
              <w:rPr>
                <w:color w:val="424242"/>
                <w:lang w:val="lv-LV"/>
              </w:rPr>
              <w:lastRenderedPageBreak/>
              <w:t>Kādam periodam un cik programmām ir nepieciešami pamatojošie dokumenti / bankas pārskati? Piemēram, ja projekta budžets vienai programmai visā periodā ir 350 TEUR, vai nepieciešams nodrošināt visu summu bankas kontā? Ja pieteikuma iesniedzējs plāno startēt 3 programmās – tad 350*3 ir 1050 TEUR jeb vairāk nekā viens miljons EUR. Vai tomēr pietiek ar skaidrojumiem par naudas plūsmas nodrošināšanu?</w:t>
            </w:r>
          </w:p>
          <w:p w14:paraId="744591E9" w14:textId="184E1B83" w:rsidR="003E4191" w:rsidRPr="009F014F" w:rsidRDefault="002B768B" w:rsidP="002B768B">
            <w:pPr>
              <w:spacing w:after="0" w:line="240" w:lineRule="auto"/>
              <w:jc w:val="both"/>
              <w:rPr>
                <w:rFonts w:ascii="Times New Roman" w:hAnsi="Times New Roman" w:cs="Times New Roman"/>
                <w:sz w:val="24"/>
                <w:szCs w:val="24"/>
              </w:rPr>
            </w:pPr>
            <w:r w:rsidRPr="009F014F">
              <w:rPr>
                <w:rStyle w:val="normaltextrun"/>
                <w:rFonts w:ascii="Times New Roman" w:hAnsi="Times New Roman" w:cs="Times New Roman"/>
                <w:color w:val="000000"/>
                <w:sz w:val="24"/>
                <w:szCs w:val="24"/>
                <w:shd w:val="clear" w:color="auto" w:fill="FFFFFF"/>
              </w:rPr>
              <w:t xml:space="preserve">Projekta iesniedzējam pieejamie finanšu resursi jānodrošina projekta iesniegumā paredzēto projekta iesniedzēja attiecināmo izmaksu apmērā, kas saistīti ar projekta vadību un administrēšanu, dokumentāri pamatojot to, piemēram, ar bankas konta izrakstu, vienošanos ar nozares asociāciju par projekta </w:t>
            </w:r>
            <w:proofErr w:type="spellStart"/>
            <w:r w:rsidRPr="009F014F">
              <w:rPr>
                <w:rStyle w:val="normaltextrun"/>
                <w:rFonts w:ascii="Times New Roman" w:hAnsi="Times New Roman" w:cs="Times New Roman"/>
                <w:color w:val="000000"/>
                <w:sz w:val="24"/>
                <w:szCs w:val="24"/>
                <w:shd w:val="clear" w:color="auto" w:fill="FFFFFF"/>
              </w:rPr>
              <w:t>priekšfinansēšanu</w:t>
            </w:r>
            <w:proofErr w:type="spellEnd"/>
            <w:r w:rsidRPr="009F014F">
              <w:rPr>
                <w:rStyle w:val="normaltextrun"/>
                <w:rFonts w:ascii="Times New Roman" w:hAnsi="Times New Roman" w:cs="Times New Roman"/>
                <w:color w:val="000000"/>
                <w:sz w:val="24"/>
                <w:szCs w:val="24"/>
                <w:shd w:val="clear" w:color="auto" w:fill="FFFFFF"/>
              </w:rPr>
              <w:t>, aizdevuma līgumu u.c.;</w:t>
            </w:r>
            <w:r w:rsidRPr="009F014F">
              <w:rPr>
                <w:rStyle w:val="eop"/>
                <w:rFonts w:ascii="Times New Roman" w:hAnsi="Times New Roman" w:cs="Times New Roman"/>
                <w:color w:val="000000"/>
                <w:sz w:val="24"/>
                <w:szCs w:val="24"/>
                <w:shd w:val="clear" w:color="auto" w:fill="FFFFFF"/>
              </w:rPr>
              <w:t> </w:t>
            </w:r>
          </w:p>
        </w:tc>
        <w:tc>
          <w:tcPr>
            <w:tcW w:w="2587" w:type="pct"/>
            <w:tcBorders>
              <w:left w:val="single" w:sz="4" w:space="0" w:color="auto"/>
              <w:bottom w:val="single" w:sz="4" w:space="0" w:color="000000"/>
            </w:tcBorders>
            <w:shd w:val="clear" w:color="auto" w:fill="auto"/>
          </w:tcPr>
          <w:p w14:paraId="250220D1" w14:textId="77777777" w:rsidR="00A1325D" w:rsidRPr="009F014F" w:rsidRDefault="00A1325D" w:rsidP="00A1325D">
            <w:pPr>
              <w:spacing w:after="0" w:line="240" w:lineRule="auto"/>
              <w:jc w:val="both"/>
              <w:rPr>
                <w:rStyle w:val="eop"/>
                <w:rFonts w:ascii="Times New Roman" w:hAnsi="Times New Roman" w:cs="Times New Roman"/>
                <w:color w:val="1F3864" w:themeColor="accent1" w:themeShade="80"/>
                <w:sz w:val="24"/>
                <w:szCs w:val="24"/>
                <w:shd w:val="clear" w:color="auto" w:fill="FFFFFF"/>
              </w:rPr>
            </w:pPr>
            <w:r w:rsidRPr="009F014F">
              <w:rPr>
                <w:rStyle w:val="eop"/>
                <w:rFonts w:ascii="Times New Roman" w:hAnsi="Times New Roman" w:cs="Times New Roman"/>
                <w:color w:val="1F3864" w:themeColor="accent1" w:themeShade="80"/>
                <w:sz w:val="24"/>
                <w:szCs w:val="24"/>
                <w:shd w:val="clear" w:color="auto" w:fill="FFFFFF"/>
              </w:rPr>
              <w:lastRenderedPageBreak/>
              <w:t xml:space="preserve">Attiecīgi, ja tiek plānoti projekti visās trīs programmās, jābūt pamatotai visos trīs projektos paredzētajai projekta iesniedzēja izmaksu summai, t.i., ja tiek iesniegti trīs projekti, katrā no tiem paredzot projekta iesniedzēja izmaksas 350 000 </w:t>
            </w:r>
            <w:proofErr w:type="spellStart"/>
            <w:r w:rsidRPr="009F014F">
              <w:rPr>
                <w:rStyle w:val="eop"/>
                <w:rFonts w:ascii="Times New Roman" w:hAnsi="Times New Roman" w:cs="Times New Roman"/>
                <w:i/>
                <w:iCs/>
                <w:color w:val="1F3864" w:themeColor="accent1" w:themeShade="80"/>
                <w:sz w:val="24"/>
                <w:szCs w:val="24"/>
                <w:shd w:val="clear" w:color="auto" w:fill="FFFFFF"/>
              </w:rPr>
              <w:t>euro</w:t>
            </w:r>
            <w:proofErr w:type="spellEnd"/>
            <w:r w:rsidRPr="009F014F">
              <w:rPr>
                <w:rStyle w:val="eop"/>
                <w:rFonts w:ascii="Times New Roman" w:hAnsi="Times New Roman" w:cs="Times New Roman"/>
                <w:color w:val="1F3864" w:themeColor="accent1" w:themeShade="80"/>
                <w:sz w:val="24"/>
                <w:szCs w:val="24"/>
                <w:shd w:val="clear" w:color="auto" w:fill="FFFFFF"/>
              </w:rPr>
              <w:t xml:space="preserve"> apmērā, jāpamato finanšu kapacitāte  1 050 000 </w:t>
            </w:r>
            <w:proofErr w:type="spellStart"/>
            <w:r w:rsidRPr="009F014F">
              <w:rPr>
                <w:rStyle w:val="eop"/>
                <w:rFonts w:ascii="Times New Roman" w:hAnsi="Times New Roman" w:cs="Times New Roman"/>
                <w:i/>
                <w:iCs/>
                <w:color w:val="1F3864" w:themeColor="accent1" w:themeShade="80"/>
                <w:sz w:val="24"/>
                <w:szCs w:val="24"/>
                <w:shd w:val="clear" w:color="auto" w:fill="FFFFFF"/>
              </w:rPr>
              <w:t>euro</w:t>
            </w:r>
            <w:proofErr w:type="spellEnd"/>
            <w:r w:rsidRPr="009F014F">
              <w:rPr>
                <w:rStyle w:val="eop"/>
                <w:rFonts w:ascii="Times New Roman" w:hAnsi="Times New Roman" w:cs="Times New Roman"/>
                <w:color w:val="1F3864" w:themeColor="accent1" w:themeShade="80"/>
                <w:sz w:val="24"/>
                <w:szCs w:val="24"/>
                <w:shd w:val="clear" w:color="auto" w:fill="FFFFFF"/>
              </w:rPr>
              <w:t xml:space="preserve"> apmērā. Ir vairākas iespējas:</w:t>
            </w:r>
          </w:p>
          <w:p w14:paraId="5DB1BB34" w14:textId="77777777" w:rsidR="00A1325D" w:rsidRPr="009F014F" w:rsidRDefault="00A1325D" w:rsidP="00A1325D">
            <w:pPr>
              <w:pStyle w:val="ListParagraph"/>
              <w:numPr>
                <w:ilvl w:val="0"/>
                <w:numId w:val="26"/>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Bankas konta izdruka, ka šāda summa ir pieejama;</w:t>
            </w:r>
          </w:p>
          <w:p w14:paraId="0667AC76" w14:textId="77777777" w:rsidR="00A1325D" w:rsidRPr="009F014F" w:rsidRDefault="00A1325D" w:rsidP="00A1325D">
            <w:pPr>
              <w:pStyle w:val="ListParagraph"/>
              <w:numPr>
                <w:ilvl w:val="0"/>
                <w:numId w:val="26"/>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Aizdevuma līgums;</w:t>
            </w:r>
          </w:p>
          <w:p w14:paraId="524FD3ED" w14:textId="77777777" w:rsidR="00A1325D" w:rsidRPr="009F014F" w:rsidRDefault="00A1325D" w:rsidP="00A1325D">
            <w:pPr>
              <w:pStyle w:val="ListParagraph"/>
              <w:numPr>
                <w:ilvl w:val="0"/>
                <w:numId w:val="26"/>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Vienošanās ar nozares asociāciju, ka asociācijas nodrošinās projektu </w:t>
            </w:r>
            <w:proofErr w:type="spellStart"/>
            <w:r w:rsidRPr="009F014F">
              <w:rPr>
                <w:rFonts w:ascii="Times New Roman" w:hAnsi="Times New Roman" w:cs="Times New Roman"/>
                <w:color w:val="1F3864" w:themeColor="accent1" w:themeShade="80"/>
                <w:sz w:val="24"/>
                <w:szCs w:val="24"/>
              </w:rPr>
              <w:t>priekšfinansēšanu</w:t>
            </w:r>
            <w:proofErr w:type="spellEnd"/>
            <w:r w:rsidRPr="009F014F">
              <w:rPr>
                <w:rFonts w:ascii="Times New Roman" w:hAnsi="Times New Roman" w:cs="Times New Roman"/>
                <w:color w:val="1F3864" w:themeColor="accent1" w:themeShade="80"/>
                <w:sz w:val="24"/>
                <w:szCs w:val="24"/>
              </w:rPr>
              <w:t>;</w:t>
            </w:r>
          </w:p>
          <w:p w14:paraId="5B82199E" w14:textId="77777777" w:rsidR="00A1325D" w:rsidRPr="009F014F" w:rsidRDefault="00A1325D" w:rsidP="00A1325D">
            <w:pPr>
              <w:pStyle w:val="ListParagraph"/>
              <w:numPr>
                <w:ilvl w:val="0"/>
                <w:numId w:val="26"/>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finanšu plūsmas atspoguļojums un tās skaidrojums. </w:t>
            </w:r>
          </w:p>
          <w:p w14:paraId="291D992B" w14:textId="77777777" w:rsidR="00A1325D" w:rsidRPr="009F014F" w:rsidRDefault="00A1325D" w:rsidP="00A1325D">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lastRenderedPageBreak/>
              <w:t>Finansiālās kapacitātes pamatojumam var sagatavot plānoto finanšu plūsmu un pamatotu skaidrojumu, kas apliecina, ka tiks nodrošināts finansējums nepieciešamajā apmērā visu projekta īstenošanas laiku, norādot finansēšanas avotus un to apmēru, t.sk., var kombinēt visus iepriekš minētos finansēšanas veidus. Piemēram, ja administratīvās izmaksas līdzšinēji ir segtas no dalībnieku iemaksām un tādējādi ir tikusi nodrošināta projekta izmaksām līdzvērtīga apmēra naudas plūsmu, un līdzvērtīgā formātā ir plānots nodrošināt finansējumu arī turpmāk, finansiālās kapacitātes pamatošanai projekta iesniegumam var pievienot iepriekš noslēgtos sadarbības līgumus ar dalībniekiem, kas paredz regulārus maksājumus administratīvo izmaksu segšanai.</w:t>
            </w:r>
          </w:p>
          <w:p w14:paraId="2BFB912E" w14:textId="6F89C722" w:rsidR="003E4191" w:rsidRPr="009F014F" w:rsidRDefault="00A1325D" w:rsidP="00A1325D">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Papildus projekta iesnieguma 2.1. punktā “Projekta īstenošanas kapacitāte, t.sk. risku </w:t>
            </w:r>
            <w:proofErr w:type="spellStart"/>
            <w:r w:rsidRPr="009F014F">
              <w:rPr>
                <w:rFonts w:ascii="Times New Roman" w:hAnsi="Times New Roman" w:cs="Times New Roman"/>
                <w:color w:val="1F3864" w:themeColor="accent1" w:themeShade="80"/>
                <w:sz w:val="24"/>
                <w:szCs w:val="24"/>
              </w:rPr>
              <w:t>izvērtējums</w:t>
            </w:r>
            <w:proofErr w:type="spellEnd"/>
            <w:r w:rsidRPr="009F014F">
              <w:rPr>
                <w:rFonts w:ascii="Times New Roman" w:hAnsi="Times New Roman" w:cs="Times New Roman"/>
                <w:color w:val="1F3864" w:themeColor="accent1" w:themeShade="80"/>
                <w:sz w:val="24"/>
                <w:szCs w:val="24"/>
              </w:rPr>
              <w:t xml:space="preserve"> un vadības kapacitāte, projekta īstenošanas, vadības un uzraudzības apraksts” rindā “Finansiālā kapacitāte” sniedzams skaidrojums, kādi būs pievienotā vērtības nodokļa finansēšanas avoti.</w:t>
            </w:r>
          </w:p>
        </w:tc>
      </w:tr>
      <w:tr w:rsidR="00305429" w:rsidRPr="009F014F" w14:paraId="033C55F4" w14:textId="77777777" w:rsidTr="00346C9E">
        <w:trPr>
          <w:trHeight w:val="465"/>
        </w:trPr>
        <w:tc>
          <w:tcPr>
            <w:tcW w:w="402" w:type="pct"/>
            <w:tcBorders>
              <w:bottom w:val="single" w:sz="4" w:space="0" w:color="000000"/>
              <w:right w:val="single" w:sz="4" w:space="0" w:color="auto"/>
            </w:tcBorders>
          </w:tcPr>
          <w:p w14:paraId="312CFCB1" w14:textId="77777777" w:rsidR="00305429" w:rsidRPr="009F014F" w:rsidRDefault="00305429"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745D4BD5" w14:textId="0CD45FAB" w:rsidR="0096061A" w:rsidRPr="009F014F" w:rsidRDefault="0096061A" w:rsidP="0096061A">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sz w:val="24"/>
                <w:szCs w:val="24"/>
              </w:rPr>
              <w:t>J</w:t>
            </w:r>
            <w:r w:rsidRPr="009F014F">
              <w:rPr>
                <w:rFonts w:ascii="Times New Roman" w:eastAsia="Times New Roman" w:hAnsi="Times New Roman" w:cs="Times New Roman"/>
                <w:sz w:val="24"/>
                <w:szCs w:val="24"/>
              </w:rPr>
              <w:t>a KC ir vairāku asociāciju atbalsta vēstules, tad to apgrozījumi un eksporta rādītāji tiek skaitīti kopā, ievērojot, ka katra uzņēmuma apgrozījums un eksporta rādītājs tiks ņemts vērā vienu reizi.</w:t>
            </w:r>
          </w:p>
          <w:p w14:paraId="25E6E8D8" w14:textId="77777777" w:rsidR="00305429" w:rsidRPr="009F014F" w:rsidRDefault="00305429" w:rsidP="000C6CED">
            <w:pPr>
              <w:spacing w:after="0" w:line="240" w:lineRule="auto"/>
              <w:jc w:val="both"/>
              <w:rPr>
                <w:rFonts w:ascii="Times New Roman" w:hAnsi="Times New Roman" w:cs="Times New Roman"/>
                <w:sz w:val="24"/>
                <w:szCs w:val="24"/>
              </w:rPr>
            </w:pPr>
          </w:p>
        </w:tc>
        <w:tc>
          <w:tcPr>
            <w:tcW w:w="2587" w:type="pct"/>
            <w:tcBorders>
              <w:left w:val="single" w:sz="4" w:space="0" w:color="auto"/>
              <w:bottom w:val="single" w:sz="4" w:space="0" w:color="000000"/>
            </w:tcBorders>
            <w:shd w:val="clear" w:color="auto" w:fill="auto"/>
          </w:tcPr>
          <w:p w14:paraId="5585C932" w14:textId="77777777" w:rsidR="00363E72" w:rsidRPr="009F014F" w:rsidRDefault="00363E72" w:rsidP="00363E72">
            <w:pPr>
              <w:pStyle w:val="ListParagraph"/>
              <w:ind w:left="0"/>
              <w:jc w:val="both"/>
              <w:rPr>
                <w:rStyle w:val="normaltextrun"/>
                <w:rFonts w:ascii="Times New Roman" w:hAnsi="Times New Roman" w:cs="Times New Roman"/>
                <w:color w:val="1F3864" w:themeColor="accent1" w:themeShade="80"/>
                <w:sz w:val="24"/>
                <w:szCs w:val="24"/>
                <w:shd w:val="clear" w:color="auto" w:fill="FFFFFF"/>
              </w:rPr>
            </w:pPr>
            <w:r w:rsidRPr="009F014F">
              <w:rPr>
                <w:rStyle w:val="normaltextrun"/>
                <w:rFonts w:ascii="Times New Roman" w:hAnsi="Times New Roman" w:cs="Times New Roman"/>
                <w:color w:val="1F3864" w:themeColor="accent1" w:themeShade="80"/>
                <w:sz w:val="24"/>
                <w:szCs w:val="24"/>
                <w:shd w:val="clear" w:color="auto" w:fill="FFFFFF"/>
              </w:rPr>
              <w:t xml:space="preserve">Ja projekta iesniegumam ir pievienotas vairāku nozares asociāciju atbalsta </w:t>
            </w:r>
            <w:r w:rsidRPr="009F014F">
              <w:rPr>
                <w:rStyle w:val="findhit"/>
                <w:rFonts w:ascii="Times New Roman" w:hAnsi="Times New Roman" w:cs="Times New Roman"/>
                <w:color w:val="1F3864" w:themeColor="accent1" w:themeShade="80"/>
                <w:sz w:val="24"/>
                <w:szCs w:val="24"/>
                <w:shd w:val="clear" w:color="auto" w:fill="FFFFFF"/>
              </w:rPr>
              <w:t>vēstu</w:t>
            </w:r>
            <w:r w:rsidRPr="009F014F">
              <w:rPr>
                <w:rStyle w:val="normaltextrun"/>
                <w:rFonts w:ascii="Times New Roman" w:hAnsi="Times New Roman" w:cs="Times New Roman"/>
                <w:color w:val="1F3864" w:themeColor="accent1" w:themeShade="80"/>
                <w:sz w:val="24"/>
                <w:szCs w:val="24"/>
                <w:shd w:val="clear" w:color="auto" w:fill="FFFFFF"/>
              </w:rPr>
              <w:t xml:space="preserve">les un </w:t>
            </w:r>
            <w:r w:rsidRPr="009F014F">
              <w:rPr>
                <w:rStyle w:val="normaltextrun"/>
                <w:rFonts w:ascii="Times New Roman" w:hAnsi="Times New Roman" w:cs="Times New Roman"/>
                <w:b/>
                <w:bCs/>
                <w:color w:val="1F3864" w:themeColor="accent1" w:themeShade="80"/>
                <w:sz w:val="24"/>
                <w:szCs w:val="24"/>
                <w:shd w:val="clear" w:color="auto" w:fill="FFFFFF"/>
              </w:rPr>
              <w:t>vismaz vienas asociācijas apvienoto</w:t>
            </w:r>
            <w:r w:rsidRPr="009F014F">
              <w:rPr>
                <w:rStyle w:val="normaltextrun"/>
                <w:rFonts w:ascii="Times New Roman" w:hAnsi="Times New Roman" w:cs="Times New Roman"/>
                <w:color w:val="1F3864" w:themeColor="accent1" w:themeShade="80"/>
                <w:sz w:val="24"/>
                <w:szCs w:val="24"/>
                <w:shd w:val="clear" w:color="auto" w:fill="FFFFFF"/>
              </w:rPr>
              <w:t xml:space="preserve"> saimnieciskās darbības veicēju eksporta apjoms </w:t>
            </w:r>
            <w:r w:rsidRPr="009F014F">
              <w:rPr>
                <w:rStyle w:val="normaltextrun"/>
                <w:rFonts w:ascii="Times New Roman" w:hAnsi="Times New Roman" w:cs="Times New Roman"/>
                <w:b/>
                <w:bCs/>
                <w:color w:val="1F3864" w:themeColor="accent1" w:themeShade="80"/>
                <w:sz w:val="24"/>
                <w:szCs w:val="24"/>
                <w:shd w:val="clear" w:color="auto" w:fill="FFFFFF"/>
              </w:rPr>
              <w:t>ir vismaz 75 miljoni</w:t>
            </w:r>
            <w:r w:rsidRPr="009F014F">
              <w:rPr>
                <w:rStyle w:val="normaltextrun"/>
                <w:rFonts w:ascii="Times New Roman" w:hAnsi="Times New Roman" w:cs="Times New Roman"/>
                <w:color w:val="1F3864" w:themeColor="accent1" w:themeShade="80"/>
                <w:sz w:val="24"/>
                <w:szCs w:val="24"/>
                <w:shd w:val="clear" w:color="auto" w:fill="FFFFFF"/>
              </w:rPr>
              <w:t xml:space="preserve"> </w:t>
            </w:r>
            <w:proofErr w:type="spellStart"/>
            <w:r w:rsidRPr="009F014F">
              <w:rPr>
                <w:rStyle w:val="normaltextrun"/>
                <w:rFonts w:ascii="Times New Roman" w:hAnsi="Times New Roman" w:cs="Times New Roman"/>
                <w:i/>
                <w:iCs/>
                <w:color w:val="1F3864" w:themeColor="accent1" w:themeShade="80"/>
                <w:sz w:val="24"/>
                <w:szCs w:val="24"/>
                <w:shd w:val="clear" w:color="auto" w:fill="FFFFFF"/>
              </w:rPr>
              <w:t>euro</w:t>
            </w:r>
            <w:proofErr w:type="spellEnd"/>
            <w:r w:rsidRPr="009F014F">
              <w:rPr>
                <w:rStyle w:val="normaltextrun"/>
                <w:rFonts w:ascii="Times New Roman" w:hAnsi="Times New Roman" w:cs="Times New Roman"/>
                <w:i/>
                <w:iCs/>
                <w:color w:val="1F3864" w:themeColor="accent1" w:themeShade="80"/>
                <w:sz w:val="24"/>
                <w:szCs w:val="24"/>
                <w:shd w:val="clear" w:color="auto" w:fill="FFFFFF"/>
              </w:rPr>
              <w:t xml:space="preserve"> un </w:t>
            </w:r>
            <w:r w:rsidRPr="009F014F">
              <w:rPr>
                <w:rStyle w:val="normaltextrun"/>
                <w:rFonts w:ascii="Times New Roman" w:hAnsi="Times New Roman" w:cs="Times New Roman"/>
                <w:color w:val="1F3864" w:themeColor="accent1" w:themeShade="80"/>
                <w:sz w:val="24"/>
                <w:szCs w:val="24"/>
                <w:shd w:val="clear" w:color="auto" w:fill="FFFFFF"/>
              </w:rPr>
              <w:t xml:space="preserve">apgrozījums </w:t>
            </w:r>
            <w:r w:rsidRPr="009F014F">
              <w:rPr>
                <w:rStyle w:val="normaltextrun"/>
                <w:rFonts w:ascii="Times New Roman" w:hAnsi="Times New Roman" w:cs="Times New Roman"/>
                <w:b/>
                <w:bCs/>
                <w:color w:val="1F3864" w:themeColor="accent1" w:themeShade="80"/>
                <w:sz w:val="24"/>
                <w:szCs w:val="24"/>
                <w:shd w:val="clear" w:color="auto" w:fill="FFFFFF"/>
              </w:rPr>
              <w:t>ir vismaz 150 miljoni</w:t>
            </w:r>
            <w:r w:rsidRPr="009F014F">
              <w:rPr>
                <w:rStyle w:val="normaltextrun"/>
                <w:rFonts w:ascii="Times New Roman" w:hAnsi="Times New Roman" w:cs="Times New Roman"/>
                <w:color w:val="1F3864" w:themeColor="accent1" w:themeShade="80"/>
                <w:sz w:val="24"/>
                <w:szCs w:val="24"/>
                <w:shd w:val="clear" w:color="auto" w:fill="FFFFFF"/>
              </w:rPr>
              <w:t xml:space="preserve"> </w:t>
            </w:r>
            <w:proofErr w:type="spellStart"/>
            <w:r w:rsidRPr="009F014F">
              <w:rPr>
                <w:rStyle w:val="normaltextrun"/>
                <w:rFonts w:ascii="Times New Roman" w:hAnsi="Times New Roman" w:cs="Times New Roman"/>
                <w:i/>
                <w:iCs/>
                <w:color w:val="1F3864" w:themeColor="accent1" w:themeShade="80"/>
                <w:sz w:val="24"/>
                <w:szCs w:val="24"/>
                <w:shd w:val="clear" w:color="auto" w:fill="FFFFFF"/>
              </w:rPr>
              <w:t>euro</w:t>
            </w:r>
            <w:proofErr w:type="spellEnd"/>
            <w:r w:rsidRPr="009F014F">
              <w:rPr>
                <w:rStyle w:val="normaltextrun"/>
                <w:rFonts w:ascii="Times New Roman" w:hAnsi="Times New Roman" w:cs="Times New Roman"/>
                <w:color w:val="1F3864" w:themeColor="accent1" w:themeShade="80"/>
                <w:sz w:val="24"/>
                <w:szCs w:val="24"/>
                <w:shd w:val="clear" w:color="auto" w:fill="FFFFFF"/>
              </w:rPr>
              <w:t xml:space="preserve">, tad šo asociāciju apvienoto </w:t>
            </w:r>
            <w:r w:rsidRPr="009F014F">
              <w:rPr>
                <w:rStyle w:val="normaltextrun"/>
                <w:rFonts w:ascii="Times New Roman" w:hAnsi="Times New Roman" w:cs="Times New Roman"/>
                <w:b/>
                <w:bCs/>
                <w:color w:val="1F3864" w:themeColor="accent1" w:themeShade="80"/>
                <w:sz w:val="24"/>
                <w:szCs w:val="24"/>
                <w:shd w:val="clear" w:color="auto" w:fill="FFFFFF"/>
              </w:rPr>
              <w:t>saimnieciskās darbības veicēju apgrozījuma apjoms tiek summēts</w:t>
            </w:r>
            <w:r w:rsidRPr="009F014F">
              <w:rPr>
                <w:rStyle w:val="normaltextrun"/>
                <w:rFonts w:ascii="Times New Roman" w:hAnsi="Times New Roman" w:cs="Times New Roman"/>
                <w:color w:val="1F3864" w:themeColor="accent1" w:themeShade="80"/>
                <w:sz w:val="24"/>
                <w:szCs w:val="24"/>
                <w:shd w:val="clear" w:color="auto" w:fill="FFFFFF"/>
              </w:rPr>
              <w:t xml:space="preserve">. </w:t>
            </w:r>
          </w:p>
          <w:p w14:paraId="267F7871" w14:textId="0D90C6A1" w:rsidR="00305429" w:rsidRPr="009F014F" w:rsidRDefault="00363E72" w:rsidP="00363E72">
            <w:pPr>
              <w:pStyle w:val="ListParagraph"/>
              <w:ind w:left="0"/>
              <w:jc w:val="both"/>
              <w:rPr>
                <w:rFonts w:ascii="Times New Roman" w:hAnsi="Times New Roman" w:cs="Times New Roman"/>
                <w:color w:val="1F3864" w:themeColor="accent1" w:themeShade="80"/>
                <w:sz w:val="24"/>
                <w:szCs w:val="24"/>
                <w:shd w:val="clear" w:color="auto" w:fill="FFFFFF"/>
              </w:rPr>
            </w:pPr>
            <w:r w:rsidRPr="009F014F">
              <w:rPr>
                <w:rStyle w:val="normaltextrun"/>
                <w:rFonts w:ascii="Times New Roman" w:hAnsi="Times New Roman" w:cs="Times New Roman"/>
                <w:color w:val="1F3864" w:themeColor="accent1" w:themeShade="80"/>
                <w:sz w:val="24"/>
                <w:szCs w:val="24"/>
                <w:shd w:val="clear" w:color="auto" w:fill="FFFFFF"/>
              </w:rPr>
              <w:t xml:space="preserve">Ja viens saimnieciskās darbības veicējs darbojās vairākās asociācijās, veicot eksporta apjoma summēšanu, </w:t>
            </w:r>
            <w:r w:rsidRPr="009F014F">
              <w:rPr>
                <w:rStyle w:val="normaltextrun"/>
                <w:rFonts w:ascii="Times New Roman" w:hAnsi="Times New Roman" w:cs="Times New Roman"/>
                <w:b/>
                <w:bCs/>
                <w:color w:val="1F3864" w:themeColor="accent1" w:themeShade="80"/>
                <w:sz w:val="24"/>
                <w:szCs w:val="24"/>
                <w:shd w:val="clear" w:color="auto" w:fill="FFFFFF"/>
              </w:rPr>
              <w:t>saimnieciskās darbības veicēja eksporta vērtība tiek ņemta vērā vienreiz</w:t>
            </w:r>
            <w:r w:rsidRPr="009F014F">
              <w:rPr>
                <w:rStyle w:val="normaltextrun"/>
                <w:rFonts w:ascii="Times New Roman" w:hAnsi="Times New Roman" w:cs="Times New Roman"/>
                <w:color w:val="1F3864" w:themeColor="accent1" w:themeShade="80"/>
                <w:sz w:val="24"/>
                <w:szCs w:val="24"/>
                <w:shd w:val="clear" w:color="auto" w:fill="FFFFFF"/>
              </w:rPr>
              <w:t>. </w:t>
            </w:r>
          </w:p>
        </w:tc>
      </w:tr>
      <w:tr w:rsidR="00305429" w:rsidRPr="009F014F" w14:paraId="1348157B" w14:textId="77777777" w:rsidTr="00346C9E">
        <w:trPr>
          <w:trHeight w:val="465"/>
        </w:trPr>
        <w:tc>
          <w:tcPr>
            <w:tcW w:w="402" w:type="pct"/>
            <w:tcBorders>
              <w:bottom w:val="single" w:sz="4" w:space="0" w:color="000000"/>
              <w:right w:val="single" w:sz="4" w:space="0" w:color="auto"/>
            </w:tcBorders>
          </w:tcPr>
          <w:p w14:paraId="31E1BB97" w14:textId="77777777" w:rsidR="00305429" w:rsidRPr="009F014F" w:rsidRDefault="00305429"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4CFFA4C3" w14:textId="77777777" w:rsidR="00A874C4" w:rsidRPr="009F014F" w:rsidRDefault="00A874C4" w:rsidP="00A874C4">
            <w:pPr>
              <w:spacing w:after="0" w:line="240" w:lineRule="auto"/>
              <w:jc w:val="both"/>
              <w:rPr>
                <w:rFonts w:ascii="Times New Roman" w:eastAsia="Times New Roman" w:hAnsi="Times New Roman" w:cs="Times New Roman"/>
                <w:sz w:val="24"/>
                <w:szCs w:val="24"/>
              </w:rPr>
            </w:pPr>
            <w:r w:rsidRPr="009F014F">
              <w:rPr>
                <w:rFonts w:ascii="Times New Roman" w:eastAsia="Times New Roman" w:hAnsi="Times New Roman" w:cs="Times New Roman"/>
                <w:sz w:val="24"/>
                <w:szCs w:val="24"/>
              </w:rPr>
              <w:t>Ja ārzemes uzņēmums ir pilnvērtīgs Latvijas asociācijas biedrs un to finansiāli dati ir publiski pieejami, tad to apgrozījumu var skaitīt kopējos datos.</w:t>
            </w:r>
          </w:p>
          <w:p w14:paraId="3BE64BA6" w14:textId="77777777" w:rsidR="00305429" w:rsidRPr="009F014F" w:rsidRDefault="00305429" w:rsidP="000C6CED">
            <w:pPr>
              <w:spacing w:after="0" w:line="240" w:lineRule="auto"/>
              <w:jc w:val="both"/>
              <w:rPr>
                <w:rFonts w:ascii="Times New Roman" w:hAnsi="Times New Roman" w:cs="Times New Roman"/>
                <w:sz w:val="24"/>
                <w:szCs w:val="24"/>
              </w:rPr>
            </w:pPr>
          </w:p>
        </w:tc>
        <w:tc>
          <w:tcPr>
            <w:tcW w:w="2587" w:type="pct"/>
            <w:tcBorders>
              <w:left w:val="single" w:sz="4" w:space="0" w:color="auto"/>
              <w:bottom w:val="single" w:sz="4" w:space="0" w:color="000000"/>
            </w:tcBorders>
            <w:shd w:val="clear" w:color="auto" w:fill="auto"/>
          </w:tcPr>
          <w:p w14:paraId="0CF0F733" w14:textId="0E0FFD35" w:rsidR="00305429" w:rsidRPr="009F014F" w:rsidRDefault="00FD1E28" w:rsidP="00FD1E28">
            <w:pPr>
              <w:pStyle w:val="ListParagraph"/>
              <w:ind w:left="0"/>
              <w:jc w:val="both"/>
              <w:rPr>
                <w:rFonts w:ascii="Times New Roman" w:hAnsi="Times New Roman" w:cs="Times New Roman"/>
                <w:color w:val="1F3864" w:themeColor="accent1" w:themeShade="80"/>
                <w:sz w:val="24"/>
                <w:szCs w:val="24"/>
                <w:shd w:val="clear" w:color="auto" w:fill="FFFFFF"/>
              </w:rPr>
            </w:pPr>
            <w:r w:rsidRPr="009F014F">
              <w:rPr>
                <w:rStyle w:val="normaltextrun"/>
                <w:rFonts w:ascii="Times New Roman" w:hAnsi="Times New Roman" w:cs="Times New Roman"/>
                <w:color w:val="1F3864" w:themeColor="accent1" w:themeShade="80"/>
                <w:sz w:val="24"/>
                <w:szCs w:val="24"/>
                <w:shd w:val="clear" w:color="auto" w:fill="FFFFFF"/>
              </w:rPr>
              <w:t>Ja ārvalstu uzņēmums ir pilnvērtīgs Latvijas asociācijas biedrs, to var uzrādīt biedru sarakstā, iekļaujot tā neto apgrozījuma un eksporta apjoma datus. Vienlaikus šādā gadījumā, kad biedrs nav Latvijas Republikā reģistrēta komercsabiedrība, projekta iesniedzējam jānodrošina, ka projektu iesniegumu vērtēšanas komisijai ir pieejami neto apgrozījuma un eksporta apjoma datus apliecinoši dokumenti, piemēram, projekta iesniegumam pievienojot dalībnieka gada pārskatu un/vai pievienotās vērtības nodokļa deklarācijas vai norādīta saite uz tīmekļvietni, kur šī informācija ir publiski pieejama.</w:t>
            </w:r>
          </w:p>
        </w:tc>
      </w:tr>
      <w:tr w:rsidR="00305429" w:rsidRPr="009F014F" w14:paraId="39C49563" w14:textId="77777777" w:rsidTr="00346C9E">
        <w:trPr>
          <w:trHeight w:val="465"/>
        </w:trPr>
        <w:tc>
          <w:tcPr>
            <w:tcW w:w="402" w:type="pct"/>
            <w:tcBorders>
              <w:bottom w:val="single" w:sz="4" w:space="0" w:color="000000"/>
              <w:right w:val="single" w:sz="4" w:space="0" w:color="auto"/>
            </w:tcBorders>
          </w:tcPr>
          <w:p w14:paraId="29BB8466" w14:textId="77777777" w:rsidR="00305429" w:rsidRPr="009F014F" w:rsidRDefault="00305429"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55C245E7" w14:textId="77777777" w:rsidR="004035B6" w:rsidRPr="009F014F" w:rsidRDefault="004035B6" w:rsidP="004035B6">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 xml:space="preserve">Kā plānot projekta iesniedzējam pieejamo </w:t>
            </w:r>
            <w:proofErr w:type="spellStart"/>
            <w:r w:rsidRPr="009F014F">
              <w:rPr>
                <w:rFonts w:ascii="Times New Roman" w:hAnsi="Times New Roman" w:cs="Times New Roman"/>
                <w:i/>
                <w:iCs/>
                <w:sz w:val="24"/>
                <w:szCs w:val="24"/>
              </w:rPr>
              <w:t>de</w:t>
            </w:r>
            <w:proofErr w:type="spellEnd"/>
            <w:r w:rsidRPr="009F014F">
              <w:rPr>
                <w:rFonts w:ascii="Times New Roman" w:hAnsi="Times New Roman" w:cs="Times New Roman"/>
                <w:i/>
                <w:iCs/>
                <w:sz w:val="24"/>
                <w:szCs w:val="24"/>
              </w:rPr>
              <w:t xml:space="preserve"> </w:t>
            </w:r>
            <w:proofErr w:type="spellStart"/>
            <w:r w:rsidRPr="009F014F">
              <w:rPr>
                <w:rFonts w:ascii="Times New Roman" w:hAnsi="Times New Roman" w:cs="Times New Roman"/>
                <w:i/>
                <w:iCs/>
                <w:sz w:val="24"/>
                <w:szCs w:val="24"/>
              </w:rPr>
              <w:t>minimis</w:t>
            </w:r>
            <w:proofErr w:type="spellEnd"/>
            <w:r w:rsidRPr="009F014F">
              <w:rPr>
                <w:rFonts w:ascii="Times New Roman" w:hAnsi="Times New Roman" w:cs="Times New Roman"/>
                <w:sz w:val="24"/>
                <w:szCs w:val="24"/>
              </w:rPr>
              <w:t xml:space="preserve"> atbalsta apmēru, ja uz projekta iesniegšanas brīdi projekta iesniedzējam ir piešķirts </w:t>
            </w:r>
            <w:proofErr w:type="spellStart"/>
            <w:r w:rsidRPr="009F014F">
              <w:rPr>
                <w:rFonts w:ascii="Times New Roman" w:hAnsi="Times New Roman" w:cs="Times New Roman"/>
                <w:i/>
                <w:iCs/>
                <w:sz w:val="24"/>
                <w:szCs w:val="24"/>
              </w:rPr>
              <w:t>de</w:t>
            </w:r>
            <w:proofErr w:type="spellEnd"/>
            <w:r w:rsidRPr="009F014F">
              <w:rPr>
                <w:rFonts w:ascii="Times New Roman" w:hAnsi="Times New Roman" w:cs="Times New Roman"/>
                <w:i/>
                <w:iCs/>
                <w:sz w:val="24"/>
                <w:szCs w:val="24"/>
              </w:rPr>
              <w:t xml:space="preserve"> </w:t>
            </w:r>
            <w:proofErr w:type="spellStart"/>
            <w:r w:rsidRPr="009F014F">
              <w:rPr>
                <w:rFonts w:ascii="Times New Roman" w:hAnsi="Times New Roman" w:cs="Times New Roman"/>
                <w:i/>
                <w:iCs/>
                <w:sz w:val="24"/>
                <w:szCs w:val="24"/>
              </w:rPr>
              <w:t>minimis</w:t>
            </w:r>
            <w:proofErr w:type="spellEnd"/>
            <w:r w:rsidRPr="009F014F">
              <w:rPr>
                <w:rFonts w:ascii="Times New Roman" w:hAnsi="Times New Roman" w:cs="Times New Roman"/>
                <w:sz w:val="24"/>
                <w:szCs w:val="24"/>
              </w:rPr>
              <w:t xml:space="preserve"> atbalsts atbilstoši regulai 1407/2013 200 000,00 </w:t>
            </w:r>
            <w:proofErr w:type="spellStart"/>
            <w:r w:rsidRPr="009F014F">
              <w:rPr>
                <w:rFonts w:ascii="Times New Roman" w:hAnsi="Times New Roman" w:cs="Times New Roman"/>
                <w:i/>
                <w:iCs/>
                <w:sz w:val="24"/>
                <w:szCs w:val="24"/>
              </w:rPr>
              <w:t>euro</w:t>
            </w:r>
            <w:proofErr w:type="spellEnd"/>
            <w:r w:rsidRPr="009F014F">
              <w:rPr>
                <w:rFonts w:ascii="Times New Roman" w:hAnsi="Times New Roman" w:cs="Times New Roman"/>
                <w:sz w:val="24"/>
                <w:szCs w:val="24"/>
              </w:rPr>
              <w:t xml:space="preserve"> apmērā un piešķirtā atbalsta uzskaites periods beigsies 2025.gada septembrī.</w:t>
            </w:r>
          </w:p>
          <w:p w14:paraId="19D30AC2" w14:textId="77777777" w:rsidR="00305429" w:rsidRPr="009F014F" w:rsidRDefault="00305429" w:rsidP="000C6CED">
            <w:pPr>
              <w:spacing w:after="0" w:line="240" w:lineRule="auto"/>
              <w:jc w:val="both"/>
              <w:rPr>
                <w:rFonts w:ascii="Times New Roman" w:hAnsi="Times New Roman" w:cs="Times New Roman"/>
                <w:sz w:val="24"/>
                <w:szCs w:val="24"/>
              </w:rPr>
            </w:pPr>
          </w:p>
        </w:tc>
        <w:tc>
          <w:tcPr>
            <w:tcW w:w="2587" w:type="pct"/>
            <w:tcBorders>
              <w:left w:val="single" w:sz="4" w:space="0" w:color="auto"/>
              <w:bottom w:val="single" w:sz="4" w:space="0" w:color="000000"/>
            </w:tcBorders>
            <w:shd w:val="clear" w:color="auto" w:fill="auto"/>
          </w:tcPr>
          <w:p w14:paraId="2D72719B" w14:textId="77777777" w:rsidR="00266E1D" w:rsidRPr="009F014F" w:rsidRDefault="00266E1D" w:rsidP="00266E1D">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lastRenderedPageBreak/>
              <w:t xml:space="preserve">Plānojot projekta iesniedzējam pieejamo </w:t>
            </w:r>
            <w:proofErr w:type="spellStart"/>
            <w:r w:rsidRPr="009F014F">
              <w:rPr>
                <w:rFonts w:ascii="Times New Roman" w:hAnsi="Times New Roman" w:cs="Times New Roman"/>
                <w:i/>
                <w:iCs/>
                <w:color w:val="1F3864" w:themeColor="accent1" w:themeShade="80"/>
                <w:sz w:val="24"/>
                <w:szCs w:val="24"/>
              </w:rPr>
              <w:t>de</w:t>
            </w:r>
            <w:proofErr w:type="spellEnd"/>
            <w:r w:rsidRPr="009F014F">
              <w:rPr>
                <w:rFonts w:ascii="Times New Roman" w:hAnsi="Times New Roman" w:cs="Times New Roman"/>
                <w:i/>
                <w:iCs/>
                <w:color w:val="1F3864" w:themeColor="accent1" w:themeShade="80"/>
                <w:sz w:val="24"/>
                <w:szCs w:val="24"/>
              </w:rPr>
              <w:t xml:space="preserve"> </w:t>
            </w:r>
            <w:proofErr w:type="spellStart"/>
            <w:r w:rsidRPr="009F014F">
              <w:rPr>
                <w:rFonts w:ascii="Times New Roman" w:hAnsi="Times New Roman" w:cs="Times New Roman"/>
                <w:i/>
                <w:iCs/>
                <w:color w:val="1F3864" w:themeColor="accent1" w:themeShade="80"/>
                <w:sz w:val="24"/>
                <w:szCs w:val="24"/>
              </w:rPr>
              <w:t>minimis</w:t>
            </w:r>
            <w:proofErr w:type="spellEnd"/>
            <w:r w:rsidRPr="009F014F">
              <w:rPr>
                <w:rFonts w:ascii="Times New Roman" w:hAnsi="Times New Roman" w:cs="Times New Roman"/>
                <w:color w:val="1F3864" w:themeColor="accent1" w:themeShade="80"/>
                <w:sz w:val="24"/>
                <w:szCs w:val="24"/>
              </w:rPr>
              <w:t xml:space="preserve"> atbalsta apmēru jāņem vērā:</w:t>
            </w:r>
          </w:p>
          <w:p w14:paraId="1A7D14B6" w14:textId="77777777" w:rsidR="00266E1D" w:rsidRPr="009F014F" w:rsidRDefault="00266E1D" w:rsidP="00266E1D">
            <w:pPr>
              <w:pStyle w:val="ListParagraph"/>
              <w:numPr>
                <w:ilvl w:val="0"/>
                <w:numId w:val="27"/>
              </w:numPr>
              <w:spacing w:after="0" w:line="240" w:lineRule="auto"/>
              <w:contextualSpacing w:val="0"/>
              <w:jc w:val="both"/>
              <w:rPr>
                <w:rFonts w:ascii="Times New Roman" w:hAnsi="Times New Roman" w:cs="Times New Roman"/>
                <w:color w:val="1F3864" w:themeColor="accent1" w:themeShade="80"/>
                <w:sz w:val="24"/>
                <w:szCs w:val="24"/>
              </w:rPr>
            </w:pPr>
            <w:proofErr w:type="spellStart"/>
            <w:r w:rsidRPr="009F014F">
              <w:rPr>
                <w:rFonts w:ascii="Times New Roman" w:hAnsi="Times New Roman" w:cs="Times New Roman"/>
                <w:i/>
                <w:iCs/>
                <w:color w:val="1F3864" w:themeColor="accent1" w:themeShade="80"/>
                <w:sz w:val="24"/>
                <w:szCs w:val="24"/>
              </w:rPr>
              <w:t>de</w:t>
            </w:r>
            <w:proofErr w:type="spellEnd"/>
            <w:r w:rsidRPr="009F014F">
              <w:rPr>
                <w:rFonts w:ascii="Times New Roman" w:hAnsi="Times New Roman" w:cs="Times New Roman"/>
                <w:i/>
                <w:iCs/>
                <w:color w:val="1F3864" w:themeColor="accent1" w:themeShade="80"/>
                <w:sz w:val="24"/>
                <w:szCs w:val="24"/>
              </w:rPr>
              <w:t xml:space="preserve"> </w:t>
            </w:r>
            <w:proofErr w:type="spellStart"/>
            <w:r w:rsidRPr="009F014F">
              <w:rPr>
                <w:rFonts w:ascii="Times New Roman" w:hAnsi="Times New Roman" w:cs="Times New Roman"/>
                <w:i/>
                <w:iCs/>
                <w:color w:val="1F3864" w:themeColor="accent1" w:themeShade="80"/>
                <w:sz w:val="24"/>
                <w:szCs w:val="24"/>
              </w:rPr>
              <w:t>minimis</w:t>
            </w:r>
            <w:proofErr w:type="spellEnd"/>
            <w:r w:rsidRPr="009F014F">
              <w:rPr>
                <w:rFonts w:ascii="Times New Roman" w:hAnsi="Times New Roman" w:cs="Times New Roman"/>
                <w:color w:val="1F3864" w:themeColor="accent1" w:themeShade="80"/>
                <w:sz w:val="24"/>
                <w:szCs w:val="24"/>
              </w:rPr>
              <w:t xml:space="preserve"> atbalsta limits atbilstoši regulai 1407/2013 ir sasniegts;</w:t>
            </w:r>
          </w:p>
          <w:p w14:paraId="4B9055F2" w14:textId="77777777" w:rsidR="00266E1D" w:rsidRPr="009F014F" w:rsidRDefault="00266E1D" w:rsidP="00266E1D">
            <w:pPr>
              <w:pStyle w:val="ListParagraph"/>
              <w:numPr>
                <w:ilvl w:val="0"/>
                <w:numId w:val="27"/>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pēc programmas īstenošanu regulējošo Ministru kabineta noteikumu grozījumu, kas paredz atbalstu sniegt atbilstoši regulai 2023/2831, </w:t>
            </w:r>
            <w:r w:rsidRPr="009F014F">
              <w:rPr>
                <w:rFonts w:ascii="Times New Roman" w:hAnsi="Times New Roman" w:cs="Times New Roman"/>
                <w:color w:val="1F3864" w:themeColor="accent1" w:themeShade="80"/>
                <w:sz w:val="24"/>
                <w:szCs w:val="24"/>
              </w:rPr>
              <w:lastRenderedPageBreak/>
              <w:t xml:space="preserve">apstiprināšanas, projekta iesniedzējam projekta/-u īstenošanai būs iespējams piešķirt 100 000,00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sasniedzot 300 000,00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limitu;</w:t>
            </w:r>
          </w:p>
          <w:p w14:paraId="7B3DF7DB" w14:textId="77777777" w:rsidR="00266E1D" w:rsidRPr="009F014F" w:rsidRDefault="00266E1D" w:rsidP="00266E1D">
            <w:pPr>
              <w:pStyle w:val="ListParagraph"/>
              <w:numPr>
                <w:ilvl w:val="0"/>
                <w:numId w:val="27"/>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2025.gadā, kad beigsies iepriekš piešķirtā atbalsta uzskaites periods, projekta iesniedzējam būs iespējams piešķirt vēl 200 000,00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sasniedzot limitu 300 000,00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i/>
                <w:iCs/>
                <w:color w:val="1F3864" w:themeColor="accent1" w:themeShade="80"/>
                <w:sz w:val="24"/>
                <w:szCs w:val="24"/>
              </w:rPr>
              <w:t>;</w:t>
            </w:r>
          </w:p>
          <w:p w14:paraId="135A8FB0" w14:textId="77777777" w:rsidR="00266E1D" w:rsidRPr="009F014F" w:rsidRDefault="00266E1D" w:rsidP="00266E1D">
            <w:pPr>
              <w:pStyle w:val="ListParagraph"/>
              <w:numPr>
                <w:ilvl w:val="0"/>
                <w:numId w:val="27"/>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2027.gadā, ja 2. apakšpunktā minētais atbalsts piešķirts 2024.gadā, rēķinot 3 gadus kopš sākotnēji piešķirtā atbalsta (100 000,00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2024.gadā) projekta iesniedzējam būs iespēja piešķirt vēl 100 000,00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sasniedzot limitu 300 000,00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w:t>
            </w:r>
          </w:p>
          <w:p w14:paraId="505075D0" w14:textId="27599EEC" w:rsidR="00305429" w:rsidRPr="009F014F" w:rsidRDefault="00266E1D" w:rsidP="00266E1D">
            <w:pPr>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Attiecīgi, ja projekta īstenošana ir plānota no 2024.gada līdz 2027.gadam, tad kopā iespējamais piešķiramais </w:t>
            </w:r>
            <w:proofErr w:type="spellStart"/>
            <w:r w:rsidRPr="009F014F">
              <w:rPr>
                <w:rFonts w:ascii="Times New Roman" w:hAnsi="Times New Roman" w:cs="Times New Roman"/>
                <w:i/>
                <w:iCs/>
                <w:color w:val="1F3864" w:themeColor="accent1" w:themeShade="80"/>
                <w:sz w:val="24"/>
                <w:szCs w:val="24"/>
              </w:rPr>
              <w:t>de</w:t>
            </w:r>
            <w:proofErr w:type="spellEnd"/>
            <w:r w:rsidRPr="009F014F">
              <w:rPr>
                <w:rFonts w:ascii="Times New Roman" w:hAnsi="Times New Roman" w:cs="Times New Roman"/>
                <w:i/>
                <w:iCs/>
                <w:color w:val="1F3864" w:themeColor="accent1" w:themeShade="80"/>
                <w:sz w:val="24"/>
                <w:szCs w:val="24"/>
              </w:rPr>
              <w:t xml:space="preserve"> </w:t>
            </w:r>
            <w:proofErr w:type="spellStart"/>
            <w:r w:rsidRPr="009F014F">
              <w:rPr>
                <w:rFonts w:ascii="Times New Roman" w:hAnsi="Times New Roman" w:cs="Times New Roman"/>
                <w:i/>
                <w:iCs/>
                <w:color w:val="1F3864" w:themeColor="accent1" w:themeShade="80"/>
                <w:sz w:val="24"/>
                <w:szCs w:val="24"/>
              </w:rPr>
              <w:t>minimis</w:t>
            </w:r>
            <w:proofErr w:type="spellEnd"/>
            <w:r w:rsidRPr="009F014F">
              <w:rPr>
                <w:rFonts w:ascii="Times New Roman" w:hAnsi="Times New Roman" w:cs="Times New Roman"/>
                <w:color w:val="1F3864" w:themeColor="accent1" w:themeShade="80"/>
                <w:sz w:val="24"/>
                <w:szCs w:val="24"/>
              </w:rPr>
              <w:t xml:space="preserve"> atbalsts var sastādīt 400 000,00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t.i., 2024. gadā 100 000,00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2025.gadā 200 000,00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 xml:space="preserve"> un 2027. gadā 100 000,00  </w:t>
            </w:r>
            <w:proofErr w:type="spellStart"/>
            <w:r w:rsidRPr="009F014F">
              <w:rPr>
                <w:rFonts w:ascii="Times New Roman" w:hAnsi="Times New Roman" w:cs="Times New Roman"/>
                <w:i/>
                <w:iCs/>
                <w:color w:val="1F3864" w:themeColor="accent1" w:themeShade="80"/>
                <w:sz w:val="24"/>
                <w:szCs w:val="24"/>
              </w:rPr>
              <w:t>euro</w:t>
            </w:r>
            <w:proofErr w:type="spellEnd"/>
            <w:r w:rsidRPr="009F014F">
              <w:rPr>
                <w:rFonts w:ascii="Times New Roman" w:hAnsi="Times New Roman" w:cs="Times New Roman"/>
                <w:color w:val="1F3864" w:themeColor="accent1" w:themeShade="80"/>
                <w:sz w:val="24"/>
                <w:szCs w:val="24"/>
              </w:rPr>
              <w:t>.</w:t>
            </w:r>
          </w:p>
        </w:tc>
      </w:tr>
      <w:tr w:rsidR="002714F9" w:rsidRPr="009F014F" w14:paraId="4AD20E22" w14:textId="77777777" w:rsidTr="00346C9E">
        <w:trPr>
          <w:trHeight w:val="465"/>
        </w:trPr>
        <w:tc>
          <w:tcPr>
            <w:tcW w:w="402" w:type="pct"/>
            <w:tcBorders>
              <w:bottom w:val="single" w:sz="4" w:space="0" w:color="000000"/>
              <w:right w:val="single" w:sz="4" w:space="0" w:color="auto"/>
            </w:tcBorders>
          </w:tcPr>
          <w:p w14:paraId="6CB89B66" w14:textId="77777777" w:rsidR="002714F9" w:rsidRPr="009F014F" w:rsidRDefault="002714F9"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1B950B1F" w14:textId="77777777" w:rsidR="002714F9" w:rsidRPr="009F014F" w:rsidRDefault="002714F9" w:rsidP="002714F9">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Kā plānot projekta budžetu un vai būs iespējams veikt tā grozījumus  projekta īstenošanas laikā?</w:t>
            </w:r>
          </w:p>
          <w:p w14:paraId="012E7BDD" w14:textId="77777777" w:rsidR="002714F9" w:rsidRPr="009F014F" w:rsidRDefault="002714F9" w:rsidP="004035B6">
            <w:pPr>
              <w:spacing w:after="0" w:line="240" w:lineRule="auto"/>
              <w:jc w:val="both"/>
              <w:rPr>
                <w:rFonts w:ascii="Times New Roman" w:hAnsi="Times New Roman" w:cs="Times New Roman"/>
                <w:sz w:val="24"/>
                <w:szCs w:val="24"/>
              </w:rPr>
            </w:pPr>
          </w:p>
        </w:tc>
        <w:tc>
          <w:tcPr>
            <w:tcW w:w="2587" w:type="pct"/>
            <w:tcBorders>
              <w:left w:val="single" w:sz="4" w:space="0" w:color="auto"/>
              <w:bottom w:val="single" w:sz="4" w:space="0" w:color="000000"/>
            </w:tcBorders>
            <w:shd w:val="clear" w:color="auto" w:fill="auto"/>
          </w:tcPr>
          <w:p w14:paraId="39C40097" w14:textId="77777777" w:rsidR="009433D1" w:rsidRPr="009F014F" w:rsidRDefault="009433D1" w:rsidP="009433D1">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Plānojot budžetu jāņem vērā:</w:t>
            </w:r>
          </w:p>
          <w:p w14:paraId="2F577992" w14:textId="77777777" w:rsidR="009433D1" w:rsidRPr="009F014F" w:rsidRDefault="009433D1" w:rsidP="009433D1">
            <w:pPr>
              <w:pStyle w:val="ListParagraph"/>
              <w:numPr>
                <w:ilvl w:val="0"/>
                <w:numId w:val="28"/>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projekta iesniedzējam pieejamais </w:t>
            </w:r>
            <w:proofErr w:type="spellStart"/>
            <w:r w:rsidRPr="009F014F">
              <w:rPr>
                <w:rFonts w:ascii="Times New Roman" w:hAnsi="Times New Roman" w:cs="Times New Roman"/>
                <w:i/>
                <w:iCs/>
                <w:color w:val="1F3864" w:themeColor="accent1" w:themeShade="80"/>
                <w:sz w:val="24"/>
                <w:szCs w:val="24"/>
              </w:rPr>
              <w:t>de</w:t>
            </w:r>
            <w:proofErr w:type="spellEnd"/>
            <w:r w:rsidRPr="009F014F">
              <w:rPr>
                <w:rFonts w:ascii="Times New Roman" w:hAnsi="Times New Roman" w:cs="Times New Roman"/>
                <w:i/>
                <w:iCs/>
                <w:color w:val="1F3864" w:themeColor="accent1" w:themeShade="80"/>
                <w:sz w:val="24"/>
                <w:szCs w:val="24"/>
              </w:rPr>
              <w:t xml:space="preserve"> </w:t>
            </w:r>
            <w:proofErr w:type="spellStart"/>
            <w:r w:rsidRPr="009F014F">
              <w:rPr>
                <w:rFonts w:ascii="Times New Roman" w:hAnsi="Times New Roman" w:cs="Times New Roman"/>
                <w:i/>
                <w:iCs/>
                <w:color w:val="1F3864" w:themeColor="accent1" w:themeShade="80"/>
                <w:sz w:val="24"/>
                <w:szCs w:val="24"/>
              </w:rPr>
              <w:t>minimis</w:t>
            </w:r>
            <w:proofErr w:type="spellEnd"/>
            <w:r w:rsidRPr="009F014F">
              <w:rPr>
                <w:rFonts w:ascii="Times New Roman" w:hAnsi="Times New Roman" w:cs="Times New Roman"/>
                <w:color w:val="1F3864" w:themeColor="accent1" w:themeShade="80"/>
                <w:sz w:val="24"/>
                <w:szCs w:val="24"/>
              </w:rPr>
              <w:t xml:space="preserve"> atbalsta apmērs,</w:t>
            </w:r>
          </w:p>
          <w:p w14:paraId="49DFB247" w14:textId="77777777" w:rsidR="009433D1" w:rsidRPr="009F014F" w:rsidRDefault="009433D1" w:rsidP="009433D1">
            <w:pPr>
              <w:pStyle w:val="ListParagraph"/>
              <w:numPr>
                <w:ilvl w:val="0"/>
                <w:numId w:val="28"/>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izmaksu apmērs, kas nepieciešams konkrētā projektā plānoto darbību īstenošanai, piemēram, personāla atlīdzības izmaksas nosakot atbilstoši personālam paredzētai noslodzei un nodarbinātības periodam projektā, to algas likmei un nepieciešamajam darbinieku skaitam.</w:t>
            </w:r>
          </w:p>
          <w:p w14:paraId="25C71846" w14:textId="77777777" w:rsidR="009433D1" w:rsidRPr="009F014F" w:rsidRDefault="009433D1" w:rsidP="009433D1">
            <w:pPr>
              <w:pStyle w:val="ListParagraph"/>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Vēršam uzmanību, ka projekta izmaksu plānošanā ir jāievēro saimnieciskuma, lietderības un efektivitātes principi.</w:t>
            </w:r>
          </w:p>
          <w:p w14:paraId="61FAFE09" w14:textId="77777777" w:rsidR="009433D1" w:rsidRPr="009F014F" w:rsidRDefault="009433D1" w:rsidP="009433D1">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Projekta budžetā iekļauj tikai projekta attiecināmās izmaksas atbilstoši MK noteikumos noteiktajām attiecināmajām izmaksām, ņemot vērā noteikto izmaksu apmēra ierobežojumu, piemēram, ka projekta iesniedzēja izmaksas nepārsniedz 10 procentus no kopējā projektam piešķirtā Atveseļošanas fonda finansējuma. Izmaksas, kas tiek plānotas ārpus projekta attiecināmajām izmaksām, projekta budžetā nenorāda.</w:t>
            </w:r>
          </w:p>
          <w:p w14:paraId="6F527EA9" w14:textId="02058115" w:rsidR="002714F9" w:rsidRPr="009F014F" w:rsidRDefault="009433D1" w:rsidP="00266E1D">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Gadījumā, ja kādu iepriekš neparedzētu apstākļu ietekmē faktiski projekta iesniedzēja izmaksas samazinās, projekta īstenošanas laikā būs iespējams veikt grozījumus projekta budžetā, piemēram, pārdalot izmaksas starp pozīcijām esošā budžeta ietvaros, proti, paredzot lielāku summu pētniecības projektu īstenošanai un tādējādi rodot iespēju piesaistīt jaunus sadarbības partnerus.</w:t>
            </w:r>
          </w:p>
        </w:tc>
      </w:tr>
      <w:tr w:rsidR="002714F9" w:rsidRPr="009F014F" w14:paraId="481E256F" w14:textId="77777777" w:rsidTr="00346C9E">
        <w:trPr>
          <w:trHeight w:val="465"/>
        </w:trPr>
        <w:tc>
          <w:tcPr>
            <w:tcW w:w="402" w:type="pct"/>
            <w:tcBorders>
              <w:bottom w:val="single" w:sz="4" w:space="0" w:color="000000"/>
              <w:right w:val="single" w:sz="4" w:space="0" w:color="auto"/>
            </w:tcBorders>
          </w:tcPr>
          <w:p w14:paraId="5A392123" w14:textId="77777777" w:rsidR="002714F9" w:rsidRPr="009F014F" w:rsidRDefault="002714F9" w:rsidP="00562872">
            <w:pPr>
              <w:pStyle w:val="ListParagraph"/>
              <w:numPr>
                <w:ilvl w:val="0"/>
                <w:numId w:val="19"/>
              </w:numPr>
              <w:spacing w:after="0" w:line="240" w:lineRule="auto"/>
              <w:rPr>
                <w:rFonts w:ascii="Times New Roman" w:hAnsi="Times New Roman" w:cs="Times New Roman"/>
                <w:sz w:val="24"/>
                <w:szCs w:val="24"/>
              </w:rPr>
            </w:pPr>
          </w:p>
        </w:tc>
        <w:tc>
          <w:tcPr>
            <w:tcW w:w="2011" w:type="pct"/>
            <w:tcBorders>
              <w:bottom w:val="single" w:sz="4" w:space="0" w:color="000000"/>
              <w:right w:val="single" w:sz="4" w:space="0" w:color="auto"/>
            </w:tcBorders>
            <w:shd w:val="clear" w:color="auto" w:fill="auto"/>
          </w:tcPr>
          <w:p w14:paraId="5CB921D7" w14:textId="77777777" w:rsidR="002714F9" w:rsidRPr="009F014F" w:rsidRDefault="002714F9" w:rsidP="002714F9">
            <w:pPr>
              <w:spacing w:after="0" w:line="240" w:lineRule="auto"/>
              <w:jc w:val="both"/>
              <w:rPr>
                <w:rFonts w:ascii="Times New Roman" w:hAnsi="Times New Roman" w:cs="Times New Roman"/>
                <w:sz w:val="24"/>
                <w:szCs w:val="24"/>
              </w:rPr>
            </w:pPr>
          </w:p>
        </w:tc>
        <w:tc>
          <w:tcPr>
            <w:tcW w:w="2587" w:type="pct"/>
            <w:tcBorders>
              <w:left w:val="single" w:sz="4" w:space="0" w:color="auto"/>
              <w:bottom w:val="single" w:sz="4" w:space="0" w:color="000000"/>
            </w:tcBorders>
            <w:shd w:val="clear" w:color="auto" w:fill="auto"/>
          </w:tcPr>
          <w:p w14:paraId="4554250C" w14:textId="77777777" w:rsidR="002714F9" w:rsidRPr="009F014F" w:rsidRDefault="002714F9" w:rsidP="00266E1D">
            <w:pPr>
              <w:spacing w:after="0" w:line="240" w:lineRule="auto"/>
              <w:jc w:val="both"/>
              <w:rPr>
                <w:rFonts w:ascii="Times New Roman" w:hAnsi="Times New Roman" w:cs="Times New Roman"/>
                <w:color w:val="FF0000"/>
                <w:sz w:val="24"/>
                <w:szCs w:val="24"/>
              </w:rPr>
            </w:pPr>
          </w:p>
        </w:tc>
      </w:tr>
      <w:tr w:rsidR="00562872" w:rsidRPr="009F014F" w14:paraId="2FEB01EF" w14:textId="77777777" w:rsidTr="0038395A">
        <w:tc>
          <w:tcPr>
            <w:tcW w:w="5000" w:type="pct"/>
            <w:gridSpan w:val="3"/>
            <w:tcBorders>
              <w:bottom w:val="single" w:sz="4" w:space="0" w:color="000000"/>
            </w:tcBorders>
            <w:shd w:val="clear" w:color="auto" w:fill="D0CECE" w:themeFill="background2" w:themeFillShade="E6"/>
          </w:tcPr>
          <w:p w14:paraId="699262F3" w14:textId="0732996C" w:rsidR="00562872" w:rsidRPr="009F014F" w:rsidRDefault="00562872" w:rsidP="00562872">
            <w:pPr>
              <w:pStyle w:val="Heading1"/>
              <w:numPr>
                <w:ilvl w:val="0"/>
                <w:numId w:val="17"/>
              </w:numPr>
              <w:tabs>
                <w:tab w:val="num" w:pos="360"/>
              </w:tabs>
              <w:spacing w:before="0" w:after="0" w:line="240" w:lineRule="auto"/>
              <w:ind w:left="0" w:firstLine="0"/>
              <w:rPr>
                <w:rFonts w:cs="Times New Roman"/>
                <w:sz w:val="24"/>
                <w:szCs w:val="24"/>
              </w:rPr>
            </w:pPr>
            <w:bookmarkStart w:id="3" w:name="_Toc20918681"/>
            <w:bookmarkStart w:id="4" w:name="_Toc46148087"/>
            <w:bookmarkStart w:id="5" w:name="_Toc127803613"/>
            <w:r w:rsidRPr="009F014F">
              <w:rPr>
                <w:rFonts w:cs="Times New Roman"/>
                <w:sz w:val="24"/>
                <w:szCs w:val="24"/>
              </w:rPr>
              <w:lastRenderedPageBreak/>
              <w:t>Īstenošanas nosacījumi</w:t>
            </w:r>
            <w:bookmarkEnd w:id="3"/>
            <w:bookmarkEnd w:id="4"/>
            <w:bookmarkEnd w:id="5"/>
          </w:p>
        </w:tc>
      </w:tr>
      <w:tr w:rsidR="00562872" w:rsidRPr="009F014F" w14:paraId="4183D992" w14:textId="77777777" w:rsidTr="00346C9E">
        <w:tc>
          <w:tcPr>
            <w:tcW w:w="402" w:type="pct"/>
          </w:tcPr>
          <w:p w14:paraId="222CF867" w14:textId="2E7551B7" w:rsidR="00562872" w:rsidRPr="009F014F" w:rsidRDefault="00562872" w:rsidP="00562872">
            <w:pPr>
              <w:shd w:val="clear" w:color="auto" w:fill="FFFFFF"/>
              <w:spacing w:after="0" w:line="240" w:lineRule="auto"/>
              <w:rPr>
                <w:rFonts w:ascii="Times New Roman" w:hAnsi="Times New Roman" w:cs="Times New Roman"/>
                <w:sz w:val="24"/>
                <w:szCs w:val="24"/>
              </w:rPr>
            </w:pPr>
            <w:r w:rsidRPr="009F014F">
              <w:rPr>
                <w:rFonts w:ascii="Times New Roman" w:hAnsi="Times New Roman" w:cs="Times New Roman"/>
                <w:sz w:val="24"/>
                <w:szCs w:val="24"/>
              </w:rPr>
              <w:t>2.1.</w:t>
            </w:r>
          </w:p>
        </w:tc>
        <w:tc>
          <w:tcPr>
            <w:tcW w:w="2011" w:type="pct"/>
            <w:shd w:val="clear" w:color="auto" w:fill="auto"/>
          </w:tcPr>
          <w:p w14:paraId="65B5F8C0" w14:textId="0694AB7A" w:rsidR="00562872" w:rsidRPr="009F014F" w:rsidRDefault="00562872" w:rsidP="00562872">
            <w:pPr>
              <w:spacing w:after="0" w:line="240" w:lineRule="auto"/>
              <w:rPr>
                <w:rFonts w:ascii="Times New Roman" w:hAnsi="Times New Roman" w:cs="Times New Roman"/>
                <w:sz w:val="24"/>
                <w:szCs w:val="24"/>
              </w:rPr>
            </w:pPr>
            <w:r w:rsidRPr="009F014F">
              <w:rPr>
                <w:rFonts w:ascii="Times New Roman" w:hAnsi="Times New Roman" w:cs="Times New Roman"/>
                <w:sz w:val="24"/>
                <w:szCs w:val="24"/>
              </w:rPr>
              <w:t>Vai jāveido jauna komisija pēc katras pētījumu atlases kārtas / uzsaukuma?</w:t>
            </w:r>
          </w:p>
        </w:tc>
        <w:tc>
          <w:tcPr>
            <w:tcW w:w="2587" w:type="pct"/>
            <w:shd w:val="clear" w:color="auto" w:fill="auto"/>
          </w:tcPr>
          <w:p w14:paraId="1083261D" w14:textId="750712DF" w:rsidR="00562872" w:rsidRPr="009F014F" w:rsidRDefault="00562872" w:rsidP="00842016">
            <w:pPr>
              <w:spacing w:after="0" w:line="240" w:lineRule="auto"/>
              <w:jc w:val="both"/>
              <w:rPr>
                <w:rFonts w:ascii="Times New Roman" w:hAnsi="Times New Roman" w:cs="Times New Roman"/>
                <w:color w:val="002060"/>
                <w:sz w:val="24"/>
                <w:szCs w:val="24"/>
              </w:rPr>
            </w:pPr>
            <w:r w:rsidRPr="009F014F">
              <w:rPr>
                <w:rFonts w:ascii="Times New Roman" w:hAnsi="Times New Roman" w:cs="Times New Roman"/>
                <w:color w:val="002060"/>
                <w:sz w:val="24"/>
                <w:szCs w:val="24"/>
              </w:rPr>
              <w:t>Jauna komisija ir jāveido tikai gadījumā, ja kādam no komisijas dalībniekiem ir konstatējams IK risks ar kādu no jau sākotnēji izveidotās komisijas dalībniekiem.</w:t>
            </w:r>
          </w:p>
          <w:p w14:paraId="6682C31B" w14:textId="0FCE1EA3" w:rsidR="00562872" w:rsidRPr="009F014F" w:rsidRDefault="00562872" w:rsidP="00842016">
            <w:pPr>
              <w:spacing w:after="0" w:line="240" w:lineRule="auto"/>
              <w:jc w:val="both"/>
              <w:rPr>
                <w:rFonts w:ascii="Times New Roman" w:hAnsi="Times New Roman" w:cs="Times New Roman"/>
                <w:color w:val="2F5496" w:themeColor="accent1" w:themeShade="BF"/>
                <w:sz w:val="24"/>
                <w:szCs w:val="24"/>
              </w:rPr>
            </w:pPr>
            <w:r w:rsidRPr="009F014F">
              <w:rPr>
                <w:rFonts w:ascii="Times New Roman" w:hAnsi="Times New Roman" w:cs="Times New Roman"/>
                <w:color w:val="002060"/>
                <w:sz w:val="24"/>
                <w:szCs w:val="24"/>
              </w:rPr>
              <w:t>Pēc katras pētniecības projektu īstenotāju atlases finansējuma saņēmējs veic priekšizvērtējumu un kopā ar Ekonomikas ministrijas pārstāvi pārbauda pētniecības projekta iesnieguma tehnisko atbilstību. Ja pētniecības projekta iesniegumam netiek konstatētas neatbilstības, tas tiek virzīts uz CFLA atkārtotai pārbaudei. CFLA pēc pētniecības projektu iesniegumu izvērtēšanas veic interešu konflikta, korupcijas un krāpšanas pārbaudi pret apstiprināto pētniecības projektu vērtēšanas komisiju. Gadījumā, ja netiek konstatētas pazīmes, kas liecina par interešu konflikta, korupcijas vai krāpšanas esamību apstiprinātajā pētniecības projektu vērtēšanas komisijā, veido jaunu pētniecības projektu vērtēšanas komisiju nav nepieciešams, pretējā gadījumā, jaunas pētniecības projektu vērtēšanas komisijas izveide ir obligāta.</w:t>
            </w:r>
          </w:p>
        </w:tc>
      </w:tr>
      <w:tr w:rsidR="00562872" w:rsidRPr="009F014F" w14:paraId="7E779331" w14:textId="77777777" w:rsidTr="00346C9E">
        <w:tc>
          <w:tcPr>
            <w:tcW w:w="402" w:type="pct"/>
          </w:tcPr>
          <w:p w14:paraId="2718D939" w14:textId="77777777" w:rsidR="00562872" w:rsidRPr="009F014F" w:rsidRDefault="00562872" w:rsidP="00562872">
            <w:pPr>
              <w:shd w:val="clear" w:color="auto" w:fill="FFFFFF"/>
              <w:spacing w:after="0" w:line="240" w:lineRule="auto"/>
              <w:rPr>
                <w:rFonts w:ascii="Times New Roman" w:hAnsi="Times New Roman" w:cs="Times New Roman"/>
                <w:sz w:val="24"/>
                <w:szCs w:val="24"/>
              </w:rPr>
            </w:pPr>
          </w:p>
        </w:tc>
        <w:tc>
          <w:tcPr>
            <w:tcW w:w="2011" w:type="pct"/>
            <w:shd w:val="clear" w:color="auto" w:fill="auto"/>
          </w:tcPr>
          <w:p w14:paraId="7F522982" w14:textId="77777777" w:rsidR="00562872" w:rsidRPr="009F014F" w:rsidRDefault="00562872" w:rsidP="00562872">
            <w:pPr>
              <w:spacing w:after="0" w:line="240" w:lineRule="auto"/>
              <w:rPr>
                <w:rFonts w:ascii="Times New Roman" w:hAnsi="Times New Roman" w:cs="Times New Roman"/>
                <w:sz w:val="24"/>
                <w:szCs w:val="24"/>
              </w:rPr>
            </w:pPr>
          </w:p>
        </w:tc>
        <w:tc>
          <w:tcPr>
            <w:tcW w:w="2587" w:type="pct"/>
            <w:shd w:val="clear" w:color="auto" w:fill="auto"/>
          </w:tcPr>
          <w:p w14:paraId="0E0F5D36" w14:textId="77777777" w:rsidR="00562872" w:rsidRPr="009F014F" w:rsidRDefault="00562872" w:rsidP="00562872">
            <w:pPr>
              <w:spacing w:after="0" w:line="240" w:lineRule="auto"/>
              <w:rPr>
                <w:rFonts w:ascii="Times New Roman" w:hAnsi="Times New Roman" w:cs="Times New Roman"/>
                <w:color w:val="2F5496" w:themeColor="accent1" w:themeShade="BF"/>
                <w:sz w:val="24"/>
                <w:szCs w:val="24"/>
              </w:rPr>
            </w:pPr>
          </w:p>
        </w:tc>
      </w:tr>
      <w:tr w:rsidR="00562872" w:rsidRPr="009F014F" w14:paraId="7DCB6047" w14:textId="77777777" w:rsidTr="0038395A">
        <w:tc>
          <w:tcPr>
            <w:tcW w:w="5000" w:type="pct"/>
            <w:gridSpan w:val="3"/>
            <w:shd w:val="clear" w:color="auto" w:fill="D0CECE" w:themeFill="background2" w:themeFillShade="E6"/>
          </w:tcPr>
          <w:p w14:paraId="3A26CE76" w14:textId="113828FF" w:rsidR="00562872" w:rsidRPr="009F014F" w:rsidRDefault="00562872" w:rsidP="00562872">
            <w:pPr>
              <w:pStyle w:val="Heading1"/>
              <w:numPr>
                <w:ilvl w:val="0"/>
                <w:numId w:val="17"/>
              </w:numPr>
              <w:tabs>
                <w:tab w:val="num" w:pos="360"/>
              </w:tabs>
              <w:spacing w:before="0" w:after="0" w:line="240" w:lineRule="auto"/>
              <w:ind w:left="0" w:firstLine="0"/>
              <w:rPr>
                <w:rFonts w:cs="Times New Roman"/>
                <w:sz w:val="24"/>
                <w:szCs w:val="24"/>
              </w:rPr>
            </w:pPr>
            <w:bookmarkStart w:id="6" w:name="_Toc20918685"/>
            <w:bookmarkStart w:id="7" w:name="_Toc46148091"/>
            <w:bookmarkStart w:id="8" w:name="_Toc127803614"/>
            <w:r w:rsidRPr="009F014F">
              <w:rPr>
                <w:rFonts w:cs="Times New Roman"/>
                <w:sz w:val="24"/>
                <w:szCs w:val="24"/>
              </w:rPr>
              <w:t>Vērtēšana</w:t>
            </w:r>
            <w:bookmarkEnd w:id="6"/>
            <w:bookmarkEnd w:id="7"/>
            <w:r w:rsidRPr="009F014F">
              <w:rPr>
                <w:rFonts w:cs="Times New Roman"/>
                <w:sz w:val="24"/>
                <w:szCs w:val="24"/>
              </w:rPr>
              <w:t xml:space="preserve"> un lēmumu pieņemšana</w:t>
            </w:r>
            <w:bookmarkEnd w:id="8"/>
          </w:p>
        </w:tc>
      </w:tr>
      <w:tr w:rsidR="00562872" w:rsidRPr="009F014F" w14:paraId="7C88D4FB" w14:textId="77777777" w:rsidTr="00346C9E">
        <w:tc>
          <w:tcPr>
            <w:tcW w:w="402" w:type="pct"/>
            <w:tcBorders>
              <w:bottom w:val="single" w:sz="4" w:space="0" w:color="000000"/>
            </w:tcBorders>
          </w:tcPr>
          <w:p w14:paraId="5E7A97CE" w14:textId="35CAFA42" w:rsidR="00562872" w:rsidRPr="009F014F" w:rsidRDefault="00562872" w:rsidP="00562872">
            <w:pPr>
              <w:shd w:val="clear" w:color="auto" w:fill="FFFFFF"/>
              <w:spacing w:after="0" w:line="240" w:lineRule="auto"/>
              <w:rPr>
                <w:rFonts w:ascii="Times New Roman" w:eastAsia="Times New Roman" w:hAnsi="Times New Roman" w:cs="Times New Roman"/>
                <w:sz w:val="24"/>
                <w:szCs w:val="24"/>
                <w:lang w:eastAsia="lv-LV"/>
              </w:rPr>
            </w:pPr>
            <w:r w:rsidRPr="009F014F">
              <w:rPr>
                <w:rFonts w:ascii="Times New Roman" w:eastAsia="Times New Roman" w:hAnsi="Times New Roman" w:cs="Times New Roman"/>
                <w:sz w:val="24"/>
                <w:szCs w:val="24"/>
                <w:lang w:eastAsia="lv-LV"/>
              </w:rPr>
              <w:t>3.1.</w:t>
            </w:r>
          </w:p>
        </w:tc>
        <w:tc>
          <w:tcPr>
            <w:tcW w:w="2011" w:type="pct"/>
            <w:tcBorders>
              <w:bottom w:val="single" w:sz="4" w:space="0" w:color="000000"/>
            </w:tcBorders>
            <w:shd w:val="clear" w:color="auto" w:fill="auto"/>
          </w:tcPr>
          <w:p w14:paraId="5ADB60BD" w14:textId="77777777" w:rsidR="00346C9E" w:rsidRPr="009F014F" w:rsidRDefault="00346C9E" w:rsidP="00346C9E">
            <w:pPr>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Kāda informācija sniedzama, lai projektam pretendētu uz papildus punktiem kvalitātes kritērijā “Īstenojot projektu, iepirkumā izmanto zaļā iepirkuma principus”?</w:t>
            </w:r>
          </w:p>
          <w:p w14:paraId="7E3974B5" w14:textId="0C551BD9" w:rsidR="00562872" w:rsidRPr="009F014F" w:rsidRDefault="00562872" w:rsidP="00562872">
            <w:pPr>
              <w:shd w:val="clear" w:color="auto" w:fill="FFFFFF"/>
              <w:spacing w:after="0" w:line="240" w:lineRule="auto"/>
              <w:rPr>
                <w:rFonts w:ascii="Times New Roman" w:eastAsia="Times New Roman" w:hAnsi="Times New Roman" w:cs="Times New Roman"/>
                <w:sz w:val="24"/>
                <w:szCs w:val="24"/>
                <w:lang w:eastAsia="lv-LV"/>
              </w:rPr>
            </w:pPr>
          </w:p>
        </w:tc>
        <w:tc>
          <w:tcPr>
            <w:tcW w:w="2587" w:type="pct"/>
            <w:tcBorders>
              <w:bottom w:val="single" w:sz="4" w:space="0" w:color="000000"/>
            </w:tcBorders>
            <w:shd w:val="clear" w:color="auto" w:fill="auto"/>
          </w:tcPr>
          <w:p w14:paraId="313C109E" w14:textId="77777777" w:rsidR="004739FC" w:rsidRPr="009F014F" w:rsidRDefault="004739FC" w:rsidP="004739FC">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Lai projekts iegūtu papildus punktus par zaļā iepirkuma principu piemērošanu, projekta iesnieguma 2.1. punktā “Projekta īstenošanas kapacitāte, t.sk. risku </w:t>
            </w:r>
            <w:proofErr w:type="spellStart"/>
            <w:r w:rsidRPr="009F014F">
              <w:rPr>
                <w:rFonts w:ascii="Times New Roman" w:hAnsi="Times New Roman" w:cs="Times New Roman"/>
                <w:color w:val="1F3864" w:themeColor="accent1" w:themeShade="80"/>
                <w:sz w:val="24"/>
                <w:szCs w:val="24"/>
              </w:rPr>
              <w:t>izvērtējums</w:t>
            </w:r>
            <w:proofErr w:type="spellEnd"/>
            <w:r w:rsidRPr="009F014F">
              <w:rPr>
                <w:rFonts w:ascii="Times New Roman" w:hAnsi="Times New Roman" w:cs="Times New Roman"/>
                <w:color w:val="1F3864" w:themeColor="accent1" w:themeShade="80"/>
                <w:sz w:val="24"/>
                <w:szCs w:val="24"/>
              </w:rPr>
              <w:t xml:space="preserve"> un vadības kapacitāte, projekta īstenošanas, vadības un uzraudzības apraksts” rindā “Īstenošanas kapacitāte” jābūt sniegtai informācijai par </w:t>
            </w:r>
            <w:r w:rsidRPr="009F014F">
              <w:rPr>
                <w:rFonts w:ascii="Times New Roman" w:hAnsi="Times New Roman" w:cs="Times New Roman"/>
                <w:b/>
                <w:bCs/>
                <w:color w:val="1F3864" w:themeColor="accent1" w:themeShade="80"/>
                <w:sz w:val="24"/>
                <w:szCs w:val="24"/>
              </w:rPr>
              <w:t>projekta iesniedzēja projekta ietvaros plānotajiem iepirkumiem, t.sk.</w:t>
            </w:r>
            <w:r w:rsidRPr="009F014F">
              <w:rPr>
                <w:rFonts w:ascii="Times New Roman" w:hAnsi="Times New Roman" w:cs="Times New Roman"/>
                <w:color w:val="1F3864" w:themeColor="accent1" w:themeShade="80"/>
                <w:sz w:val="24"/>
                <w:szCs w:val="24"/>
              </w:rPr>
              <w:t>:</w:t>
            </w:r>
          </w:p>
          <w:p w14:paraId="68565596" w14:textId="77777777" w:rsidR="004739FC" w:rsidRPr="009F014F" w:rsidRDefault="004739FC" w:rsidP="004739FC">
            <w:pPr>
              <w:pStyle w:val="ListParagraph"/>
              <w:numPr>
                <w:ilvl w:val="0"/>
                <w:numId w:val="29"/>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aprakstīts, kādām preču un pakalpojumu grupām tiks piemērotas vides prasības;  </w:t>
            </w:r>
          </w:p>
          <w:p w14:paraId="531E53AD" w14:textId="77777777" w:rsidR="004739FC" w:rsidRPr="009F014F" w:rsidRDefault="004739FC" w:rsidP="004739FC">
            <w:pPr>
              <w:pStyle w:val="ListParagraph"/>
              <w:numPr>
                <w:ilvl w:val="0"/>
                <w:numId w:val="29"/>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norādīts, kāda iepirkuma procedūra tiks piemērota; </w:t>
            </w:r>
          </w:p>
          <w:p w14:paraId="4D7CFB2C" w14:textId="77777777" w:rsidR="004739FC" w:rsidRPr="009F014F" w:rsidRDefault="004739FC" w:rsidP="004739FC">
            <w:pPr>
              <w:pStyle w:val="ListParagraph"/>
              <w:numPr>
                <w:ilvl w:val="0"/>
                <w:numId w:val="29"/>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ja iespējams, norādīts, par kādu summu tiks īstenoti iepirkumi, kuros tiks piemērots zaļā iepirkuma principi; </w:t>
            </w:r>
          </w:p>
          <w:p w14:paraId="4EBCB355" w14:textId="77777777" w:rsidR="004739FC" w:rsidRPr="009F014F" w:rsidRDefault="004739FC" w:rsidP="004739FC">
            <w:pPr>
              <w:pStyle w:val="ListParagraph"/>
              <w:numPr>
                <w:ilvl w:val="0"/>
                <w:numId w:val="29"/>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uzskaitīti, kādi kritēriji (Latvijas normatīvā regulējuma, Eiropas Komisijas Zaļā publiskā iepirkuma kritēriji vai citi) tiks izmantoti. </w:t>
            </w:r>
          </w:p>
          <w:p w14:paraId="38389062" w14:textId="77777777" w:rsidR="004739FC" w:rsidRPr="009F014F" w:rsidRDefault="004739FC" w:rsidP="004739FC">
            <w:pPr>
              <w:pStyle w:val="ListParagraph"/>
              <w:numPr>
                <w:ilvl w:val="0"/>
                <w:numId w:val="29"/>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aprakstīts zaļo iepirkumu īpatsvaru kopējā projekta iepirkumu līgumcenā finansiālā izteiksmē (ja to projekta iesnieguma iesniegšanas brīdī iespējams apzināt). </w:t>
            </w:r>
          </w:p>
          <w:p w14:paraId="47615864" w14:textId="7EC79BE9" w:rsidR="00562872" w:rsidRPr="009F014F" w:rsidRDefault="00562872" w:rsidP="00562872">
            <w:pPr>
              <w:spacing w:after="0" w:line="240" w:lineRule="auto"/>
              <w:jc w:val="both"/>
              <w:rPr>
                <w:rFonts w:ascii="Times New Roman" w:hAnsi="Times New Roman" w:cs="Times New Roman"/>
                <w:color w:val="1F3864" w:themeColor="accent1" w:themeShade="80"/>
                <w:sz w:val="24"/>
                <w:szCs w:val="24"/>
              </w:rPr>
            </w:pPr>
          </w:p>
        </w:tc>
      </w:tr>
      <w:tr w:rsidR="009B35C4" w:rsidRPr="009F014F" w14:paraId="56EC39FF" w14:textId="77777777" w:rsidTr="00346C9E">
        <w:tc>
          <w:tcPr>
            <w:tcW w:w="402" w:type="pct"/>
            <w:tcBorders>
              <w:bottom w:val="single" w:sz="4" w:space="0" w:color="000000"/>
            </w:tcBorders>
          </w:tcPr>
          <w:p w14:paraId="55D9B361" w14:textId="746EE230" w:rsidR="009B35C4" w:rsidRPr="009F014F" w:rsidRDefault="009B35C4" w:rsidP="00562872">
            <w:pPr>
              <w:shd w:val="clear" w:color="auto" w:fill="FFFFFF"/>
              <w:spacing w:after="0" w:line="240" w:lineRule="auto"/>
              <w:rPr>
                <w:rFonts w:ascii="Times New Roman" w:eastAsia="Times New Roman" w:hAnsi="Times New Roman" w:cs="Times New Roman"/>
                <w:sz w:val="24"/>
                <w:szCs w:val="24"/>
                <w:lang w:eastAsia="lv-LV"/>
              </w:rPr>
            </w:pPr>
            <w:r w:rsidRPr="009F014F">
              <w:rPr>
                <w:rFonts w:ascii="Times New Roman" w:eastAsia="Times New Roman" w:hAnsi="Times New Roman" w:cs="Times New Roman"/>
                <w:sz w:val="24"/>
                <w:szCs w:val="24"/>
                <w:lang w:eastAsia="lv-LV"/>
              </w:rPr>
              <w:t>3.2.</w:t>
            </w:r>
          </w:p>
        </w:tc>
        <w:tc>
          <w:tcPr>
            <w:tcW w:w="2011" w:type="pct"/>
            <w:tcBorders>
              <w:bottom w:val="single" w:sz="4" w:space="0" w:color="000000"/>
            </w:tcBorders>
            <w:shd w:val="clear" w:color="auto" w:fill="auto"/>
          </w:tcPr>
          <w:p w14:paraId="1BC3691B" w14:textId="4C3CE41B" w:rsidR="009B35C4" w:rsidRPr="009F014F" w:rsidRDefault="009B35C4" w:rsidP="009B35C4">
            <w:pPr>
              <w:spacing w:after="0" w:line="240" w:lineRule="auto"/>
              <w:jc w:val="both"/>
              <w:rPr>
                <w:rFonts w:ascii="Times New Roman" w:hAnsi="Times New Roman" w:cs="Times New Roman"/>
                <w:sz w:val="24"/>
                <w:szCs w:val="24"/>
                <w:shd w:val="clear" w:color="auto" w:fill="FFFFFF"/>
              </w:rPr>
            </w:pPr>
            <w:r w:rsidRPr="009F014F">
              <w:rPr>
                <w:rFonts w:ascii="Times New Roman" w:hAnsi="Times New Roman" w:cs="Times New Roman"/>
                <w:sz w:val="24"/>
                <w:szCs w:val="24"/>
              </w:rPr>
              <w:t>Kā nodrošināt atbilstību projektu iesniegumu vērtēšanas kritērijam “</w:t>
            </w:r>
            <w:r w:rsidRPr="009F014F">
              <w:rPr>
                <w:rStyle w:val="normaltextrun"/>
                <w:rFonts w:ascii="Times New Roman" w:hAnsi="Times New Roman" w:cs="Times New Roman"/>
                <w:sz w:val="24"/>
                <w:szCs w:val="24"/>
                <w:shd w:val="clear" w:color="auto" w:fill="FFFFFF"/>
              </w:rPr>
              <w:t>2.2.8.  Projekta iesniegumā aprakstīts, kā tiks nodrošināta dzimumu līdztiesību un vienlīdzīgu iespēju principu ievērošana.</w:t>
            </w:r>
            <w:r w:rsidRPr="009F014F">
              <w:rPr>
                <w:rStyle w:val="eop"/>
                <w:rFonts w:ascii="Times New Roman" w:hAnsi="Times New Roman" w:cs="Times New Roman"/>
                <w:sz w:val="24"/>
                <w:szCs w:val="24"/>
                <w:shd w:val="clear" w:color="auto" w:fill="FFFFFF"/>
              </w:rPr>
              <w:t>”?</w:t>
            </w:r>
          </w:p>
        </w:tc>
        <w:tc>
          <w:tcPr>
            <w:tcW w:w="2587" w:type="pct"/>
            <w:tcBorders>
              <w:bottom w:val="single" w:sz="4" w:space="0" w:color="000000"/>
            </w:tcBorders>
            <w:shd w:val="clear" w:color="auto" w:fill="auto"/>
          </w:tcPr>
          <w:p w14:paraId="37C2325A" w14:textId="77777777" w:rsidR="009F014F" w:rsidRPr="009F014F" w:rsidRDefault="009F014F" w:rsidP="009F014F">
            <w:pPr>
              <w:spacing w:after="0" w:line="240" w:lineRule="auto"/>
              <w:jc w:val="both"/>
              <w:rPr>
                <w:rStyle w:val="normaltextrun"/>
                <w:rFonts w:ascii="Times New Roman" w:hAnsi="Times New Roman" w:cs="Times New Roman"/>
                <w:color w:val="1F3864" w:themeColor="accent1" w:themeShade="80"/>
                <w:sz w:val="24"/>
                <w:szCs w:val="24"/>
                <w:bdr w:val="none" w:sz="0" w:space="0" w:color="auto" w:frame="1"/>
              </w:rPr>
            </w:pPr>
            <w:r w:rsidRPr="009F014F">
              <w:rPr>
                <w:rStyle w:val="eop"/>
                <w:rFonts w:ascii="Times New Roman" w:hAnsi="Times New Roman" w:cs="Times New Roman"/>
                <w:color w:val="1F3864" w:themeColor="accent1" w:themeShade="80"/>
                <w:sz w:val="24"/>
                <w:szCs w:val="24"/>
                <w:shd w:val="clear" w:color="auto" w:fill="FFFFFF"/>
              </w:rPr>
              <w:t xml:space="preserve">Projekta iesnieguma 1.2.punktā “Investīciju projekta darbības un sasniedzamie rezultāti  (tai skaitā darbības, kuras saistītas ar Horizontālajiem principiem):” projekta darbību aprakstos iekļauj aktivitātes, kas nodrošināta dzimumu līdztiesības un vienlīdzīgu iespēju principu ievērošanu. Projekta iesniegumā nav pietiekami, ja tiek vispārīgi norādīts, ka tiks </w:t>
            </w:r>
            <w:r w:rsidRPr="009F014F">
              <w:rPr>
                <w:rStyle w:val="normaltextrun"/>
                <w:rFonts w:ascii="Times New Roman" w:hAnsi="Times New Roman" w:cs="Times New Roman"/>
                <w:color w:val="1F3864" w:themeColor="accent1" w:themeShade="80"/>
                <w:sz w:val="24"/>
                <w:szCs w:val="24"/>
                <w:bdr w:val="none" w:sz="0" w:space="0" w:color="auto" w:frame="1"/>
              </w:rPr>
              <w:t xml:space="preserve">nodrošināta dzimumu līdztiesības un </w:t>
            </w:r>
            <w:r w:rsidRPr="009F014F">
              <w:rPr>
                <w:rStyle w:val="normaltextrun"/>
                <w:rFonts w:ascii="Times New Roman" w:hAnsi="Times New Roman" w:cs="Times New Roman"/>
                <w:color w:val="1F3864" w:themeColor="accent1" w:themeShade="80"/>
                <w:sz w:val="24"/>
                <w:szCs w:val="24"/>
                <w:bdr w:val="none" w:sz="0" w:space="0" w:color="auto" w:frame="1"/>
              </w:rPr>
              <w:lastRenderedPageBreak/>
              <w:t xml:space="preserve">vienlīdzīgu iespēju principu ievērošana, bet nepieciešams sniegt skaidrojumu, kā projekta īstenošanā tiks nodrošināta </w:t>
            </w:r>
            <w:proofErr w:type="spellStart"/>
            <w:r w:rsidRPr="009F014F">
              <w:rPr>
                <w:rStyle w:val="normaltextrun"/>
                <w:rFonts w:ascii="Times New Roman" w:hAnsi="Times New Roman" w:cs="Times New Roman"/>
                <w:color w:val="1F3864" w:themeColor="accent1" w:themeShade="80"/>
                <w:sz w:val="24"/>
                <w:szCs w:val="24"/>
                <w:bdr w:val="none" w:sz="0" w:space="0" w:color="auto" w:frame="1"/>
              </w:rPr>
              <w:t>nediskriminācija</w:t>
            </w:r>
            <w:proofErr w:type="spellEnd"/>
            <w:r w:rsidRPr="009F014F">
              <w:rPr>
                <w:rStyle w:val="normaltextrun"/>
                <w:rFonts w:ascii="Times New Roman" w:hAnsi="Times New Roman" w:cs="Times New Roman"/>
                <w:color w:val="1F3864" w:themeColor="accent1" w:themeShade="80"/>
                <w:sz w:val="24"/>
                <w:szCs w:val="24"/>
                <w:bdr w:val="none" w:sz="0" w:space="0" w:color="auto" w:frame="1"/>
              </w:rPr>
              <w:t xml:space="preserve"> pēc vecuma, dzimuma, etniskās piederības u.c. pazīmēm un virzītas aktivitātes un darbības, kas veicina </w:t>
            </w:r>
            <w:proofErr w:type="spellStart"/>
            <w:r w:rsidRPr="009F014F">
              <w:rPr>
                <w:rStyle w:val="normaltextrun"/>
                <w:rFonts w:ascii="Times New Roman" w:hAnsi="Times New Roman" w:cs="Times New Roman"/>
                <w:color w:val="1F3864" w:themeColor="accent1" w:themeShade="80"/>
                <w:sz w:val="24"/>
                <w:szCs w:val="24"/>
                <w:bdr w:val="none" w:sz="0" w:space="0" w:color="auto" w:frame="1"/>
              </w:rPr>
              <w:t>nediskrimināciju</w:t>
            </w:r>
            <w:proofErr w:type="spellEnd"/>
            <w:r w:rsidRPr="009F014F">
              <w:rPr>
                <w:rStyle w:val="normaltextrun"/>
                <w:rFonts w:ascii="Times New Roman" w:hAnsi="Times New Roman" w:cs="Times New Roman"/>
                <w:color w:val="1F3864" w:themeColor="accent1" w:themeShade="80"/>
                <w:sz w:val="24"/>
                <w:szCs w:val="24"/>
                <w:bdr w:val="none" w:sz="0" w:space="0" w:color="auto" w:frame="1"/>
              </w:rPr>
              <w:t xml:space="preserve"> un vienlīdzīgu iespēju principu ievērošana. Piemēram, darbībās, kas saistītas ar projekta vadību var paredzēt:</w:t>
            </w:r>
          </w:p>
          <w:p w14:paraId="30127242" w14:textId="77777777" w:rsidR="009F014F" w:rsidRPr="009F014F" w:rsidRDefault="009F014F" w:rsidP="009F014F">
            <w:pPr>
              <w:pStyle w:val="ListParagraph"/>
              <w:numPr>
                <w:ilvl w:val="0"/>
                <w:numId w:val="30"/>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projektu vadībā un īstenošanā tiks virzīti pasākumi, kas sekmē darba un ģimenes dzīves līdzsvaru, paredzot elastīga un nepilna laika darba iespēju nodrošināšanu vecākiem ar bērniem un personām, kuras aprūpē tuviniekus;</w:t>
            </w:r>
          </w:p>
          <w:p w14:paraId="4EB6141C" w14:textId="77777777" w:rsidR="009F014F" w:rsidRPr="009F014F" w:rsidRDefault="009F014F" w:rsidP="009F014F">
            <w:pPr>
              <w:pStyle w:val="ListParagraph"/>
              <w:numPr>
                <w:ilvl w:val="0"/>
                <w:numId w:val="30"/>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A2E509C" w14:textId="77777777" w:rsidR="009F014F" w:rsidRPr="009F014F" w:rsidRDefault="009F014F" w:rsidP="009F014F">
            <w:pPr>
              <w:pStyle w:val="ListParagraph"/>
              <w:numPr>
                <w:ilvl w:val="0"/>
                <w:numId w:val="30"/>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projekta vadības un īstenošanas procesā personām ar invaliditāti tiks nodrošināta </w:t>
            </w:r>
            <w:proofErr w:type="spellStart"/>
            <w:r w:rsidRPr="009F014F">
              <w:rPr>
                <w:rFonts w:ascii="Times New Roman" w:hAnsi="Times New Roman" w:cs="Times New Roman"/>
                <w:color w:val="1F3864" w:themeColor="accent1" w:themeShade="80"/>
                <w:sz w:val="24"/>
                <w:szCs w:val="24"/>
              </w:rPr>
              <w:t>piekļūstamība</w:t>
            </w:r>
            <w:proofErr w:type="spellEnd"/>
            <w:r w:rsidRPr="009F014F">
              <w:rPr>
                <w:rFonts w:ascii="Times New Roman" w:hAnsi="Times New Roman" w:cs="Times New Roman"/>
                <w:color w:val="1F3864" w:themeColor="accent1" w:themeShade="80"/>
                <w:sz w:val="24"/>
                <w:szCs w:val="24"/>
              </w:rPr>
              <w:t xml:space="preserve">, tostarp, pielāgota darba vieta un pielāgotas informācijas un komunikācijas tehnoloģijas; </w:t>
            </w:r>
          </w:p>
          <w:p w14:paraId="1DD753BB" w14:textId="77777777" w:rsidR="009F014F" w:rsidRPr="009F014F" w:rsidRDefault="009F014F" w:rsidP="009F014F">
            <w:pPr>
              <w:pStyle w:val="ListParagraph"/>
              <w:numPr>
                <w:ilvl w:val="0"/>
                <w:numId w:val="30"/>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sievietēm un vīriešiem tiks nodrošināta vienlīdzīga darba samaksa un vienlīdzīgas karjeras izaugsmes iespējas, tostarp nodrošinot dalību apmācībās, semināros, komandējumos;</w:t>
            </w:r>
          </w:p>
          <w:p w14:paraId="68B3E55A" w14:textId="77777777" w:rsidR="009F014F" w:rsidRPr="009F014F" w:rsidRDefault="009F014F" w:rsidP="009F014F">
            <w:pPr>
              <w:spacing w:after="0" w:line="240" w:lineRule="auto"/>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Savukārt īstenojot publicitātes pasākumus var paredzēt, piemēram:</w:t>
            </w:r>
          </w:p>
          <w:p w14:paraId="5872A548" w14:textId="77777777" w:rsidR="009F014F" w:rsidRPr="009F014F" w:rsidRDefault="009F014F" w:rsidP="009F014F">
            <w:pPr>
              <w:pStyle w:val="ListParagraph"/>
              <w:numPr>
                <w:ilvl w:val="0"/>
                <w:numId w:val="31"/>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1" w:history="1">
              <w:r w:rsidRPr="009F014F">
                <w:rPr>
                  <w:rFonts w:ascii="Times New Roman" w:hAnsi="Times New Roman" w:cs="Times New Roman"/>
                  <w:color w:val="1F3864" w:themeColor="accent1" w:themeShade="80"/>
                  <w:sz w:val="24"/>
                  <w:szCs w:val="24"/>
                </w:rPr>
                <w:t>https://www.lm.gov.lv/lv/media/18838/download</w:t>
              </w:r>
            </w:hyperlink>
            <w:r w:rsidRPr="009F014F">
              <w:rPr>
                <w:rFonts w:ascii="Times New Roman" w:hAnsi="Times New Roman" w:cs="Times New Roman"/>
                <w:color w:val="1F3864" w:themeColor="accent1" w:themeShade="80"/>
                <w:sz w:val="24"/>
                <w:szCs w:val="24"/>
              </w:rPr>
              <w:t>)</w:t>
            </w:r>
          </w:p>
          <w:p w14:paraId="413B9119" w14:textId="77777777" w:rsidR="009F014F" w:rsidRPr="009F014F" w:rsidRDefault="009F014F" w:rsidP="009F014F">
            <w:pPr>
              <w:pStyle w:val="ListParagraph"/>
              <w:numPr>
                <w:ilvl w:val="0"/>
                <w:numId w:val="31"/>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tiks nodrošināts, ka informācija tīmeklī ir piekļūstama cilvēkiem ar funkcionāliem traucējumiem, izmantojot vairākus sensoros (redze, dzirde, tauste) kanālus (skat. VARAM vadlīnijas “Tīmekļvietnes </w:t>
            </w:r>
            <w:proofErr w:type="spellStart"/>
            <w:r w:rsidRPr="009F014F">
              <w:rPr>
                <w:rFonts w:ascii="Times New Roman" w:hAnsi="Times New Roman" w:cs="Times New Roman"/>
                <w:color w:val="1F3864" w:themeColor="accent1" w:themeShade="80"/>
                <w:sz w:val="24"/>
                <w:szCs w:val="24"/>
              </w:rPr>
              <w:t>izvērtējums</w:t>
            </w:r>
            <w:proofErr w:type="spellEnd"/>
            <w:r w:rsidRPr="009F014F">
              <w:rPr>
                <w:rFonts w:ascii="Times New Roman" w:hAnsi="Times New Roman" w:cs="Times New Roman"/>
                <w:color w:val="1F3864" w:themeColor="accent1" w:themeShade="80"/>
                <w:sz w:val="24"/>
                <w:szCs w:val="24"/>
              </w:rPr>
              <w:t xml:space="preserve"> atbilstoši digitālās vides </w:t>
            </w:r>
            <w:proofErr w:type="spellStart"/>
            <w:r w:rsidRPr="009F014F">
              <w:rPr>
                <w:rFonts w:ascii="Times New Roman" w:hAnsi="Times New Roman" w:cs="Times New Roman"/>
                <w:color w:val="1F3864" w:themeColor="accent1" w:themeShade="80"/>
                <w:sz w:val="24"/>
                <w:szCs w:val="24"/>
              </w:rPr>
              <w:t>piekļūstamības</w:t>
            </w:r>
            <w:proofErr w:type="spellEnd"/>
            <w:r w:rsidRPr="009F014F">
              <w:rPr>
                <w:rFonts w:ascii="Times New Roman" w:hAnsi="Times New Roman" w:cs="Times New Roman"/>
                <w:color w:val="1F3864" w:themeColor="accent1" w:themeShade="80"/>
                <w:sz w:val="24"/>
                <w:szCs w:val="24"/>
              </w:rPr>
              <w:t xml:space="preserve"> prasībām (WCAG 2.1 AA)” (</w:t>
            </w:r>
            <w:hyperlink r:id="rId12" w:history="1">
              <w:r w:rsidRPr="009F014F">
                <w:rPr>
                  <w:rFonts w:ascii="Times New Roman" w:hAnsi="Times New Roman" w:cs="Times New Roman"/>
                  <w:color w:val="1F3864" w:themeColor="accent1" w:themeShade="80"/>
                  <w:sz w:val="24"/>
                  <w:szCs w:val="24"/>
                </w:rPr>
                <w:t>https://pieklustamiba.varam.gov.lv</w:t>
              </w:r>
            </w:hyperlink>
            <w:r w:rsidRPr="009F014F">
              <w:rPr>
                <w:rFonts w:ascii="Times New Roman" w:hAnsi="Times New Roman" w:cs="Times New Roman"/>
                <w:color w:val="1F3864" w:themeColor="accent1" w:themeShade="80"/>
                <w:sz w:val="24"/>
                <w:szCs w:val="24"/>
              </w:rPr>
              <w:t xml:space="preserve">  /, Vadlīnijas </w:t>
            </w:r>
            <w:proofErr w:type="spellStart"/>
            <w:r w:rsidRPr="009F014F">
              <w:rPr>
                <w:rFonts w:ascii="Times New Roman" w:hAnsi="Times New Roman" w:cs="Times New Roman"/>
                <w:color w:val="1F3864" w:themeColor="accent1" w:themeShade="80"/>
                <w:sz w:val="24"/>
                <w:szCs w:val="24"/>
              </w:rPr>
              <w:t>piekļūstamības</w:t>
            </w:r>
            <w:proofErr w:type="spellEnd"/>
            <w:r w:rsidRPr="009F014F">
              <w:rPr>
                <w:rFonts w:ascii="Times New Roman" w:hAnsi="Times New Roman" w:cs="Times New Roman"/>
                <w:color w:val="1F3864" w:themeColor="accent1" w:themeShade="80"/>
                <w:sz w:val="24"/>
                <w:szCs w:val="24"/>
              </w:rPr>
              <w:t xml:space="preserve"> </w:t>
            </w:r>
            <w:proofErr w:type="spellStart"/>
            <w:r w:rsidRPr="009F014F">
              <w:rPr>
                <w:rFonts w:ascii="Times New Roman" w:hAnsi="Times New Roman" w:cs="Times New Roman"/>
                <w:color w:val="1F3864" w:themeColor="accent1" w:themeShade="80"/>
                <w:sz w:val="24"/>
                <w:szCs w:val="24"/>
              </w:rPr>
              <w:t>izvērtējumam</w:t>
            </w:r>
            <w:proofErr w:type="spellEnd"/>
            <w:r w:rsidRPr="009F014F">
              <w:rPr>
                <w:rFonts w:ascii="Times New Roman" w:hAnsi="Times New Roman" w:cs="Times New Roman"/>
                <w:color w:val="1F3864" w:themeColor="accent1" w:themeShade="80"/>
                <w:sz w:val="24"/>
                <w:szCs w:val="24"/>
              </w:rPr>
              <w:t xml:space="preserve"> pieejamas šeit: </w:t>
            </w:r>
            <w:hyperlink r:id="rId13" w:history="1">
              <w:r w:rsidRPr="009F014F">
                <w:rPr>
                  <w:rFonts w:ascii="Times New Roman" w:hAnsi="Times New Roman" w:cs="Times New Roman"/>
                  <w:color w:val="1F3864" w:themeColor="accent1" w:themeShade="80"/>
                  <w:sz w:val="24"/>
                  <w:szCs w:val="24"/>
                </w:rPr>
                <w:t>https://www.varam.gov.lv/lv/wwwvaramgovlv/lv/pieklustamiba</w:t>
              </w:r>
            </w:hyperlink>
            <w:r w:rsidRPr="009F014F">
              <w:rPr>
                <w:rFonts w:ascii="Times New Roman" w:hAnsi="Times New Roman" w:cs="Times New Roman"/>
                <w:color w:val="1F3864" w:themeColor="accent1" w:themeShade="80"/>
                <w:sz w:val="24"/>
                <w:szCs w:val="24"/>
              </w:rPr>
              <w:t>);</w:t>
            </w:r>
          </w:p>
          <w:p w14:paraId="253A5309" w14:textId="77777777" w:rsidR="009F014F" w:rsidRPr="009F014F" w:rsidRDefault="009F014F" w:rsidP="009F014F">
            <w:pPr>
              <w:pStyle w:val="ListParagraph"/>
              <w:numPr>
                <w:ilvl w:val="0"/>
                <w:numId w:val="31"/>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lastRenderedPageBreak/>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4" w:history="1">
              <w:r w:rsidRPr="009F014F">
                <w:rPr>
                  <w:rFonts w:ascii="Times New Roman" w:hAnsi="Times New Roman" w:cs="Times New Roman"/>
                  <w:color w:val="1F3864" w:themeColor="accent1" w:themeShade="80"/>
                  <w:sz w:val="24"/>
                  <w:szCs w:val="24"/>
                </w:rPr>
                <w:t>https://www.lm.gov.lv/lv/celvedis-ieklaujosas-vides-veidosanai-valsts-un-pasvaldibu-iestades-2020</w:t>
              </w:r>
            </w:hyperlink>
            <w:r w:rsidRPr="009F014F">
              <w:rPr>
                <w:rFonts w:ascii="Times New Roman" w:hAnsi="Times New Roman" w:cs="Times New Roman"/>
                <w:color w:val="1F3864" w:themeColor="accent1" w:themeShade="80"/>
                <w:sz w:val="24"/>
                <w:szCs w:val="24"/>
              </w:rPr>
              <w:t xml:space="preserve"> );</w:t>
            </w:r>
          </w:p>
          <w:p w14:paraId="499049C6" w14:textId="77777777" w:rsidR="009F014F" w:rsidRPr="009F014F" w:rsidRDefault="009F014F" w:rsidP="009F014F">
            <w:pPr>
              <w:pStyle w:val="ListParagraph"/>
              <w:numPr>
                <w:ilvl w:val="0"/>
                <w:numId w:val="31"/>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projekta tīmekļa vietnē tiks norādīta informācija par projekta darbību īstenošanas vietas </w:t>
            </w:r>
            <w:proofErr w:type="spellStart"/>
            <w:r w:rsidRPr="009F014F">
              <w:rPr>
                <w:rFonts w:ascii="Times New Roman" w:hAnsi="Times New Roman" w:cs="Times New Roman"/>
                <w:color w:val="1F3864" w:themeColor="accent1" w:themeShade="80"/>
                <w:sz w:val="24"/>
                <w:szCs w:val="24"/>
              </w:rPr>
              <w:t>piekļūstamību</w:t>
            </w:r>
            <w:proofErr w:type="spellEnd"/>
            <w:r w:rsidRPr="009F014F">
              <w:rPr>
                <w:rFonts w:ascii="Times New Roman" w:hAnsi="Times New Roman" w:cs="Times New Roman"/>
                <w:color w:val="1F3864" w:themeColor="accent1" w:themeShade="80"/>
                <w:sz w:val="24"/>
                <w:szCs w:val="24"/>
              </w:rPr>
              <w:t xml:space="preserve"> cilvēkiem ar invaliditāti un funkcionāliem traucējumiem, vecākiem ar maziem bērniem un senioriem;</w:t>
            </w:r>
          </w:p>
          <w:p w14:paraId="3F6B120A" w14:textId="77777777" w:rsidR="009F014F" w:rsidRPr="009F014F" w:rsidRDefault="009F014F" w:rsidP="009F014F">
            <w:pPr>
              <w:pStyle w:val="ListParagraph"/>
              <w:numPr>
                <w:ilvl w:val="0"/>
                <w:numId w:val="31"/>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tiks izskausta naida runa, naida kurināšana digitālajā vidē: saskaroties ar naida runu tīmeklī, par to tiks ziņots portāla administrācijai, kā arī drošības iestādēm un </w:t>
            </w:r>
            <w:proofErr w:type="spellStart"/>
            <w:r w:rsidRPr="009F014F">
              <w:rPr>
                <w:rFonts w:ascii="Times New Roman" w:hAnsi="Times New Roman" w:cs="Times New Roman"/>
                <w:color w:val="1F3864" w:themeColor="accent1" w:themeShade="80"/>
                <w:sz w:val="24"/>
                <w:szCs w:val="24"/>
              </w:rPr>
              <w:t>tiesībsargam</w:t>
            </w:r>
            <w:proofErr w:type="spellEnd"/>
            <w:r w:rsidRPr="009F014F">
              <w:rPr>
                <w:rFonts w:ascii="Times New Roman" w:hAnsi="Times New Roman" w:cs="Times New Roman"/>
                <w:color w:val="1F3864" w:themeColor="accent1" w:themeShade="80"/>
                <w:sz w:val="24"/>
                <w:szCs w:val="24"/>
              </w:rPr>
              <w:t>. Ziņojot par naida runas gadījumiem tīmeklī, ir pietiekami veikt konstatētā fakta ekrānuzņēmumu, ko elektroniski var nosūtīt drošības iestādēm;</w:t>
            </w:r>
          </w:p>
          <w:p w14:paraId="32A3F49F" w14:textId="77D81935" w:rsidR="009F014F" w:rsidRPr="009F014F" w:rsidRDefault="009F014F" w:rsidP="009F014F">
            <w:pPr>
              <w:pStyle w:val="ListParagraph"/>
              <w:numPr>
                <w:ilvl w:val="0"/>
                <w:numId w:val="31"/>
              </w:numPr>
              <w:spacing w:after="0" w:line="240" w:lineRule="auto"/>
              <w:contextualSpacing w:val="0"/>
              <w:jc w:val="both"/>
              <w:rPr>
                <w:rFonts w:ascii="Times New Roman" w:hAnsi="Times New Roman" w:cs="Times New Roman"/>
                <w:color w:val="1F3864" w:themeColor="accent1" w:themeShade="80"/>
                <w:sz w:val="24"/>
                <w:szCs w:val="24"/>
              </w:rPr>
            </w:pPr>
            <w:r w:rsidRPr="009F014F">
              <w:rPr>
                <w:rFonts w:ascii="Times New Roman" w:hAnsi="Times New Roman" w:cs="Times New Roman"/>
                <w:color w:val="1F3864" w:themeColor="accent1" w:themeShade="80"/>
                <w:sz w:val="24"/>
                <w:szCs w:val="24"/>
              </w:rPr>
              <w:t xml:space="preserve">cieņas aizskaršanas un naida runas, naida kurināšanas digitālajā vidē mazināšanai, veicot ierakstus sociālajos tīklos, gatavojot preses </w:t>
            </w:r>
            <w:proofErr w:type="spellStart"/>
            <w:r w:rsidRPr="009F014F">
              <w:rPr>
                <w:rFonts w:ascii="Times New Roman" w:hAnsi="Times New Roman" w:cs="Times New Roman"/>
                <w:color w:val="1F3864" w:themeColor="accent1" w:themeShade="80"/>
                <w:sz w:val="24"/>
                <w:szCs w:val="24"/>
              </w:rPr>
              <w:t>relīzes</w:t>
            </w:r>
            <w:proofErr w:type="spellEnd"/>
            <w:r w:rsidRPr="009F014F">
              <w:rPr>
                <w:rFonts w:ascii="Times New Roman" w:hAnsi="Times New Roman" w:cs="Times New Roman"/>
                <w:color w:val="1F3864" w:themeColor="accent1" w:themeShade="80"/>
                <w:sz w:val="24"/>
                <w:szCs w:val="24"/>
              </w:rPr>
              <w:t xml:space="preserve">, izstrādājot </w:t>
            </w:r>
            <w:proofErr w:type="spellStart"/>
            <w:r w:rsidRPr="009F014F">
              <w:rPr>
                <w:rFonts w:ascii="Times New Roman" w:hAnsi="Times New Roman" w:cs="Times New Roman"/>
                <w:color w:val="1F3864" w:themeColor="accent1" w:themeShade="80"/>
                <w:sz w:val="24"/>
                <w:szCs w:val="24"/>
              </w:rPr>
              <w:t>infografikas</w:t>
            </w:r>
            <w:proofErr w:type="spellEnd"/>
            <w:r w:rsidRPr="009F014F">
              <w:rPr>
                <w:rFonts w:ascii="Times New Roman" w:hAnsi="Times New Roman" w:cs="Times New Roman"/>
                <w:color w:val="1F3864" w:themeColor="accent1" w:themeShade="80"/>
                <w:sz w:val="24"/>
                <w:szCs w:val="24"/>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tc>
      </w:tr>
      <w:tr w:rsidR="00562872" w:rsidRPr="009F014F" w14:paraId="2F11DB32" w14:textId="77777777" w:rsidTr="00841E7F">
        <w:tc>
          <w:tcPr>
            <w:tcW w:w="5000" w:type="pct"/>
            <w:gridSpan w:val="3"/>
            <w:tcBorders>
              <w:bottom w:val="single" w:sz="4" w:space="0" w:color="000000"/>
            </w:tcBorders>
            <w:shd w:val="clear" w:color="auto" w:fill="D0CECE" w:themeFill="background2" w:themeFillShade="E6"/>
          </w:tcPr>
          <w:p w14:paraId="6F1C6314" w14:textId="650D5A25" w:rsidR="00562872" w:rsidRPr="009F014F" w:rsidRDefault="00562872" w:rsidP="00562872">
            <w:pPr>
              <w:pStyle w:val="Heading1"/>
              <w:numPr>
                <w:ilvl w:val="0"/>
                <w:numId w:val="17"/>
              </w:numPr>
              <w:tabs>
                <w:tab w:val="num" w:pos="360"/>
              </w:tabs>
              <w:spacing w:before="0" w:after="0" w:line="240" w:lineRule="auto"/>
              <w:ind w:left="0" w:firstLine="0"/>
              <w:rPr>
                <w:rFonts w:cs="Times New Roman"/>
                <w:sz w:val="24"/>
                <w:szCs w:val="24"/>
              </w:rPr>
            </w:pPr>
            <w:bookmarkStart w:id="9" w:name="_Toc127803615"/>
            <w:r w:rsidRPr="009F014F">
              <w:rPr>
                <w:rFonts w:cs="Times New Roman"/>
                <w:sz w:val="24"/>
                <w:szCs w:val="24"/>
              </w:rPr>
              <w:lastRenderedPageBreak/>
              <w:t>Attiecināmās izmaksas</w:t>
            </w:r>
            <w:bookmarkEnd w:id="9"/>
          </w:p>
        </w:tc>
      </w:tr>
      <w:tr w:rsidR="00562872" w:rsidRPr="009F014F" w14:paraId="29C2E4A2" w14:textId="77777777" w:rsidTr="00346C9E">
        <w:tc>
          <w:tcPr>
            <w:tcW w:w="402" w:type="pct"/>
          </w:tcPr>
          <w:p w14:paraId="7A249BB7" w14:textId="5ED7F0CD" w:rsidR="00562872" w:rsidRPr="009F014F" w:rsidRDefault="00562872" w:rsidP="00562872">
            <w:pPr>
              <w:shd w:val="clear" w:color="auto" w:fill="FFFFFF"/>
              <w:spacing w:after="0" w:line="240" w:lineRule="auto"/>
              <w:rPr>
                <w:rFonts w:ascii="Times New Roman" w:hAnsi="Times New Roman" w:cs="Times New Roman"/>
                <w:sz w:val="24"/>
                <w:szCs w:val="24"/>
              </w:rPr>
            </w:pPr>
            <w:r w:rsidRPr="009F014F">
              <w:rPr>
                <w:rFonts w:ascii="Times New Roman" w:hAnsi="Times New Roman" w:cs="Times New Roman"/>
                <w:sz w:val="24"/>
                <w:szCs w:val="24"/>
              </w:rPr>
              <w:t>4.1.</w:t>
            </w:r>
          </w:p>
        </w:tc>
        <w:tc>
          <w:tcPr>
            <w:tcW w:w="2011" w:type="pct"/>
            <w:shd w:val="clear" w:color="auto" w:fill="auto"/>
          </w:tcPr>
          <w:p w14:paraId="5B12DA6A" w14:textId="18C857AC" w:rsidR="00562872" w:rsidRPr="009F014F" w:rsidRDefault="00562872" w:rsidP="000C6CED">
            <w:pPr>
              <w:shd w:val="clear" w:color="auto" w:fill="FFFFFF"/>
              <w:spacing w:after="0" w:line="240" w:lineRule="auto"/>
              <w:jc w:val="both"/>
              <w:rPr>
                <w:rFonts w:ascii="Times New Roman" w:hAnsi="Times New Roman" w:cs="Times New Roman"/>
                <w:sz w:val="24"/>
                <w:szCs w:val="24"/>
              </w:rPr>
            </w:pPr>
            <w:r w:rsidRPr="009F014F">
              <w:rPr>
                <w:rFonts w:ascii="Times New Roman" w:hAnsi="Times New Roman" w:cs="Times New Roman"/>
                <w:sz w:val="24"/>
                <w:szCs w:val="24"/>
              </w:rPr>
              <w:t>Vai var iegādāties iekārtas zaļo tehnoloģiju izstrādei?</w:t>
            </w:r>
          </w:p>
        </w:tc>
        <w:tc>
          <w:tcPr>
            <w:tcW w:w="2587" w:type="pct"/>
            <w:shd w:val="clear" w:color="auto" w:fill="auto"/>
          </w:tcPr>
          <w:p w14:paraId="4CC12C07" w14:textId="2189BE37" w:rsidR="00562872" w:rsidRPr="009F014F" w:rsidRDefault="00562872" w:rsidP="00562872">
            <w:pPr>
              <w:spacing w:after="0" w:line="240" w:lineRule="auto"/>
              <w:jc w:val="both"/>
              <w:rPr>
                <w:rFonts w:ascii="Times New Roman" w:hAnsi="Times New Roman" w:cs="Times New Roman"/>
                <w:color w:val="2F5496" w:themeColor="accent1" w:themeShade="BF"/>
                <w:sz w:val="24"/>
                <w:szCs w:val="24"/>
              </w:rPr>
            </w:pPr>
            <w:r w:rsidRPr="009F014F">
              <w:rPr>
                <w:rFonts w:ascii="Times New Roman" w:hAnsi="Times New Roman" w:cs="Times New Roman"/>
                <w:color w:val="002060"/>
                <w:sz w:val="24"/>
                <w:szCs w:val="24"/>
              </w:rPr>
              <w:t>Skaidrojam, ka pētniecības atbalsta programmas paredzētas jaunu produktu izstrādei un ar to saistītajām darbībām. Atbalsta programmu ietvaros nav paredzēts attiecināt izmaksas par iekārtu iegādi, taču iespējams attiecināt instrumentu, iekārtu un to aprīkojuma nomas maksa, ciktāl to izmanto pētniecības vai tehniski ekonomiskās priekšizpētes darbībām. Vienlaikus, pētniecības atbalsta programmās kā attiecināmas ir pētniecības projekta īstenotāja īpašumā esošo instrumentu, iekārtu un to aprīkojuma izmaksas, finanšu nomā iegādāto iekārtu amortizācijas izmaksas, ciktāl tos izmanto pētniecības projektā. Vēršam uzmanību, ka netiek segtas telpu, instrumentu, iekārtu un to aprīkojuma, patentu un licenču amortizācijas izmaksas, ja to iegādei vai izveidei jau ir ticis saņemts komercdarbības atbalsts no valsts, pašvaldības, Eiropas Savienības vai citiem publiskajiem līdzekļiem šā vai cita atbalsta pasākuma vai projekta ietvaros.</w:t>
            </w:r>
          </w:p>
        </w:tc>
      </w:tr>
      <w:tr w:rsidR="00562872" w:rsidRPr="009F014F" w14:paraId="798F9D98" w14:textId="77777777" w:rsidTr="00346C9E">
        <w:tc>
          <w:tcPr>
            <w:tcW w:w="402" w:type="pct"/>
          </w:tcPr>
          <w:p w14:paraId="67D926B1" w14:textId="665F9CB4" w:rsidR="00562872" w:rsidRPr="009F014F" w:rsidRDefault="00562872" w:rsidP="00562872">
            <w:pPr>
              <w:shd w:val="clear" w:color="auto" w:fill="FFFFFF"/>
              <w:spacing w:after="0" w:line="240" w:lineRule="auto"/>
              <w:rPr>
                <w:rFonts w:ascii="Times New Roman" w:hAnsi="Times New Roman" w:cs="Times New Roman"/>
                <w:sz w:val="24"/>
                <w:szCs w:val="24"/>
              </w:rPr>
            </w:pPr>
            <w:r w:rsidRPr="009F014F">
              <w:rPr>
                <w:rFonts w:ascii="Times New Roman" w:hAnsi="Times New Roman" w:cs="Times New Roman"/>
                <w:sz w:val="24"/>
                <w:szCs w:val="24"/>
              </w:rPr>
              <w:lastRenderedPageBreak/>
              <w:t>..</w:t>
            </w:r>
          </w:p>
        </w:tc>
        <w:tc>
          <w:tcPr>
            <w:tcW w:w="2011" w:type="pct"/>
            <w:shd w:val="clear" w:color="auto" w:fill="auto"/>
          </w:tcPr>
          <w:p w14:paraId="34C9D765" w14:textId="28A323AA" w:rsidR="00562872" w:rsidRPr="009F014F" w:rsidRDefault="00562872" w:rsidP="00562872">
            <w:pPr>
              <w:shd w:val="clear" w:color="auto" w:fill="FFFFFF"/>
              <w:spacing w:after="0" w:line="240" w:lineRule="auto"/>
              <w:rPr>
                <w:rFonts w:ascii="Times New Roman" w:eastAsia="Times New Roman" w:hAnsi="Times New Roman" w:cs="Times New Roman"/>
                <w:sz w:val="24"/>
                <w:szCs w:val="24"/>
                <w:lang w:eastAsia="lv-LV"/>
              </w:rPr>
            </w:pPr>
          </w:p>
        </w:tc>
        <w:tc>
          <w:tcPr>
            <w:tcW w:w="2587" w:type="pct"/>
            <w:shd w:val="clear" w:color="auto" w:fill="auto"/>
          </w:tcPr>
          <w:p w14:paraId="3E590E8A" w14:textId="0879183A" w:rsidR="00562872" w:rsidRPr="009F014F" w:rsidRDefault="00562872" w:rsidP="00562872">
            <w:pPr>
              <w:spacing w:after="0" w:line="240" w:lineRule="auto"/>
              <w:rPr>
                <w:rFonts w:ascii="Times New Roman" w:hAnsi="Times New Roman" w:cs="Times New Roman"/>
                <w:color w:val="2F5496" w:themeColor="accent1" w:themeShade="BF"/>
                <w:sz w:val="24"/>
                <w:szCs w:val="24"/>
              </w:rPr>
            </w:pPr>
          </w:p>
        </w:tc>
      </w:tr>
      <w:tr w:rsidR="00562872" w:rsidRPr="009F014F" w14:paraId="39F7567D" w14:textId="77777777" w:rsidTr="00841E7F">
        <w:tc>
          <w:tcPr>
            <w:tcW w:w="5000" w:type="pct"/>
            <w:gridSpan w:val="3"/>
            <w:tcBorders>
              <w:bottom w:val="single" w:sz="4" w:space="0" w:color="000000"/>
            </w:tcBorders>
            <w:shd w:val="clear" w:color="auto" w:fill="D0CECE" w:themeFill="background2" w:themeFillShade="E6"/>
          </w:tcPr>
          <w:p w14:paraId="155D5E4C" w14:textId="1360B42D" w:rsidR="00562872" w:rsidRPr="009F014F" w:rsidRDefault="00562872" w:rsidP="00562872">
            <w:pPr>
              <w:pStyle w:val="Heading1"/>
              <w:numPr>
                <w:ilvl w:val="0"/>
                <w:numId w:val="17"/>
              </w:numPr>
              <w:tabs>
                <w:tab w:val="num" w:pos="360"/>
              </w:tabs>
              <w:spacing w:before="0" w:after="0" w:line="240" w:lineRule="auto"/>
              <w:ind w:left="0" w:firstLine="0"/>
              <w:rPr>
                <w:rFonts w:cs="Times New Roman"/>
                <w:sz w:val="24"/>
                <w:szCs w:val="24"/>
              </w:rPr>
            </w:pPr>
            <w:bookmarkStart w:id="10" w:name="_Toc20918689"/>
            <w:bookmarkStart w:id="11" w:name="_Toc46148094"/>
            <w:bookmarkStart w:id="12" w:name="_Toc127803616"/>
            <w:r w:rsidRPr="009F014F">
              <w:rPr>
                <w:rFonts w:cs="Times New Roman"/>
                <w:sz w:val="24"/>
                <w:szCs w:val="24"/>
              </w:rPr>
              <w:t>Projekta iesnieguma aizpildīšana</w:t>
            </w:r>
            <w:bookmarkEnd w:id="10"/>
            <w:bookmarkEnd w:id="11"/>
            <w:r w:rsidRPr="009F014F">
              <w:rPr>
                <w:rFonts w:cs="Times New Roman"/>
                <w:sz w:val="24"/>
                <w:szCs w:val="24"/>
              </w:rPr>
              <w:t xml:space="preserve"> un pielikumi</w:t>
            </w:r>
            <w:bookmarkEnd w:id="12"/>
          </w:p>
        </w:tc>
      </w:tr>
      <w:tr w:rsidR="00562872" w:rsidRPr="009F014F" w14:paraId="717E39BF" w14:textId="77777777" w:rsidTr="00346C9E">
        <w:trPr>
          <w:trHeight w:val="465"/>
        </w:trPr>
        <w:tc>
          <w:tcPr>
            <w:tcW w:w="402" w:type="pct"/>
          </w:tcPr>
          <w:p w14:paraId="6FA20451" w14:textId="77777777" w:rsidR="00562872" w:rsidRPr="009F014F" w:rsidRDefault="00562872" w:rsidP="00562872">
            <w:pPr>
              <w:spacing w:after="0" w:line="240" w:lineRule="auto"/>
              <w:rPr>
                <w:rFonts w:ascii="Times New Roman" w:hAnsi="Times New Roman" w:cs="Times New Roman"/>
                <w:sz w:val="24"/>
                <w:szCs w:val="24"/>
              </w:rPr>
            </w:pPr>
          </w:p>
        </w:tc>
        <w:tc>
          <w:tcPr>
            <w:tcW w:w="2011" w:type="pct"/>
            <w:shd w:val="clear" w:color="auto" w:fill="auto"/>
          </w:tcPr>
          <w:p w14:paraId="60BDBAD2" w14:textId="23E7B9DB" w:rsidR="00562872" w:rsidRPr="009F014F" w:rsidRDefault="00562872" w:rsidP="00562872">
            <w:pPr>
              <w:spacing w:after="0" w:line="240" w:lineRule="auto"/>
              <w:rPr>
                <w:rFonts w:ascii="Times New Roman" w:eastAsia="Times New Roman" w:hAnsi="Times New Roman" w:cs="Times New Roman"/>
                <w:sz w:val="24"/>
                <w:szCs w:val="24"/>
                <w:lang w:eastAsia="lv-LV"/>
              </w:rPr>
            </w:pPr>
          </w:p>
        </w:tc>
        <w:tc>
          <w:tcPr>
            <w:tcW w:w="2587" w:type="pct"/>
            <w:shd w:val="clear" w:color="auto" w:fill="auto"/>
          </w:tcPr>
          <w:p w14:paraId="5EEAD1C4" w14:textId="5A6305F0" w:rsidR="00562872" w:rsidRPr="009F014F" w:rsidRDefault="00562872" w:rsidP="00562872">
            <w:pPr>
              <w:spacing w:after="0" w:line="240" w:lineRule="auto"/>
              <w:rPr>
                <w:rFonts w:ascii="Times New Roman" w:hAnsi="Times New Roman" w:cs="Times New Roman"/>
                <w:color w:val="2F5496" w:themeColor="accent1" w:themeShade="BF"/>
                <w:sz w:val="24"/>
                <w:szCs w:val="24"/>
              </w:rPr>
            </w:pPr>
          </w:p>
        </w:tc>
      </w:tr>
      <w:tr w:rsidR="00562872" w:rsidRPr="009F014F" w14:paraId="694FE4EE" w14:textId="77777777" w:rsidTr="00841E7F">
        <w:trPr>
          <w:trHeight w:val="321"/>
        </w:trPr>
        <w:tc>
          <w:tcPr>
            <w:tcW w:w="5000" w:type="pct"/>
            <w:gridSpan w:val="3"/>
            <w:shd w:val="clear" w:color="auto" w:fill="D0CECE" w:themeFill="background2" w:themeFillShade="E6"/>
          </w:tcPr>
          <w:p w14:paraId="7A4FFAA7" w14:textId="5F48FE53" w:rsidR="00562872" w:rsidRPr="009F014F" w:rsidRDefault="00562872" w:rsidP="00562872">
            <w:pPr>
              <w:pStyle w:val="Heading1"/>
              <w:numPr>
                <w:ilvl w:val="0"/>
                <w:numId w:val="17"/>
              </w:numPr>
              <w:tabs>
                <w:tab w:val="num" w:pos="360"/>
              </w:tabs>
              <w:spacing w:before="0" w:after="0" w:line="240" w:lineRule="auto"/>
              <w:ind w:left="0" w:firstLine="0"/>
              <w:rPr>
                <w:rFonts w:cs="Times New Roman"/>
                <w:sz w:val="24"/>
                <w:szCs w:val="24"/>
              </w:rPr>
            </w:pPr>
            <w:bookmarkStart w:id="13" w:name="_Toc20918693"/>
            <w:bookmarkStart w:id="14" w:name="_Toc46148098"/>
            <w:bookmarkStart w:id="15" w:name="_Toc127803617"/>
            <w:r w:rsidRPr="009F014F">
              <w:rPr>
                <w:rFonts w:cs="Times New Roman"/>
                <w:sz w:val="24"/>
                <w:szCs w:val="24"/>
              </w:rPr>
              <w:t>Personāls</w:t>
            </w:r>
            <w:bookmarkEnd w:id="13"/>
            <w:bookmarkEnd w:id="14"/>
            <w:r w:rsidRPr="009F014F">
              <w:rPr>
                <w:rFonts w:cs="Times New Roman"/>
                <w:sz w:val="24"/>
                <w:szCs w:val="24"/>
              </w:rPr>
              <w:t xml:space="preserve"> un partneri</w:t>
            </w:r>
            <w:bookmarkEnd w:id="15"/>
          </w:p>
        </w:tc>
      </w:tr>
      <w:tr w:rsidR="00562872" w:rsidRPr="009F014F" w14:paraId="0CF6209B" w14:textId="77777777" w:rsidTr="00346C9E">
        <w:trPr>
          <w:trHeight w:val="465"/>
        </w:trPr>
        <w:tc>
          <w:tcPr>
            <w:tcW w:w="402" w:type="pct"/>
          </w:tcPr>
          <w:p w14:paraId="3FCCC274" w14:textId="77777777" w:rsidR="00562872" w:rsidRPr="009F014F" w:rsidRDefault="00562872" w:rsidP="00562872">
            <w:pPr>
              <w:pStyle w:val="PlainText"/>
              <w:spacing w:before="0"/>
              <w:rPr>
                <w:rFonts w:ascii="Times New Roman" w:eastAsia="Times New Roman" w:hAnsi="Times New Roman" w:cs="Times New Roman"/>
                <w:sz w:val="24"/>
                <w:szCs w:val="24"/>
                <w:lang w:val="lv-LV" w:eastAsia="lv-LV"/>
              </w:rPr>
            </w:pPr>
          </w:p>
        </w:tc>
        <w:tc>
          <w:tcPr>
            <w:tcW w:w="2011" w:type="pct"/>
            <w:shd w:val="clear" w:color="auto" w:fill="auto"/>
            <w:vAlign w:val="center"/>
          </w:tcPr>
          <w:p w14:paraId="390E7FDD" w14:textId="05E7D89B" w:rsidR="00562872" w:rsidRPr="009F014F" w:rsidRDefault="00562872" w:rsidP="00562872">
            <w:pPr>
              <w:pStyle w:val="PlainText"/>
              <w:spacing w:before="0"/>
              <w:rPr>
                <w:rFonts w:ascii="Times New Roman" w:eastAsia="Times New Roman" w:hAnsi="Times New Roman" w:cs="Times New Roman"/>
                <w:sz w:val="24"/>
                <w:szCs w:val="24"/>
                <w:lang w:val="lv-LV" w:eastAsia="lv-LV"/>
              </w:rPr>
            </w:pPr>
          </w:p>
        </w:tc>
        <w:tc>
          <w:tcPr>
            <w:tcW w:w="2587" w:type="pct"/>
            <w:shd w:val="clear" w:color="auto" w:fill="auto"/>
          </w:tcPr>
          <w:p w14:paraId="7C4C0F5B" w14:textId="2513DBE6" w:rsidR="00562872" w:rsidRPr="009F014F" w:rsidRDefault="00562872" w:rsidP="00562872">
            <w:pPr>
              <w:spacing w:after="0" w:line="240" w:lineRule="auto"/>
              <w:rPr>
                <w:rFonts w:ascii="Times New Roman" w:hAnsi="Times New Roman" w:cs="Times New Roman"/>
                <w:color w:val="2F5496" w:themeColor="accent1" w:themeShade="BF"/>
                <w:sz w:val="24"/>
                <w:szCs w:val="24"/>
              </w:rPr>
            </w:pPr>
          </w:p>
        </w:tc>
      </w:tr>
      <w:tr w:rsidR="00562872" w:rsidRPr="009F014F" w14:paraId="32696442" w14:textId="77777777" w:rsidTr="00841E7F">
        <w:trPr>
          <w:trHeight w:val="274"/>
        </w:trPr>
        <w:tc>
          <w:tcPr>
            <w:tcW w:w="5000" w:type="pct"/>
            <w:gridSpan w:val="3"/>
            <w:shd w:val="clear" w:color="auto" w:fill="D0CECE" w:themeFill="background2" w:themeFillShade="E6"/>
          </w:tcPr>
          <w:p w14:paraId="55D6F45D" w14:textId="71CA738F" w:rsidR="00562872" w:rsidRPr="009F014F" w:rsidRDefault="00562872" w:rsidP="00562872">
            <w:pPr>
              <w:pStyle w:val="Heading1"/>
              <w:numPr>
                <w:ilvl w:val="0"/>
                <w:numId w:val="17"/>
              </w:numPr>
              <w:tabs>
                <w:tab w:val="num" w:pos="360"/>
              </w:tabs>
              <w:spacing w:before="0" w:after="0" w:line="240" w:lineRule="auto"/>
              <w:ind w:left="0" w:firstLine="0"/>
              <w:rPr>
                <w:rFonts w:cs="Times New Roman"/>
                <w:i/>
                <w:iCs/>
                <w:color w:val="0070C0"/>
                <w:sz w:val="24"/>
                <w:szCs w:val="24"/>
              </w:rPr>
            </w:pPr>
            <w:bookmarkStart w:id="16" w:name="_Toc127803618"/>
            <w:r w:rsidRPr="009F014F">
              <w:rPr>
                <w:rFonts w:cs="Times New Roman"/>
                <w:sz w:val="24"/>
                <w:szCs w:val="24"/>
              </w:rPr>
              <w:t>Projekta rezultātu uzturēšana un ilgtspējas nodrošināšana</w:t>
            </w:r>
            <w:bookmarkEnd w:id="16"/>
          </w:p>
        </w:tc>
      </w:tr>
      <w:tr w:rsidR="00562872" w:rsidRPr="009F014F" w14:paraId="6E7E3660" w14:textId="77777777" w:rsidTr="00346C9E">
        <w:trPr>
          <w:trHeight w:val="465"/>
        </w:trPr>
        <w:tc>
          <w:tcPr>
            <w:tcW w:w="402" w:type="pct"/>
          </w:tcPr>
          <w:p w14:paraId="48CAC39F" w14:textId="77777777" w:rsidR="00562872" w:rsidRPr="009F014F" w:rsidRDefault="00562872" w:rsidP="00562872">
            <w:pPr>
              <w:pStyle w:val="PlainText"/>
              <w:spacing w:before="0"/>
              <w:jc w:val="left"/>
              <w:rPr>
                <w:rFonts w:ascii="Times New Roman" w:eastAsia="Times New Roman" w:hAnsi="Times New Roman" w:cs="Times New Roman"/>
                <w:sz w:val="24"/>
                <w:szCs w:val="24"/>
                <w:lang w:val="lv-LV" w:eastAsia="lv-LV"/>
              </w:rPr>
            </w:pPr>
          </w:p>
        </w:tc>
        <w:tc>
          <w:tcPr>
            <w:tcW w:w="2011" w:type="pct"/>
            <w:shd w:val="clear" w:color="auto" w:fill="auto"/>
          </w:tcPr>
          <w:p w14:paraId="103814F7" w14:textId="580AF5DF" w:rsidR="00562872" w:rsidRPr="009F014F" w:rsidRDefault="00562872" w:rsidP="00562872">
            <w:pPr>
              <w:pStyle w:val="PlainText"/>
              <w:spacing w:before="0"/>
              <w:jc w:val="left"/>
              <w:rPr>
                <w:rFonts w:ascii="Times New Roman" w:eastAsia="Times New Roman" w:hAnsi="Times New Roman" w:cs="Times New Roman"/>
                <w:sz w:val="24"/>
                <w:szCs w:val="24"/>
                <w:lang w:val="lv-LV" w:eastAsia="lv-LV"/>
              </w:rPr>
            </w:pPr>
          </w:p>
        </w:tc>
        <w:tc>
          <w:tcPr>
            <w:tcW w:w="2587" w:type="pct"/>
            <w:shd w:val="clear" w:color="auto" w:fill="auto"/>
          </w:tcPr>
          <w:p w14:paraId="52890B2A" w14:textId="442B9BF6" w:rsidR="00562872" w:rsidRPr="009F014F" w:rsidRDefault="00562872" w:rsidP="00562872">
            <w:pPr>
              <w:spacing w:after="0" w:line="240" w:lineRule="auto"/>
              <w:rPr>
                <w:rFonts w:ascii="Times New Roman" w:hAnsi="Times New Roman" w:cs="Times New Roman"/>
                <w:color w:val="2F5496" w:themeColor="accent1" w:themeShade="BF"/>
                <w:sz w:val="24"/>
                <w:szCs w:val="24"/>
              </w:rPr>
            </w:pPr>
          </w:p>
        </w:tc>
      </w:tr>
    </w:tbl>
    <w:p w14:paraId="02C9F9E3" w14:textId="524B8A91" w:rsidR="0001751C" w:rsidRPr="009F014F" w:rsidRDefault="655DEAB1" w:rsidP="00AB7D6E">
      <w:pPr>
        <w:spacing w:after="0" w:line="240" w:lineRule="auto"/>
        <w:jc w:val="both"/>
        <w:rPr>
          <w:rFonts w:ascii="Times New Roman" w:hAnsi="Times New Roman" w:cs="Times New Roman"/>
          <w:sz w:val="24"/>
          <w:szCs w:val="24"/>
        </w:rPr>
      </w:pPr>
      <w:r w:rsidRPr="009F014F">
        <w:rPr>
          <w:rFonts w:ascii="Times New Roman" w:eastAsia="Calibri" w:hAnsi="Times New Roman" w:cs="Times New Roman"/>
          <w:sz w:val="24"/>
          <w:szCs w:val="24"/>
        </w:rPr>
        <w:t xml:space="preserve"> </w:t>
      </w:r>
    </w:p>
    <w:sectPr w:rsidR="0001751C" w:rsidRPr="009F014F" w:rsidSect="00B50AEE">
      <w:headerReference w:type="default" r:id="rId15"/>
      <w:headerReference w:type="first" r:id="rId16"/>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3BD3" w14:textId="77777777" w:rsidR="00FD72E0" w:rsidRDefault="00FD72E0" w:rsidP="00F40189">
      <w:pPr>
        <w:spacing w:after="0" w:line="240" w:lineRule="auto"/>
      </w:pPr>
      <w:r>
        <w:separator/>
      </w:r>
    </w:p>
  </w:endnote>
  <w:endnote w:type="continuationSeparator" w:id="0">
    <w:p w14:paraId="5A691AE1" w14:textId="77777777" w:rsidR="00FD72E0" w:rsidRDefault="00FD72E0" w:rsidP="00F40189">
      <w:pPr>
        <w:spacing w:after="0" w:line="240" w:lineRule="auto"/>
      </w:pPr>
      <w:r>
        <w:continuationSeparator/>
      </w:r>
    </w:p>
  </w:endnote>
  <w:endnote w:type="continuationNotice" w:id="1">
    <w:p w14:paraId="61DD58D2" w14:textId="77777777" w:rsidR="00FD72E0" w:rsidRDefault="00FD7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60EA" w14:textId="77777777" w:rsidR="00FD72E0" w:rsidRDefault="00FD72E0" w:rsidP="00F40189">
      <w:pPr>
        <w:spacing w:after="0" w:line="240" w:lineRule="auto"/>
      </w:pPr>
      <w:r>
        <w:separator/>
      </w:r>
    </w:p>
  </w:footnote>
  <w:footnote w:type="continuationSeparator" w:id="0">
    <w:p w14:paraId="4B3E4DB7" w14:textId="77777777" w:rsidR="00FD72E0" w:rsidRDefault="00FD72E0" w:rsidP="00F40189">
      <w:pPr>
        <w:spacing w:after="0" w:line="240" w:lineRule="auto"/>
      </w:pPr>
      <w:r>
        <w:continuationSeparator/>
      </w:r>
    </w:p>
  </w:footnote>
  <w:footnote w:type="continuationNotice" w:id="1">
    <w:p w14:paraId="769D6F96" w14:textId="77777777" w:rsidR="00FD72E0" w:rsidRDefault="00FD7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3F278F0"/>
    <w:multiLevelType w:val="hybridMultilevel"/>
    <w:tmpl w:val="B75CF98E"/>
    <w:lvl w:ilvl="0" w:tplc="6820FB6A">
      <w:numFmt w:val="bullet"/>
      <w:lvlText w:val="-"/>
      <w:lvlJc w:val="left"/>
      <w:pPr>
        <w:ind w:left="720" w:hanging="360"/>
      </w:pPr>
      <w:rPr>
        <w:rFonts w:ascii="Calibri" w:eastAsiaTheme="minorHAnsi"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CB22AC"/>
    <w:multiLevelType w:val="multilevel"/>
    <w:tmpl w:val="D13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47DDF"/>
    <w:multiLevelType w:val="hybridMultilevel"/>
    <w:tmpl w:val="879A7FD4"/>
    <w:lvl w:ilvl="0" w:tplc="FFFFFFFF">
      <w:start w:val="1"/>
      <w:numFmt w:val="lowerLetter"/>
      <w:lvlText w:val="%1)"/>
      <w:lvlJc w:val="left"/>
      <w:pPr>
        <w:ind w:left="720" w:hanging="360"/>
      </w:pPr>
      <w:rPr>
        <w:rFonts w:ascii="Times New Roman" w:hAnsi="Times New Roman" w:cs="Times New Roman"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21918"/>
    <w:multiLevelType w:val="hybridMultilevel"/>
    <w:tmpl w:val="D7DEDCCA"/>
    <w:lvl w:ilvl="0" w:tplc="BE323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8"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9" w15:restartNumberingAfterBreak="0">
    <w:nsid w:val="1BAC5575"/>
    <w:multiLevelType w:val="hybridMultilevel"/>
    <w:tmpl w:val="92ECE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11"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2" w15:restartNumberingAfterBreak="0">
    <w:nsid w:val="262E70C5"/>
    <w:multiLevelType w:val="hybridMultilevel"/>
    <w:tmpl w:val="92ECEB7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4"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3A652A"/>
    <w:multiLevelType w:val="multilevel"/>
    <w:tmpl w:val="AC52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8"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9"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0" w15:restartNumberingAfterBreak="0">
    <w:nsid w:val="55BE2AA7"/>
    <w:multiLevelType w:val="hybridMultilevel"/>
    <w:tmpl w:val="879A7FD4"/>
    <w:lvl w:ilvl="0" w:tplc="4D74D42E">
      <w:start w:val="1"/>
      <w:numFmt w:val="lowerLetter"/>
      <w:lvlText w:val="%1)"/>
      <w:lvlJc w:val="left"/>
      <w:pPr>
        <w:ind w:left="72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67FA8"/>
    <w:multiLevelType w:val="hybridMultilevel"/>
    <w:tmpl w:val="47E8E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25C4237"/>
    <w:multiLevelType w:val="hybridMultilevel"/>
    <w:tmpl w:val="76B8CD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5997AD8"/>
    <w:multiLevelType w:val="hybridMultilevel"/>
    <w:tmpl w:val="5E788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DC637D"/>
    <w:multiLevelType w:val="hybridMultilevel"/>
    <w:tmpl w:val="B3066F54"/>
    <w:lvl w:ilvl="0" w:tplc="6820FB6A">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7" w15:restartNumberingAfterBreak="0">
    <w:nsid w:val="68153852"/>
    <w:multiLevelType w:val="hybridMultilevel"/>
    <w:tmpl w:val="C3B48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9"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8"/>
  </w:num>
  <w:num w:numId="2" w16cid:durableId="365525267">
    <w:abstractNumId w:val="10"/>
  </w:num>
  <w:num w:numId="3" w16cid:durableId="2035423361">
    <w:abstractNumId w:val="28"/>
  </w:num>
  <w:num w:numId="4" w16cid:durableId="780682338">
    <w:abstractNumId w:val="8"/>
  </w:num>
  <w:num w:numId="5" w16cid:durableId="2083260641">
    <w:abstractNumId w:val="26"/>
  </w:num>
  <w:num w:numId="6" w16cid:durableId="941036152">
    <w:abstractNumId w:val="17"/>
  </w:num>
  <w:num w:numId="7" w16cid:durableId="1823233868">
    <w:abstractNumId w:val="11"/>
  </w:num>
  <w:num w:numId="8" w16cid:durableId="79916257">
    <w:abstractNumId w:val="19"/>
  </w:num>
  <w:num w:numId="9" w16cid:durableId="1622373122">
    <w:abstractNumId w:val="7"/>
  </w:num>
  <w:num w:numId="10" w16cid:durableId="2064670825">
    <w:abstractNumId w:val="29"/>
  </w:num>
  <w:num w:numId="11" w16cid:durableId="1605920383">
    <w:abstractNumId w:val="13"/>
  </w:num>
  <w:num w:numId="12" w16cid:durableId="888498772">
    <w:abstractNumId w:val="1"/>
  </w:num>
  <w:num w:numId="13" w16cid:durableId="433984200">
    <w:abstractNumId w:val="14"/>
  </w:num>
  <w:num w:numId="14" w16cid:durableId="1048719193">
    <w:abstractNumId w:val="0"/>
  </w:num>
  <w:num w:numId="15" w16cid:durableId="361322553">
    <w:abstractNumId w:val="5"/>
  </w:num>
  <w:num w:numId="16" w16cid:durableId="1448114778">
    <w:abstractNumId w:val="16"/>
  </w:num>
  <w:num w:numId="17" w16cid:durableId="1528981843">
    <w:abstractNumId w:val="16"/>
    <w:lvlOverride w:ilvl="0">
      <w:startOverride w:val="1"/>
    </w:lvlOverride>
  </w:num>
  <w:num w:numId="18" w16cid:durableId="2249939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636996">
    <w:abstractNumId w:val="24"/>
  </w:num>
  <w:num w:numId="20" w16cid:durableId="607157315">
    <w:abstractNumId w:val="6"/>
  </w:num>
  <w:num w:numId="21" w16cid:durableId="2061787287">
    <w:abstractNumId w:val="20"/>
  </w:num>
  <w:num w:numId="22" w16cid:durableId="757290700">
    <w:abstractNumId w:val="3"/>
  </w:num>
  <w:num w:numId="23" w16cid:durableId="1970699962">
    <w:abstractNumId w:val="15"/>
  </w:num>
  <w:num w:numId="24" w16cid:durableId="653216918">
    <w:abstractNumId w:val="4"/>
  </w:num>
  <w:num w:numId="25" w16cid:durableId="1318727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378970">
    <w:abstractNumId w:val="25"/>
  </w:num>
  <w:num w:numId="27" w16cid:durableId="2119985944">
    <w:abstractNumId w:val="12"/>
  </w:num>
  <w:num w:numId="28" w16cid:durableId="886068272">
    <w:abstractNumId w:val="9"/>
  </w:num>
  <w:num w:numId="29" w16cid:durableId="65540153">
    <w:abstractNumId w:val="2"/>
  </w:num>
  <w:num w:numId="30" w16cid:durableId="1578200210">
    <w:abstractNumId w:val="21"/>
  </w:num>
  <w:num w:numId="31" w16cid:durableId="2788814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6A43"/>
    <w:rsid w:val="00007B88"/>
    <w:rsid w:val="0001751C"/>
    <w:rsid w:val="00020037"/>
    <w:rsid w:val="00034B97"/>
    <w:rsid w:val="00036358"/>
    <w:rsid w:val="00054588"/>
    <w:rsid w:val="00074332"/>
    <w:rsid w:val="00085749"/>
    <w:rsid w:val="00092D49"/>
    <w:rsid w:val="00094259"/>
    <w:rsid w:val="000A3B3D"/>
    <w:rsid w:val="000B1D46"/>
    <w:rsid w:val="000C6CED"/>
    <w:rsid w:val="000E4B03"/>
    <w:rsid w:val="000EB3B5"/>
    <w:rsid w:val="000F5B4E"/>
    <w:rsid w:val="0010676A"/>
    <w:rsid w:val="00124CE6"/>
    <w:rsid w:val="00126EE3"/>
    <w:rsid w:val="001565AB"/>
    <w:rsid w:val="00195102"/>
    <w:rsid w:val="00195E8F"/>
    <w:rsid w:val="001E09BA"/>
    <w:rsid w:val="001E4F87"/>
    <w:rsid w:val="001F6A34"/>
    <w:rsid w:val="00207532"/>
    <w:rsid w:val="00210CDD"/>
    <w:rsid w:val="002132FC"/>
    <w:rsid w:val="00224267"/>
    <w:rsid w:val="002251E3"/>
    <w:rsid w:val="00231165"/>
    <w:rsid w:val="002419E8"/>
    <w:rsid w:val="00243975"/>
    <w:rsid w:val="00245EFA"/>
    <w:rsid w:val="00266E1D"/>
    <w:rsid w:val="002714F9"/>
    <w:rsid w:val="00271710"/>
    <w:rsid w:val="002729FE"/>
    <w:rsid w:val="00275D77"/>
    <w:rsid w:val="0027673F"/>
    <w:rsid w:val="00287F13"/>
    <w:rsid w:val="002B768B"/>
    <w:rsid w:val="002C6267"/>
    <w:rsid w:val="002C7CF5"/>
    <w:rsid w:val="00305429"/>
    <w:rsid w:val="0032264F"/>
    <w:rsid w:val="00331DD7"/>
    <w:rsid w:val="003450BE"/>
    <w:rsid w:val="00346C9E"/>
    <w:rsid w:val="00352A10"/>
    <w:rsid w:val="00362740"/>
    <w:rsid w:val="00363E72"/>
    <w:rsid w:val="0038395A"/>
    <w:rsid w:val="003932E0"/>
    <w:rsid w:val="003B4E34"/>
    <w:rsid w:val="003C54BC"/>
    <w:rsid w:val="003E3B04"/>
    <w:rsid w:val="003E4191"/>
    <w:rsid w:val="004014D1"/>
    <w:rsid w:val="004035B6"/>
    <w:rsid w:val="00413AA9"/>
    <w:rsid w:val="00433658"/>
    <w:rsid w:val="00434A64"/>
    <w:rsid w:val="00441776"/>
    <w:rsid w:val="00456756"/>
    <w:rsid w:val="00461FF7"/>
    <w:rsid w:val="0046425E"/>
    <w:rsid w:val="004731C4"/>
    <w:rsid w:val="004739FC"/>
    <w:rsid w:val="00481F88"/>
    <w:rsid w:val="004A0664"/>
    <w:rsid w:val="004F108E"/>
    <w:rsid w:val="00505AB0"/>
    <w:rsid w:val="00520ECF"/>
    <w:rsid w:val="00520EF7"/>
    <w:rsid w:val="00562872"/>
    <w:rsid w:val="00587A76"/>
    <w:rsid w:val="00593DA2"/>
    <w:rsid w:val="00595AC1"/>
    <w:rsid w:val="005A04E3"/>
    <w:rsid w:val="005B4065"/>
    <w:rsid w:val="005C5FEB"/>
    <w:rsid w:val="005C7BD0"/>
    <w:rsid w:val="005D09E5"/>
    <w:rsid w:val="005D5159"/>
    <w:rsid w:val="005E3FED"/>
    <w:rsid w:val="005E6A31"/>
    <w:rsid w:val="005F515B"/>
    <w:rsid w:val="00601735"/>
    <w:rsid w:val="006127FF"/>
    <w:rsid w:val="0061685E"/>
    <w:rsid w:val="00622B92"/>
    <w:rsid w:val="006258D5"/>
    <w:rsid w:val="00626855"/>
    <w:rsid w:val="00640E97"/>
    <w:rsid w:val="00652715"/>
    <w:rsid w:val="0067083A"/>
    <w:rsid w:val="00696225"/>
    <w:rsid w:val="006A1856"/>
    <w:rsid w:val="006B1220"/>
    <w:rsid w:val="006B3749"/>
    <w:rsid w:val="006B6DDC"/>
    <w:rsid w:val="006C472F"/>
    <w:rsid w:val="006D48CF"/>
    <w:rsid w:val="006E262D"/>
    <w:rsid w:val="006F0F77"/>
    <w:rsid w:val="006F2490"/>
    <w:rsid w:val="006F40AD"/>
    <w:rsid w:val="007041C3"/>
    <w:rsid w:val="00743225"/>
    <w:rsid w:val="00764AAE"/>
    <w:rsid w:val="00772B2C"/>
    <w:rsid w:val="007830C6"/>
    <w:rsid w:val="0078385C"/>
    <w:rsid w:val="007925C2"/>
    <w:rsid w:val="0079354D"/>
    <w:rsid w:val="00794C57"/>
    <w:rsid w:val="007956F4"/>
    <w:rsid w:val="007B6846"/>
    <w:rsid w:val="007C4337"/>
    <w:rsid w:val="007C7A66"/>
    <w:rsid w:val="007D36F0"/>
    <w:rsid w:val="007D4C80"/>
    <w:rsid w:val="007F648C"/>
    <w:rsid w:val="008010D4"/>
    <w:rsid w:val="00822459"/>
    <w:rsid w:val="00841E7F"/>
    <w:rsid w:val="00842016"/>
    <w:rsid w:val="0084763E"/>
    <w:rsid w:val="0084779A"/>
    <w:rsid w:val="00852B47"/>
    <w:rsid w:val="00890EA0"/>
    <w:rsid w:val="008A1F16"/>
    <w:rsid w:val="008E6510"/>
    <w:rsid w:val="008F25CC"/>
    <w:rsid w:val="008F2807"/>
    <w:rsid w:val="009433D1"/>
    <w:rsid w:val="009570A8"/>
    <w:rsid w:val="0096061A"/>
    <w:rsid w:val="00965FCD"/>
    <w:rsid w:val="00967E09"/>
    <w:rsid w:val="00992C74"/>
    <w:rsid w:val="009A01A4"/>
    <w:rsid w:val="009B35C4"/>
    <w:rsid w:val="009C01DB"/>
    <w:rsid w:val="009C1230"/>
    <w:rsid w:val="009E2A74"/>
    <w:rsid w:val="009E6E8A"/>
    <w:rsid w:val="009F014F"/>
    <w:rsid w:val="009F7126"/>
    <w:rsid w:val="00A1325D"/>
    <w:rsid w:val="00A159AF"/>
    <w:rsid w:val="00A40E9C"/>
    <w:rsid w:val="00A42336"/>
    <w:rsid w:val="00A50911"/>
    <w:rsid w:val="00A54471"/>
    <w:rsid w:val="00A874C4"/>
    <w:rsid w:val="00AA0659"/>
    <w:rsid w:val="00AA593C"/>
    <w:rsid w:val="00AB4B3A"/>
    <w:rsid w:val="00AB7101"/>
    <w:rsid w:val="00AB7D6E"/>
    <w:rsid w:val="00AC7F9A"/>
    <w:rsid w:val="00AE220D"/>
    <w:rsid w:val="00AF58D3"/>
    <w:rsid w:val="00B04470"/>
    <w:rsid w:val="00B0505E"/>
    <w:rsid w:val="00B14761"/>
    <w:rsid w:val="00B1640B"/>
    <w:rsid w:val="00B24078"/>
    <w:rsid w:val="00B2511E"/>
    <w:rsid w:val="00B25F0B"/>
    <w:rsid w:val="00B32FD1"/>
    <w:rsid w:val="00B3475B"/>
    <w:rsid w:val="00B424F5"/>
    <w:rsid w:val="00B45EC6"/>
    <w:rsid w:val="00B50AEE"/>
    <w:rsid w:val="00B51D6D"/>
    <w:rsid w:val="00B71FF8"/>
    <w:rsid w:val="00B75670"/>
    <w:rsid w:val="00BB00AD"/>
    <w:rsid w:val="00BB02AC"/>
    <w:rsid w:val="00BC33EA"/>
    <w:rsid w:val="00BD24BA"/>
    <w:rsid w:val="00C0218D"/>
    <w:rsid w:val="00C05C3B"/>
    <w:rsid w:val="00C25BE6"/>
    <w:rsid w:val="00C2667A"/>
    <w:rsid w:val="00C42297"/>
    <w:rsid w:val="00C436B2"/>
    <w:rsid w:val="00C43FDC"/>
    <w:rsid w:val="00C50605"/>
    <w:rsid w:val="00C5068B"/>
    <w:rsid w:val="00C61ECF"/>
    <w:rsid w:val="00C7511E"/>
    <w:rsid w:val="00C77EBB"/>
    <w:rsid w:val="00C9075D"/>
    <w:rsid w:val="00CD045A"/>
    <w:rsid w:val="00CE75DA"/>
    <w:rsid w:val="00CF1518"/>
    <w:rsid w:val="00CF36B8"/>
    <w:rsid w:val="00D2768B"/>
    <w:rsid w:val="00D32F9C"/>
    <w:rsid w:val="00D35153"/>
    <w:rsid w:val="00D45271"/>
    <w:rsid w:val="00D775C4"/>
    <w:rsid w:val="00D836FB"/>
    <w:rsid w:val="00D86E9D"/>
    <w:rsid w:val="00D9460C"/>
    <w:rsid w:val="00DA45DF"/>
    <w:rsid w:val="00DD10A0"/>
    <w:rsid w:val="00DD7DF1"/>
    <w:rsid w:val="00DE62DE"/>
    <w:rsid w:val="00E02533"/>
    <w:rsid w:val="00E137F0"/>
    <w:rsid w:val="00E14E1D"/>
    <w:rsid w:val="00E32D85"/>
    <w:rsid w:val="00E41F86"/>
    <w:rsid w:val="00E60D6C"/>
    <w:rsid w:val="00E642D6"/>
    <w:rsid w:val="00E70BBF"/>
    <w:rsid w:val="00E75749"/>
    <w:rsid w:val="00E811EA"/>
    <w:rsid w:val="00E84983"/>
    <w:rsid w:val="00E97D59"/>
    <w:rsid w:val="00EA6C2D"/>
    <w:rsid w:val="00EB1279"/>
    <w:rsid w:val="00EB2201"/>
    <w:rsid w:val="00EB3725"/>
    <w:rsid w:val="00EC0059"/>
    <w:rsid w:val="00ED0702"/>
    <w:rsid w:val="00EE114E"/>
    <w:rsid w:val="00EE272E"/>
    <w:rsid w:val="00EF1198"/>
    <w:rsid w:val="00F051C9"/>
    <w:rsid w:val="00F20583"/>
    <w:rsid w:val="00F22F8C"/>
    <w:rsid w:val="00F33DF6"/>
    <w:rsid w:val="00F40189"/>
    <w:rsid w:val="00F40663"/>
    <w:rsid w:val="00F46213"/>
    <w:rsid w:val="00F61719"/>
    <w:rsid w:val="00F86008"/>
    <w:rsid w:val="00FC3D1F"/>
    <w:rsid w:val="00FD1E28"/>
    <w:rsid w:val="00FD31BA"/>
    <w:rsid w:val="00FD45A8"/>
    <w:rsid w:val="00FD72E0"/>
    <w:rsid w:val="00FE404C"/>
    <w:rsid w:val="00FF22C4"/>
    <w:rsid w:val="00FF5267"/>
    <w:rsid w:val="00FF701D"/>
    <w:rsid w:val="01915BB9"/>
    <w:rsid w:val="05B4D1E8"/>
    <w:rsid w:val="067DF539"/>
    <w:rsid w:val="06AFE82F"/>
    <w:rsid w:val="09B595FB"/>
    <w:rsid w:val="105C6B85"/>
    <w:rsid w:val="1C4224BC"/>
    <w:rsid w:val="2B9712BB"/>
    <w:rsid w:val="3094BA49"/>
    <w:rsid w:val="311A7ED2"/>
    <w:rsid w:val="3180AC59"/>
    <w:rsid w:val="375B6113"/>
    <w:rsid w:val="3789C056"/>
    <w:rsid w:val="3A116624"/>
    <w:rsid w:val="3A9D785A"/>
    <w:rsid w:val="5208389F"/>
    <w:rsid w:val="56F4D21F"/>
    <w:rsid w:val="655DEAB1"/>
    <w:rsid w:val="67E5907F"/>
    <w:rsid w:val="6AC02F0C"/>
    <w:rsid w:val="768A06CA"/>
    <w:rsid w:val="7904B9FA"/>
    <w:rsid w:val="7AC883D7"/>
    <w:rsid w:val="7B3B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paragraph" w:styleId="Revision">
    <w:name w:val="Revision"/>
    <w:hidden/>
    <w:uiPriority w:val="99"/>
    <w:semiHidden/>
    <w:rsid w:val="00587A76"/>
    <w:pPr>
      <w:spacing w:after="0" w:line="240" w:lineRule="auto"/>
    </w:pPr>
    <w:rPr>
      <w:lang w:val="lv-LV"/>
    </w:rPr>
  </w:style>
  <w:style w:type="character" w:styleId="Emphasis">
    <w:name w:val="Emphasis"/>
    <w:basedOn w:val="DefaultParagraphFont"/>
    <w:uiPriority w:val="20"/>
    <w:qFormat/>
    <w:rsid w:val="0079354D"/>
    <w:rPr>
      <w:i/>
      <w:iCs/>
    </w:rPr>
  </w:style>
  <w:style w:type="paragraph" w:styleId="NormalWeb">
    <w:name w:val="Normal (Web)"/>
    <w:basedOn w:val="Normal"/>
    <w:uiPriority w:val="99"/>
    <w:unhideWhenUsed/>
    <w:rsid w:val="008477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50911"/>
  </w:style>
  <w:style w:type="character" w:customStyle="1" w:styleId="findhit">
    <w:name w:val="findhit"/>
    <w:basedOn w:val="DefaultParagraphFont"/>
    <w:rsid w:val="00363E72"/>
  </w:style>
  <w:style w:type="paragraph" w:customStyle="1" w:styleId="xelementtoproof">
    <w:name w:val="x_elementtoproof"/>
    <w:basedOn w:val="Normal"/>
    <w:uiPriority w:val="99"/>
    <w:semiHidden/>
    <w:rsid w:val="002B768B"/>
    <w:pPr>
      <w:spacing w:after="0" w:line="240" w:lineRule="auto"/>
    </w:pPr>
    <w:rPr>
      <w:rFonts w:ascii="Calibri" w:hAnsi="Calibri" w:cs="Calibri"/>
      <w:lang w:val="en-US"/>
    </w:rPr>
  </w:style>
  <w:style w:type="character" w:customStyle="1" w:styleId="eop">
    <w:name w:val="eop"/>
    <w:basedOn w:val="DefaultParagraphFont"/>
    <w:rsid w:val="002B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259">
      <w:bodyDiv w:val="1"/>
      <w:marLeft w:val="0"/>
      <w:marRight w:val="0"/>
      <w:marTop w:val="0"/>
      <w:marBottom w:val="0"/>
      <w:divBdr>
        <w:top w:val="none" w:sz="0" w:space="0" w:color="auto"/>
        <w:left w:val="none" w:sz="0" w:space="0" w:color="auto"/>
        <w:bottom w:val="none" w:sz="0" w:space="0" w:color="auto"/>
        <w:right w:val="none" w:sz="0" w:space="0" w:color="auto"/>
      </w:divBdr>
    </w:div>
    <w:div w:id="860630793">
      <w:bodyDiv w:val="1"/>
      <w:marLeft w:val="0"/>
      <w:marRight w:val="0"/>
      <w:marTop w:val="0"/>
      <w:marBottom w:val="0"/>
      <w:divBdr>
        <w:top w:val="none" w:sz="0" w:space="0" w:color="auto"/>
        <w:left w:val="none" w:sz="0" w:space="0" w:color="auto"/>
        <w:bottom w:val="none" w:sz="0" w:space="0" w:color="auto"/>
        <w:right w:val="none" w:sz="0" w:space="0" w:color="auto"/>
      </w:divBdr>
    </w:div>
    <w:div w:id="1664702857">
      <w:bodyDiv w:val="1"/>
      <w:marLeft w:val="0"/>
      <w:marRight w:val="0"/>
      <w:marTop w:val="0"/>
      <w:marBottom w:val="0"/>
      <w:divBdr>
        <w:top w:val="none" w:sz="0" w:space="0" w:color="auto"/>
        <w:left w:val="none" w:sz="0" w:space="0" w:color="auto"/>
        <w:bottom w:val="none" w:sz="0" w:space="0" w:color="auto"/>
        <w:right w:val="none" w:sz="0" w:space="0" w:color="auto"/>
      </w:divBdr>
    </w:div>
    <w:div w:id="18899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ram.gov.lv/lv/wwwvaramgovlv/lv/pieklustami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ieklustamiba.vara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m.gov.lv/lv/media/18838/downloa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m.gov.lv/lv/projektu-atlases"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m.gov.lv/lv/celvedis-ieklaujosas-vides-veidosanai-valsts-un-pasvaldibu-iestades-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Sintija Laugale-Volbaka</DisplayName>
        <AccountId>38</AccountId>
        <AccountType/>
      </UserInfo>
    </SharedWithUsers>
  </documentManagement>
</p:properties>
</file>

<file path=customXml/itemProps1.xml><?xml version="1.0" encoding="utf-8"?>
<ds:datastoreItem xmlns:ds="http://schemas.openxmlformats.org/officeDocument/2006/customXml" ds:itemID="{AEA2788D-9FEB-437E-9BEE-638147EB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purl.org/dc/dcmitype/"/>
    <ds:schemaRef ds:uri="42144e59-5907-413f-b624-803f3a022d9b"/>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25a75a1d-8b78-49a6-8e4b-dbe94589a2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26255</CharactersWithSpaces>
  <SharedDoc>false</SharedDoc>
  <HLinks>
    <vt:vector size="48" baseType="variant">
      <vt:variant>
        <vt:i4>5373959</vt:i4>
      </vt:variant>
      <vt:variant>
        <vt:i4>45</vt:i4>
      </vt:variant>
      <vt:variant>
        <vt:i4>0</vt:i4>
      </vt:variant>
      <vt:variant>
        <vt:i4>5</vt:i4>
      </vt:variant>
      <vt:variant>
        <vt:lpwstr>https://www.em.gov.lv/lv/projektu-atlases</vt:lpwstr>
      </vt:variant>
      <vt:variant>
        <vt:lpwstr/>
      </vt:variant>
      <vt:variant>
        <vt:i4>2031664</vt:i4>
      </vt:variant>
      <vt:variant>
        <vt:i4>38</vt:i4>
      </vt:variant>
      <vt:variant>
        <vt:i4>0</vt:i4>
      </vt:variant>
      <vt:variant>
        <vt:i4>5</vt:i4>
      </vt:variant>
      <vt:variant>
        <vt:lpwstr/>
      </vt:variant>
      <vt:variant>
        <vt:lpwstr>_Toc127803618</vt:lpwstr>
      </vt:variant>
      <vt:variant>
        <vt:i4>2031664</vt:i4>
      </vt:variant>
      <vt:variant>
        <vt:i4>32</vt:i4>
      </vt:variant>
      <vt:variant>
        <vt:i4>0</vt:i4>
      </vt:variant>
      <vt:variant>
        <vt:i4>5</vt:i4>
      </vt:variant>
      <vt:variant>
        <vt:lpwstr/>
      </vt:variant>
      <vt:variant>
        <vt:lpwstr>_Toc127803617</vt:lpwstr>
      </vt:variant>
      <vt:variant>
        <vt:i4>2031664</vt:i4>
      </vt:variant>
      <vt:variant>
        <vt:i4>26</vt:i4>
      </vt:variant>
      <vt:variant>
        <vt:i4>0</vt:i4>
      </vt:variant>
      <vt:variant>
        <vt:i4>5</vt:i4>
      </vt:variant>
      <vt:variant>
        <vt:lpwstr/>
      </vt:variant>
      <vt:variant>
        <vt:lpwstr>_Toc127803616</vt:lpwstr>
      </vt:variant>
      <vt:variant>
        <vt:i4>2031664</vt:i4>
      </vt:variant>
      <vt:variant>
        <vt:i4>20</vt:i4>
      </vt:variant>
      <vt:variant>
        <vt:i4>0</vt:i4>
      </vt:variant>
      <vt:variant>
        <vt:i4>5</vt:i4>
      </vt:variant>
      <vt:variant>
        <vt:lpwstr/>
      </vt:variant>
      <vt:variant>
        <vt:lpwstr>_Toc127803615</vt:lpwstr>
      </vt:variant>
      <vt:variant>
        <vt:i4>2031664</vt:i4>
      </vt:variant>
      <vt:variant>
        <vt:i4>14</vt:i4>
      </vt:variant>
      <vt:variant>
        <vt:i4>0</vt:i4>
      </vt:variant>
      <vt:variant>
        <vt:i4>5</vt:i4>
      </vt:variant>
      <vt:variant>
        <vt:lpwstr/>
      </vt:variant>
      <vt:variant>
        <vt:lpwstr>_Toc127803614</vt:lpwstr>
      </vt:variant>
      <vt:variant>
        <vt:i4>2031664</vt:i4>
      </vt:variant>
      <vt:variant>
        <vt:i4>8</vt:i4>
      </vt:variant>
      <vt:variant>
        <vt:i4>0</vt:i4>
      </vt:variant>
      <vt:variant>
        <vt:i4>5</vt:i4>
      </vt:variant>
      <vt:variant>
        <vt:lpwstr/>
      </vt:variant>
      <vt:variant>
        <vt:lpwstr>_Toc127803613</vt:lpwstr>
      </vt:variant>
      <vt:variant>
        <vt:i4>2031664</vt:i4>
      </vt:variant>
      <vt:variant>
        <vt:i4>2</vt:i4>
      </vt:variant>
      <vt:variant>
        <vt:i4>0</vt:i4>
      </vt:variant>
      <vt:variant>
        <vt:i4>5</vt:i4>
      </vt:variant>
      <vt:variant>
        <vt:lpwstr/>
      </vt:variant>
      <vt:variant>
        <vt:lpwstr>_Toc127803610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Sintija Laugale-Volbaka</cp:lastModifiedBy>
  <cp:revision>23</cp:revision>
  <dcterms:created xsi:type="dcterms:W3CDTF">2024-02-27T14:29:00Z</dcterms:created>
  <dcterms:modified xsi:type="dcterms:W3CDTF">2024-02-28T06:23:00Z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